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TypeScript-Rich Cursor Implementation Programme R0–R23</w:t>
      </w:r>
    </w:p>
    <w:p>
      <w:pPr>
        <w:pStyle w:val="Subtitle"/>
        <w:jc w:val="center"/>
      </w:pPr>
      <w:r>
        <w:t>Controlled, sequential implementation authority for Event OS integration</w:t>
      </w:r>
    </w:p>
    <w:p>
      <w:pPr>
        <w:jc w:val="center"/>
      </w:pPr>
      <w:r>
        <w:t>MD-OS-CUR-002  |  Version 1.0  |  5 September 2026</w:t>
      </w:r>
    </w:p>
    <w:p>
      <w:pPr>
        <w:jc w:val="center"/>
      </w:pPr>
      <w:r>
        <w:rPr>
          <w:b/>
          <w:color w:val="9B1C1C"/>
        </w:rPr>
        <w:t>DRAFT FOR CEO RATIFICATION</w:t>
      </w:r>
    </w:p>
    <w:p>
      <w:r>
        <w:br w:type="page"/>
      </w:r>
    </w:p>
    <w:p>
      <w:pPr>
        <w:pStyle w:val="Heading1"/>
      </w:pPr>
      <w:r>
        <w:t>How to use this programme</w:t>
      </w:r>
    </w:p>
    <w:p>
      <w:r>
        <w:t>Give Cursor the complete programme for context, but authorise exactly one R-numbered prompt in a working branch. Review evidence and the commit before authorising the next. The words “implement”, “complete” and “pass” require backend, frontend, data, security, offline behaviour, tests, evidence and documentation—not a stub, mock-only path or TODO.</w:t>
      </w:r>
    </w:p>
    <w:p>
      <w:pPr>
        <w:pStyle w:val="Heading1"/>
      </w:pPr>
      <w:r>
        <w:t>Standing contract applied to every prompt</w:t>
      </w:r>
    </w:p>
    <w:p>
      <w:pPr>
        <w:pStyle w:val="ListBullet"/>
      </w:pPr>
      <w:r>
        <w:t>Inspect AGENTS.md, repository rules, package manager, architecture, tenancy/event scoping, auth, migrations, tests, CI, design system and current state before editing.</w:t>
      </w:r>
    </w:p>
    <w:p>
      <w:pPr>
        <w:pStyle w:val="ListBullet"/>
      </w:pPr>
      <w:r>
        <w:t>Reconcile with the ratified OS blueprint and this bundle; stop and report contradictions rather than inventing precedence.</w:t>
      </w:r>
    </w:p>
    <w:p>
      <w:pPr>
        <w:pStyle w:val="ListBullet"/>
      </w:pPr>
      <w:r>
        <w:t>Preserve user changes and existing architecture unless the prompt expressly authorises a migration.</w:t>
      </w:r>
    </w:p>
    <w:p>
      <w:pPr>
        <w:pStyle w:val="ListBullet"/>
      </w:pPr>
      <w:r>
        <w:t>Use strict TypeScript; no any, unsafe casts, duplicated domain types, client-only security or unvalidated boundaries.</w:t>
      </w:r>
    </w:p>
    <w:p>
      <w:pPr>
        <w:pStyle w:val="ListBullet"/>
      </w:pPr>
      <w:r>
        <w:t>Use Zod or the repository-standard runtime validator at every package/API/external boundary; infer TypeScript types from schemas.</w:t>
      </w:r>
    </w:p>
    <w:p>
      <w:pPr>
        <w:pStyle w:val="ListBullet"/>
      </w:pPr>
      <w:r>
        <w:t>Enforce organisation, event, role, device and package revision server-side; include negative cross-tenant/event tests.</w:t>
      </w:r>
    </w:p>
    <w:p>
      <w:pPr>
        <w:pStyle w:val="ListBullet"/>
      </w:pPr>
      <w:r>
        <w:t>Implement all relevant UI states: loading, empty, validation, denied, stale, degraded, offline-to-WAN, offline-to-edge, pending, conflict, error and recovery.</w:t>
      </w:r>
    </w:p>
    <w:p>
      <w:pPr>
        <w:pStyle w:val="ListBullet"/>
      </w:pPr>
      <w:r>
        <w:t>No external runtime asset or service may be required by a declared core workflow.</w:t>
      </w:r>
    </w:p>
    <w:p>
      <w:pPr>
        <w:pStyle w:val="ListBullet"/>
      </w:pPr>
      <w:r>
        <w:t>Add migrations through the repository framework with containment/rollback, indexes, constraints and test evidence.</w:t>
      </w:r>
    </w:p>
    <w:p>
      <w:pPr>
        <w:pStyle w:val="ListBullet"/>
      </w:pPr>
      <w:r>
        <w:t>Add unit, integration, API, end-to-end, accessibility, security, offline and failure tests appropriate to the change.</w:t>
      </w:r>
    </w:p>
    <w:p>
      <w:pPr>
        <w:pStyle w:val="ListBullet"/>
      </w:pPr>
      <w:r>
        <w:t>Use synthetic data. Do not expose secrets or production personal/biometric data in code, logs, screenshots or fixtures.</w:t>
      </w:r>
    </w:p>
    <w:p>
      <w:pPr>
        <w:pStyle w:val="ListBullet"/>
      </w:pPr>
      <w:r>
        <w:t>Update BUILD_LEDGER.md, CURRENT_STATE.md, DECISION_LOG.md, traceability and evidence index.</w:t>
      </w:r>
    </w:p>
    <w:p>
      <w:pPr>
        <w:pStyle w:val="ListBullet"/>
      </w:pPr>
      <w:r>
        <w:t>Run formatter, lint, typecheck, tests, build and relevant browser flows; record exact commands and results.</w:t>
      </w:r>
    </w:p>
    <w:p>
      <w:pPr>
        <w:pStyle w:val="ListBullet"/>
      </w:pPr>
      <w:r>
        <w:t>Create one coherent commit containing the R-ID. Do not continue to the next prompt.</w:t>
      </w:r>
    </w:p>
    <w:p>
      <w:pPr>
        <w:pStyle w:val="ListBullet"/>
      </w:pPr>
      <w:r>
        <w:t>Stop on failing baseline, ambiguous authority, destructive migration, missing external approval, untestable acceptance criterion, security/privacy regression or need to change canonical law.</w:t>
      </w:r>
    </w:p>
    <w:p>
      <w:pPr>
        <w:pStyle w:val="Heading1"/>
      </w:pPr>
      <w:r>
        <w:t>R0 — Repository preflight and supersession</w:t>
      </w:r>
    </w:p>
    <w:p>
      <w:r>
        <w:t>Authorised work: Inventory current OS modules, check-in/guest/access/seating/staffing/incident/offline/FaceGate code, database, APIs, routes, tenancy, auth, deployment and tests. Add the v2 controlled documents. Mark v1 pack superseded. Produce gap matrix and baseline evidence; make no feature implementation.</w:t>
      </w:r>
    </w:p>
    <w:p>
      <w:r>
        <w:t>Prompt-specific acceptance: Repository map; conflict log; dependency graph; baseline commands; gap register; ADR adoption; evidence index.</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 — Domain kernel and runtime state machine</w:t>
      </w:r>
    </w:p>
    <w:p>
      <w:r>
        <w:t>Authorised work: Create canonical schemas/types for Scope, RuntimeState, device classes/capabilities, command receipt, health and authority. Implement exhaustive legal transitions and evidence-bearing transition service.</w:t>
      </w:r>
    </w:p>
    <w:p>
      <w:r>
        <w:t>Prompt-specific acceptance: Illegal transitions/role attempts denied; state history audited; no duplicated enums; unit/property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R2 — Departmental projection registry</w:t>
      </w:r>
    </w:p>
    <w:p>
      <w:r>
        <w:t>Authorised work: Implement typed registry for all 20 departmental projections, descriptors, owner/classification/required flag/roles/mutations/missing behaviour and data dictionary metadata.</w:t>
      </w:r>
    </w:p>
    <w:p>
      <w:r>
        <w:t>Prompt-specific acceptance: Every department registered; exhaustive compiler checks; no generic untyped record path at runtime; missing projection behaviour tested.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R3 — Package builder and minimisation</w:t>
      </w:r>
    </w:p>
    <w:p>
      <w:r>
        <w:t>Authorised work: Build consistent cloud snapshot and allow-listed mappers; deterministic search/device derivatives; prohibited-field and referential-integrity scans; departmental preview API/UI.</w:t>
      </w:r>
    </w:p>
    <w:p>
      <w:r>
        <w:t>Prompt-specific acceptance: Same input yields same hashes; unrelated event/marketing/raw biometric/secret data excluded; lead sign-off workflow.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R4 — Package freeze, manifest, signature and import</w:t>
      </w:r>
    </w:p>
    <w:p>
      <w:r>
        <w:t>Authorised work: Implement canonical serialization, per-file hashes/root, signing abstraction, compatibility/expiry/downgrade checks, staging import, atomic promote and comparison report.</w:t>
      </w:r>
    </w:p>
    <w:p>
      <w:r>
        <w:t>Prompt-specific acceptance: Corrupt/wrong-scope/expired/downgrade/partial packages rejected without altering active data; signer keys externalised.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R5 — Local persistence and immutable ledger</w:t>
      </w:r>
    </w:p>
    <w:p>
      <w:r>
        <w:t>Authorised work: Implement local database adapter and atomic command transaction: domain projection + ledger + sync outbox. Add monotonic sequence, aggregate versions, payload/prior hashes and compensating commands.</w:t>
      </w:r>
    </w:p>
    <w:p>
      <w:r>
        <w:t>Prompt-specific acceptance: Concurrency/idempotency/tamper tests; application role cannot update/delete ledger; restart integrity check.</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R6 — Local identity, device registry and certificate enrolment</w:t>
      </w:r>
    </w:p>
    <w:p>
      <w:r>
        <w:t>Authorised work: Implement asset registry, device key/certificate abstraction, event-bounded assignment, separate user login, revocation, expiry, custody and device-profile generator.</w:t>
      </w:r>
    </w:p>
    <w:p>
      <w:r>
        <w:t>Prompt-specific acceptance: Lost/expired/wrong-event/wrong-class devices denied locally; actor and device recorded; admin separation tested.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R7 — PWA shell and pinned local assets</w:t>
      </w:r>
    </w:p>
    <w:p>
      <w:r>
        <w:t>Authorised work: Build locally served installable PWA for supported staff clients; precache versioned shell; remove CDN/font/analytics dependencies; pin updates during ACTIVE; implement local/WAN distinction.</w:t>
      </w:r>
    </w:p>
    <w:p>
      <w:r>
        <w:t>Prompt-specific acceptance: Cold start with WAN removed; no outbound dependency; supported browser matrix; update/rollback and storage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R8 — Scan and lookup platform</w:t>
      </w:r>
    </w:p>
    <w:p>
      <w:r>
        <w:t>Authorised work: Implement QR/HID/manual/name/phone/household/table/seat lookup adapters, safe ranking/masking/rate limits, ScanOutcome and audit. Camera scanning uses feature detection and approved fallback.</w:t>
      </w:r>
    </w:p>
    <w:p>
      <w:r>
        <w:t>Prompt-specific acceptance: Exact/ambiguous/not-found/stale/restricted/duplicate results tested; fuzzy result never performs mutation; HID burst test.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R9 — Initial human check-in surface</w:t>
      </w:r>
    </w:p>
    <w:p>
      <w:r>
        <w:t>Authorised work: Build fixed/mobile registration workflow, guest/companion verification, credential result, necessary flags, confirm step, ledger command, receipt and correction/referral.</w:t>
      </w:r>
    </w:p>
    <w:p>
      <w:r>
        <w:t>Prompt-specific acceptance: Face candidate cannot call this command; duplicates and interrupted responses idempotent; all scan/result/error states and accessibility pass.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R10 — Greeter, protocol and guest-relations surfaces</w:t>
      </w:r>
    </w:p>
    <w:p>
      <w:r>
        <w:t>Authorised work: Build least-privilege route/arrival/assistance view; verified protocol treatment; relationship-owner alerts and handoff.</w:t>
      </w:r>
    </w:p>
    <w:p>
      <w:r>
        <w:t>Prompt-specific acceptance: Restricted reasons hidden; expired/unverified protocol visible; no unauthorised check-in; role and screen-state E2E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R11 — Seating, ushering and guest service surfaces</w:t>
      </w:r>
    </w:p>
    <w:p>
      <w:r>
        <w:t>Authorised work: Build guest↔table/seat lookup, route/zone view, request create/acknowledge/assign/transfer/resolve/reopen, table-call mapping, relief and haptic cues with non-haptic equivalent.</w:t>
      </w:r>
    </w:p>
    <w:p>
      <w:r>
        <w:t>Prompt-specific acceptance: Versioned seating moves; request chronology; timer/escalation; event scope; offline and high-noise usability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R12 — Department lead workspaces</w:t>
      </w:r>
    </w:p>
    <w:p>
      <w:r>
        <w:t>Authorised work: Generate lead surfaces for F&amp;B, transport, accommodation, production, suppliers, accessibility, safety and security from typed capabilities—not client-only flags.</w:t>
      </w:r>
    </w:p>
    <w:p>
      <w:r>
        <w:t>Prompt-specific acceptance: Team/posts/run/readiness/dependencies/requests/incidents/handover complete; field masking and command permissions tested per role.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R13 — Self-scan kiosk</w:t>
      </w:r>
    </w:p>
    <w:p>
      <w:r>
        <w:t>Authorised work: Implement locked, privacy-clearing arrival pre-processing: scan, invitation-found safe acknowledgement, assistance selection, routing/queue token and staff alert.</w:t>
      </w:r>
    </w:p>
    <w:p>
      <w:r>
        <w:t>Prompt-specific acceptance: No attendance/companion/override/biometric/credential authority; timeout clears data; enumeration/rate/accessibility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R14 — Client emergency outbox</w:t>
      </w:r>
    </w:p>
    <w:p>
      <w:r>
        <w:t>Authorised work: Implement encrypted, size/time/command-bounded outbox only for edge-API loss; visible pending state and explicit ACCEPTED/DUPLICATE/REJECTED/QUARANTINED replay.</w:t>
      </w:r>
    </w:p>
    <w:p>
      <w:r>
        <w:t>Prompt-specific acceptance: Device restart, AP roam, expiry, overflow, version conflict and revocation tested; never label pending as successful.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R15 — FaceGate consented enrolment and return-only gateway</w:t>
      </w:r>
    </w:p>
    <w:p>
      <w:r>
        <w:t>Authorised work: Reconcile existing FaceGate: require prior human check-in before enrolment; affirmative purpose/version consent; isolated template reference; signed short-lived assertion verification; operator ADMIT/REFER/DENY.</w:t>
      </w:r>
    </w:p>
    <w:p>
      <w:r>
        <w:t>Prompt-specific acceptance: Network/app identity cannot create initial attendance or admit; replay/expiry/wrong event/low confidence/revocation/safeguarding/matcher loss/manual fallback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R16 — Command console, health and degradation</w:t>
      </w:r>
    </w:p>
    <w:p>
      <w:r>
        <w:t>Authorised work: Implement package/server/database/ledger/backup/time/AP/client/power/disk/WAN/gateway/outbox health. Unknown differs from green; every alert has owner, acknowledgement, action and closure.</w:t>
      </w:r>
    </w:p>
    <w:p>
      <w:r>
        <w:t>Prompt-specific acceptance: Fault injection drives correct state; WAN loss does not mark core failed; drill-down is permissioned/audited.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R17 — Staff deployment, shifts and Academy gates</w:t>
      </w:r>
    </w:p>
    <w:p>
      <w:r>
        <w:t>Authorised work: Consume current certification/briefing/practical/restriction state; block unauthorised post assignment; implement check-on-post, relief, handover and approved exception.</w:t>
      </w:r>
    </w:p>
    <w:p>
      <w:r>
        <w:t>Prompt-specific acceptance: Expired/suspended/wrong-role staff denied; integration is idempotent and event-scoped; offline roster carries signed status.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R18 — Incidents, safety, service recovery and fallback</w:t>
      </w:r>
    </w:p>
    <w:p>
      <w:r>
        <w:t>Authorised work: Implement incident chronology, severity/command/actions/notifications/recovery/closure plus explicit digital→paper/radio activation and controlled transcription provenance.</w:t>
      </w:r>
    </w:p>
    <w:p>
      <w:r>
        <w:t>Prompt-specific acceptance: Safety authority cannot be overridden by automation; paper entries get unique IDs, dual review and linked compensating commands.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R19 — Close, drain, seal and encrypted export</w:t>
      </w:r>
    </w:p>
    <w:p>
      <w:r>
        <w:t>Authorised work: Implement closing state, writer/outbox drain, unresolved-item gate, immutable seal manifest, dual control, encrypted export and separately verified backup.</w:t>
      </w:r>
    </w:p>
    <w:p>
      <w:r>
        <w:t>Prompt-specific acceptance: Reopen exceptional and audited; sequence/count/root hashes verified; no normal writes after seal.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R20 — Deterministic cloud reconciliation</w:t>
      </w:r>
    </w:p>
    <w:p>
      <w:r>
        <w:t>Authorised work: Implement authenticated resumable upload, idempotent processor, dependency/version/authority/schema/tamper conflict classes, quarantine workbench, compensating decisions and certificate.</w:t>
      </w:r>
    </w:p>
    <w:p>
      <w:r>
        <w:t>Prompt-specific acceptance: No consequential last-write-wins; every sealed item accounted for; duplicate-identical has no second effect.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R21 — Deployment, configuration, backup and recovery</w:t>
      </w:r>
    </w:p>
    <w:p>
      <w:r>
        <w:t>Authorised work: Provide pinned images, SBOM, non-secret schema, secret injection, firewall/VLAN examples, migration manifest, health probes, backup/restore, fencing and manual recovery runbooks.</w:t>
      </w:r>
    </w:p>
    <w:p>
      <w:r>
        <w:t>Prompt-specific acceptance: No automatic failover without quorum/fencing; clean-host restore and rollback/containment proven; venue WAN optional.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R22 — Full automated and browser acceptance</w:t>
      </w:r>
    </w:p>
    <w:p>
      <w:r>
        <w:t>Authorised work: Run all critical suites with synthetic tier load, WAN physically/logically denied, concurrency, AP/server/power simulations, supported devices, accessibility and security.</w:t>
      </w:r>
    </w:p>
    <w:p>
      <w:r>
        <w:t>Prompt-specific acceptance: Evidence tied to commit/image/config/package; zero critical failures; flaky/skipped tests block unless explicitly accepted by authorised reviewer.</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R23 — Evidence pack and release locks</w:t>
      </w:r>
    </w:p>
    <w:p>
      <w:r>
        <w:t>Authorised work: Generate traceability, test results, screenshots, logs/hashes, threat/residual-risk register, venue/rehearsal/pilot placeholders and release dashboard. Keep external gates unsigned.</w:t>
      </w:r>
    </w:p>
    <w:p>
      <w:r>
        <w:t>Prompt-specific acceptance: Cursor cannot approve legal/privacy/biometric authority, venue rehearsal, independent acceptance, Event Director activation or CEO production release.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900"/>
            <w:shd w:fill="E8EEF5"/>
            <w:vAlign w:val="center"/>
          </w:tcPr>
          <w:p>
            <w:r>
              <w:rPr>
                <w:b/>
              </w:rPr>
              <w:t>Required area</w:t>
            </w:r>
          </w:p>
        </w:tc>
        <w:tc>
          <w:tcPr>
            <w:tcW w:type="dxa" w:w="7460"/>
            <w:shd w:fill="E8EEF5"/>
            <w:vAlign w:val="center"/>
          </w:tcPr>
          <w:p>
            <w:r>
              <w:rPr>
                <w:b/>
              </w:rPr>
              <w:t>Instruction</w:t>
            </w:r>
          </w:p>
        </w:tc>
      </w:tr>
      <w:tr>
        <w:tc>
          <w:tcPr>
            <w:tcW w:type="dxa" w:w="1900"/>
            <w:vAlign w:val="top"/>
          </w:tcPr>
          <w:p>
            <w:r>
              <w:t>Discovery</w:t>
            </w:r>
          </w:p>
        </w:tc>
        <w:tc>
          <w:tcPr>
            <w:tcW w:type="dxa" w:w="7460"/>
            <w:vAlign w:val="top"/>
          </w:tcPr>
          <w:p>
            <w:r>
              <w:t>Identify existing implementation and exact files; cite findings before edits.</w:t>
            </w:r>
          </w:p>
        </w:tc>
      </w:tr>
      <w:tr>
        <w:tc>
          <w:tcPr>
            <w:tcW w:type="dxa" w:w="1900"/>
            <w:vAlign w:val="top"/>
          </w:tcPr>
          <w:p>
            <w:r>
              <w:t>Types/data</w:t>
            </w:r>
          </w:p>
        </w:tc>
        <w:tc>
          <w:tcPr>
            <w:tcW w:type="dxa" w:w="7460"/>
            <w:vAlign w:val="top"/>
          </w:tcPr>
          <w:p>
            <w:r>
              <w:t>Use canonical shared schemas; add constraints/indexes/migration evidence where applicable.</w:t>
            </w:r>
          </w:p>
        </w:tc>
      </w:tr>
      <w:tr>
        <w:tc>
          <w:tcPr>
            <w:tcW w:type="dxa" w:w="1900"/>
            <w:vAlign w:val="top"/>
          </w:tcPr>
          <w:p>
            <w:r>
              <w:t>API/security</w:t>
            </w:r>
          </w:p>
        </w:tc>
        <w:tc>
          <w:tcPr>
            <w:tcW w:type="dxa" w:w="7460"/>
            <w:vAlign w:val="top"/>
          </w:tcPr>
          <w:p>
            <w:r>
              <w:t>Validate boundaries; enforce scope/role/device server-side; audit consequential actions.</w:t>
            </w:r>
          </w:p>
        </w:tc>
      </w:tr>
      <w:tr>
        <w:tc>
          <w:tcPr>
            <w:tcW w:type="dxa" w:w="1900"/>
            <w:vAlign w:val="top"/>
          </w:tcPr>
          <w:p>
            <w:r>
              <w:t>Frontend</w:t>
            </w:r>
          </w:p>
        </w:tc>
        <w:tc>
          <w:tcPr>
            <w:tcW w:type="dxa" w:w="7460"/>
            <w:vAlign w:val="top"/>
          </w:tcPr>
          <w:p>
            <w:r>
              <w:t>Complete relevant surfaces and every applicable state; responsive and accessible.</w:t>
            </w:r>
          </w:p>
        </w:tc>
      </w:tr>
      <w:tr>
        <w:tc>
          <w:tcPr>
            <w:tcW w:type="dxa" w:w="1900"/>
            <w:vAlign w:val="top"/>
          </w:tcPr>
          <w:p>
            <w:r>
              <w:t>Offline/failure</w:t>
            </w:r>
          </w:p>
        </w:tc>
        <w:tc>
          <w:tcPr>
            <w:tcW w:type="dxa" w:w="7460"/>
            <w:vAlign w:val="top"/>
          </w:tcPr>
          <w:p>
            <w:r>
              <w:t>Prove behaviour with WAN absent and specified local faults; preserve explicit uncertainty.</w:t>
            </w:r>
          </w:p>
        </w:tc>
      </w:tr>
      <w:tr>
        <w:tc>
          <w:tcPr>
            <w:tcW w:type="dxa" w:w="1900"/>
            <w:vAlign w:val="top"/>
          </w:tcPr>
          <w:p>
            <w:r>
              <w:t>Tests</w:t>
            </w:r>
          </w:p>
        </w:tc>
        <w:tc>
          <w:tcPr>
            <w:tcW w:type="dxa" w:w="7460"/>
            <w:vAlign w:val="top"/>
          </w:tcPr>
          <w:p>
            <w:r>
              <w:t>Unit, integration, API, E2E, negative isolation and failure cases mapped to acceptance IDs.</w:t>
            </w:r>
          </w:p>
        </w:tc>
      </w:tr>
      <w:tr>
        <w:tc>
          <w:tcPr>
            <w:tcW w:type="dxa" w:w="1900"/>
            <w:vAlign w:val="top"/>
          </w:tcPr>
          <w:p>
            <w:r>
              <w:t>Evidence/close</w:t>
            </w:r>
          </w:p>
        </w:tc>
        <w:tc>
          <w:tcPr>
            <w:tcW w:type="dxa" w:w="7460"/>
            <w:vAlign w:val="top"/>
          </w:tcPr>
          <w:p>
            <w:r>
              <w:t>Commands/results, screenshots where visual, changed-file summary, risks, ledgers, traceability and one commit; STOP.</w:t>
            </w:r>
          </w:p>
        </w:tc>
      </w:tr>
    </w:tbl>
    <w:p>
      <w:pPr>
        <w:pStyle w:val="Heading1"/>
      </w:pPr>
      <w:r>
        <w:t>Final rule</w:t>
      </w:r>
    </w:p>
    <w:p>
      <w:r>
        <w:t>Completion of R23 means the build evidence is ready for human review. It does not mean the system is legally approved, venue-proven, independently accepted or authorised for production.</w:t>
      </w:r>
    </w:p>
    <w:p>
      <w:r>
        <w:br w:type="page"/>
      </w:r>
    </w:p>
    <w:p>
      <w:pPr>
        <w:pStyle w:val="Heading1"/>
      </w:pPr>
      <w:r>
        <w:t>Appendix A — Mandatory TypeScript implementation patterns</w:t>
      </w:r>
    </w:p>
    <w:p>
      <w:r>
        <w:t>These patterns are normative shapes, not blind copy-and-paste instructions. Cursor must adapt imports and infrastructure to the repository discovered in R0 while preserving the security and domain invariants.</w:t>
      </w:r>
    </w:p>
    <w:p>
      <w:pPr>
        <w:pStyle w:val="Heading2"/>
      </w:pPr>
      <w:r>
        <w:t>A1. Scope and capability guard</w:t>
      </w:r>
    </w:p>
    <w:p>
      <w:pPr>
        <w:spacing w:before="60" w:after="120"/>
      </w:pPr>
      <w:r>
        <w:rPr>
          <w:rFonts w:ascii="Consolas" w:hAnsi="Consolas"/>
          <w:color w:val="191919"/>
          <w:sz w:val="16"/>
        </w:rPr>
        <w:t>type RequestContext = Readonly&lt;{</w:t>
        <w:br/>
        <w:t xml:space="preserve">  organisationId: OrganisationId; eventId: EventId;</w:t>
        <w:br/>
        <w:t xml:space="preserve">  packageRevision: PackageRevision; actorId: UserId; deviceId: DeviceId;</w:t>
        <w:br/>
        <w:t xml:space="preserve">  roles: readonly RoleCode[]; capabilities: ReadonlySet&lt;DeviceCapability&gt;;</w:t>
        <w:br/>
        <w:t>}&gt;;</w:t>
        <w:br/>
        <w:br/>
        <w:t>function requireScope(ctx: RequestContext, input: Scope): void {</w:t>
        <w:br/>
        <w:t xml:space="preserve">  if (ctx.organisationId !== input.organisationId || ctx.eventId !== input.eventId)</w:t>
        <w:br/>
        <w:t xml:space="preserve">    throw new ForbiddenError("SCOPE_MISMATCH");</w:t>
        <w:br/>
        <w:t xml:space="preserve">  if (ctx.packageRevision !== input.packageRevision)</w:t>
        <w:br/>
        <w:t xml:space="preserve">    throw new ConflictError("PACKAGE_REVISION_MISMATCH");</w:t>
        <w:br/>
        <w:t>}</w:t>
        <w:br/>
        <w:t>function requireCapability(ctx: RequestContext, value: DeviceCapability): void {</w:t>
        <w:br/>
        <w:t xml:space="preserve">  if (!ctx.capabilities.has(value)) throw new ForbiddenError("DEVICE_CAPABILITY_DENIED");</w:t>
        <w:br/>
        <w:t>}</w:t>
      </w:r>
    </w:p>
    <w:p>
      <w:pPr>
        <w:pStyle w:val="Heading2"/>
      </w:pPr>
      <w:r>
        <w:t>A2. Atomic command handler</w:t>
      </w:r>
    </w:p>
    <w:p>
      <w:pPr>
        <w:spacing w:before="60" w:after="120"/>
      </w:pPr>
      <w:r>
        <w:rPr>
          <w:rFonts w:ascii="Consolas" w:hAnsi="Consolas"/>
          <w:color w:val="191919"/>
          <w:sz w:val="16"/>
        </w:rPr>
        <w:t>async function executeCommand&lt;C extends LedgerCommand&gt;(ctx: RequestContext, raw: unknown): Promise&lt;CommandReceipt&gt; {</w:t>
        <w:br/>
        <w:t xml:space="preserve">  const command = LedgerCommandSchema.parse(raw);</w:t>
        <w:br/>
        <w:t xml:space="preserve">  requireScope(ctx, command.scope);</w:t>
        <w:br/>
        <w:t xml:space="preserve">  return db.transaction(async tx =&gt; {</w:t>
        <w:br/>
        <w:t xml:space="preserve">    const duplicate = await tx.ledger.findByOperationId(command.operationId);</w:t>
        <w:br/>
        <w:t xml:space="preserve">    if (duplicate) return identicalHash(duplicate, command) ? duplicateReceipt(duplicate) : quarantineDivergent(command);</w:t>
        <w:br/>
        <w:t xml:space="preserve">    const aggregate = await tx.aggregate.lock(command.aggregateType, command.aggregateId);</w:t>
        <w:br/>
        <w:t xml:space="preserve">    if (aggregate.version !== command.expectedVersion) throw new VersionConflictError();</w:t>
        <w:br/>
        <w:t xml:space="preserve">    authorizeCommand(ctx, command, aggregate);</w:t>
        <w:br/>
        <w:t xml:space="preserve">    const result = applyDomainCommand(aggregate, command);</w:t>
        <w:br/>
        <w:t xml:space="preserve">    const sequence = await tx.eventSequence.next(command.scope);</w:t>
        <w:br/>
        <w:t xml:space="preserve">    const entry = buildHashedLedgerEntry(command, result, sequence);</w:t>
        <w:br/>
        <w:t xml:space="preserve">    await tx.aggregate.save(result);</w:t>
        <w:br/>
        <w:t xml:space="preserve">    await tx.ledger.append(entry);</w:t>
        <w:br/>
        <w:t xml:space="preserve">    await tx.syncOutbox.enqueue(entry.operationId);</w:t>
        <w:br/>
        <w:t xml:space="preserve">    return acceptedReceipt(entry);</w:t>
        <w:br/>
        <w:t xml:space="preserve">  });</w:t>
        <w:br/>
        <w:t>}</w:t>
      </w:r>
    </w:p>
    <w:p>
      <w:pPr>
        <w:pStyle w:val="Heading2"/>
      </w:pPr>
      <w:r>
        <w:t>A3. Exhaustive device profile generation</w:t>
      </w:r>
    </w:p>
    <w:p>
      <w:pPr>
        <w:spacing w:before="60" w:after="120"/>
      </w:pPr>
      <w:r>
        <w:rPr>
          <w:rFonts w:ascii="Consolas" w:hAnsi="Consolas"/>
          <w:color w:val="191919"/>
          <w:sz w:val="16"/>
        </w:rPr>
        <w:t>const DEVICE_PROFILES = {</w:t>
        <w:br/>
        <w:t xml:space="preserve">  REGISTRATION_FIXED: { routes: ["/registration"], capabilities: ["GUEST_SEARCH","QR_SCAN","INITIAL_CHECK_IN"] },</w:t>
        <w:br/>
        <w:t xml:space="preserve">  QUEUE_GREETER: { routes: ["/arrival"], capabilities: ["GUEST_SEARCH"] },</w:t>
        <w:br/>
        <w:t xml:space="preserve">  USHER: { routes: ["/usher"], capabilities: ["GUEST_SEARCH","SEATING_READ","REQUEST_CREATE"] },</w:t>
        <w:br/>
        <w:t xml:space="preserve">  RETURN_ENTRY: { routes: ["/return"], capabilities: ["GUEST_SEARCH","RETURN_DECISION"] },</w:t>
        <w:br/>
        <w:t xml:space="preserve">  SELF_SCAN_KIOSK: { routes: ["/kiosk"], capabilities: ["QR_SCAN"] },</w:t>
        <w:br/>
        <w:t xml:space="preserve">  FACEGATE_GATEWAY: { routes: [], capabilities: ["FACE_CANDIDATE_SUBMIT"] }</w:t>
        <w:br/>
        <w:t>} satisfies Record&lt;DeviceClass, Readonly&lt;{ routes: readonly string[]; capabilities: readonly DeviceCapability[] }&gt;&gt;;</w:t>
        <w:br/>
        <w:t>// Production must enumerate every DeviceClass; no permissive default branch.</w:t>
      </w:r>
    </w:p>
    <w:p>
      <w:pPr>
        <w:pStyle w:val="Heading2"/>
      </w:pPr>
      <w:r>
        <w:t>A4. Scan outcome as a discriminated union</w:t>
      </w:r>
    </w:p>
    <w:p>
      <w:pPr>
        <w:spacing w:before="60" w:after="120"/>
      </w:pPr>
      <w:r>
        <w:rPr>
          <w:rFonts w:ascii="Consolas" w:hAnsi="Consolas"/>
          <w:color w:val="191919"/>
          <w:sz w:val="16"/>
        </w:rPr>
        <w:t>type ScanOutcome =</w:t>
        <w:br/>
        <w:t xml:space="preserve"> | { kind: "EXACT_MATCH"; match: SafeGuestMatch }</w:t>
        <w:br/>
        <w:t xml:space="preserve"> | { kind: "MULTIPLE_MATCHES"; matches: readonly SafeGuestMatch[]; referralCode: string }</w:t>
        <w:br/>
        <w:t xml:space="preserve"> | { kind: "NOT_FOUND"; safeMessage: string; referralCode: string }</w:t>
        <w:br/>
        <w:t xml:space="preserve"> | { kind: "ALREADY_CHECKED_IN"; match: SafeGuestMatch; permittedActions: readonly Action[] }</w:t>
        <w:br/>
        <w:t xml:space="preserve"> | { kind: "INELIGIBLE"; safeMessage: string; referralCode: string }</w:t>
        <w:br/>
        <w:t xml:space="preserve"> | { kind: "STALE_OR_UNVERIFIED"; safeMessage: string; referralCode: string };</w:t>
        <w:br/>
        <w:br/>
        <w:t>function renderOutcome(value: ScanOutcome): ReactNode {</w:t>
        <w:br/>
        <w:t xml:space="preserve">  switch (value.kind) { /* explicit surface for every case */ }</w:t>
        <w:br/>
        <w:t xml:space="preserve">  return assertNever(value);</w:t>
        <w:br/>
        <w:t>}</w:t>
      </w:r>
    </w:p>
    <w:p>
      <w:pPr>
        <w:pStyle w:val="Heading2"/>
      </w:pPr>
      <w:r>
        <w:t>A5. FaceGate return-only invariant</w:t>
      </w:r>
    </w:p>
    <w:p>
      <w:pPr>
        <w:spacing w:before="60" w:after="120"/>
      </w:pPr>
      <w:r>
        <w:rPr>
          <w:rFonts w:ascii="Consolas" w:hAnsi="Consolas"/>
          <w:color w:val="191919"/>
          <w:sz w:val="16"/>
        </w:rPr>
        <w:t>async function decideReturn(ctx: RequestContext, raw: unknown): Promise&lt;CommandReceipt&gt; {</w:t>
        <w:br/>
        <w:t xml:space="preserve">  requireCapability(ctx, "RETURN_DECISION");</w:t>
        <w:br/>
        <w:t xml:space="preserve">  const input = ReturnDecisionSchema.parse(raw);</w:t>
        <w:br/>
        <w:t xml:space="preserve">  const attendance = await attendanceRepo.require(input.scope, input.guestId);</w:t>
        <w:br/>
        <w:t xml:space="preserve">  if (!attendance.initialHumanCheckInAt) throw new ForbiddenError("NO_INITIAL_HUMAN_CHECK_IN");</w:t>
        <w:br/>
        <w:t xml:space="preserve">  if (input.assertionId) {</w:t>
        <w:br/>
        <w:t xml:space="preserve">    const assertion = await verifyAndConsumeCandidateAssertion(input.assertionId);</w:t>
        <w:br/>
        <w:t xml:space="preserve">    requireCurrentConsent(assertion.consentRecordId);</w:t>
        <w:br/>
        <w:t xml:space="preserve">    requireSameEvent(assertion.scope, input.scope);</w:t>
        <w:br/>
        <w:t xml:space="preserve">  }</w:t>
        <w:br/>
        <w:t xml:space="preserve">  // The signed-in operator chooses ADMIT, REFER or DENY. A candidate assertion never calls this itself.</w:t>
        <w:br/>
        <w:t xml:space="preserve">  return executeReturnDecision(ctx, input);</w:t>
        <w:br/>
        <w:t>}</w:t>
      </w:r>
    </w:p>
    <w:p>
      <w:pPr>
        <w:pStyle w:val="Heading2"/>
      </w:pPr>
      <w:r>
        <w:t>A6. Bounded outbox state</w:t>
      </w:r>
    </w:p>
    <w:p>
      <w:pPr>
        <w:spacing w:before="60" w:after="120"/>
      </w:pPr>
      <w:r>
        <w:rPr>
          <w:rFonts w:ascii="Consolas" w:hAnsi="Consolas"/>
          <w:color w:val="191919"/>
          <w:sz w:val="16"/>
        </w:rPr>
        <w:t>type PendingCommand = Readonly&lt;{ operationId: UUID; encryptedPayload: Uint8Array;</w:t>
        <w:br/>
        <w:t xml:space="preserve">  createdAt: Instant; expiresAt: Instant; attemptCount: number; state: "PENDING"|"SUBMITTING"|"REJECTED"|"QUARANTINED" }&gt;;</w:t>
        <w:br/>
        <w:t>// Enforce maximum bytes, maximum items, permitted command types and explicit operator-visible state.</w:t>
        <w:br/>
        <w:t>// Browser background sync may improve delivery but must never be the guarantee of delivery.</w:t>
      </w:r>
    </w:p>
    <w:p>
      <w:pPr>
        <w:pStyle w:val="Heading2"/>
      </w:pPr>
      <w:r>
        <w:t>A7. Reconciliation result</w:t>
      </w:r>
    </w:p>
    <w:p>
      <w:pPr>
        <w:spacing w:before="60" w:after="120"/>
      </w:pPr>
      <w:r>
        <w:rPr>
          <w:rFonts w:ascii="Consolas" w:hAnsi="Consolas"/>
          <w:color w:val="191919"/>
          <w:sz w:val="16"/>
        </w:rPr>
        <w:t>type ReconciliationDisposition =</w:t>
        <w:br/>
        <w:t xml:space="preserve"> | { kind: "APPLIED"; cloudVersion: number }</w:t>
        <w:br/>
        <w:t xml:space="preserve"> | { kind: "DUPLICATE_IDENTICAL"; cloudVersion: number }</w:t>
        <w:br/>
        <w:t xml:space="preserve"> | { kind: "QUARANTINED"; conflict: "DIVERGENT_DUPLICATE"|"DEPENDENCY_MISSING"|"VERSION_CONFLICT"|"INVALID_AUTHORITY"|"SCHEMA_OR_POLICY_MISMATCH"|"TAMPER_SUSPECT" };</w:t>
        <w:br/>
        <w:t>// There is intentionally no LAST_WRITE_WINS disposition.</w:t>
      </w:r>
    </w:p>
    <w:p>
      <w:pPr>
        <w:pStyle w:val="Heading1"/>
      </w:pPr>
      <w:r>
        <w:t>Appendix B — Required file-level completion report</w:t>
      </w:r>
    </w:p>
    <w:p>
      <w:r>
        <w:t>At the end of every R prompt, Cursor must return this report and stop.</w:t>
      </w:r>
    </w:p>
    <w:p>
      <w:pPr>
        <w:pStyle w:val="ListBullet"/>
      </w:pPr>
      <w:r>
        <w:t>Prompt ID and authorised scope</w:t>
      </w:r>
    </w:p>
    <w:p>
      <w:pPr>
        <w:pStyle w:val="ListBullet"/>
      </w:pPr>
      <w:r>
        <w:t>Repository baseline and pre-existing failures</w:t>
      </w:r>
    </w:p>
    <w:p>
      <w:pPr>
        <w:pStyle w:val="ListBullet"/>
      </w:pPr>
      <w:r>
        <w:t>Files inspected and reason</w:t>
      </w:r>
    </w:p>
    <w:p>
      <w:pPr>
        <w:pStyle w:val="ListBullet"/>
      </w:pPr>
      <w:r>
        <w:t>Files added/changed and reason</w:t>
      </w:r>
    </w:p>
    <w:p>
      <w:pPr>
        <w:pStyle w:val="ListBullet"/>
      </w:pPr>
      <w:r>
        <w:t>Schema/migration and containment or rollback</w:t>
      </w:r>
    </w:p>
    <w:p>
      <w:pPr>
        <w:pStyle w:val="ListBullet"/>
      </w:pPr>
      <w:r>
        <w:t>API and permission changes</w:t>
      </w:r>
    </w:p>
    <w:p>
      <w:pPr>
        <w:pStyle w:val="ListBullet"/>
      </w:pPr>
      <w:r>
        <w:t>Frontend routes/components and all implemented states</w:t>
      </w:r>
    </w:p>
    <w:p>
      <w:pPr>
        <w:pStyle w:val="ListBullet"/>
      </w:pPr>
      <w:r>
        <w:t>Offline/failure behaviour proved</w:t>
      </w:r>
    </w:p>
    <w:p>
      <w:pPr>
        <w:pStyle w:val="ListBullet"/>
      </w:pPr>
      <w:r>
        <w:t>Tests added, exact commands and results</w:t>
      </w:r>
    </w:p>
    <w:p>
      <w:pPr>
        <w:pStyle w:val="ListBullet"/>
      </w:pPr>
      <w:r>
        <w:t>Browser evidence and screenshots where relevant</w:t>
      </w:r>
    </w:p>
    <w:p>
      <w:pPr>
        <w:pStyle w:val="ListBullet"/>
      </w:pPr>
      <w:r>
        <w:t>Security/privacy/accessibility review</w:t>
      </w:r>
    </w:p>
    <w:p>
      <w:pPr>
        <w:pStyle w:val="ListBullet"/>
      </w:pPr>
      <w:r>
        <w:t>Traceability, ledgers and documentation updated</w:t>
      </w:r>
    </w:p>
    <w:p>
      <w:pPr>
        <w:pStyle w:val="ListBullet"/>
      </w:pPr>
      <w:r>
        <w:t>Residual risks, blockers and external authority required</w:t>
      </w:r>
    </w:p>
    <w:p>
      <w:pPr>
        <w:pStyle w:val="ListBullet"/>
      </w:pPr>
      <w:r>
        <w:t>Commit hash and clean/dirty worktree statement</w:t>
      </w:r>
    </w:p>
    <w:p>
      <w:pPr>
        <w:pStyle w:val="ListBullet"/>
      </w:pPr>
      <w:r>
        <w:t>Explicit statement: next prompt not started</w:t>
      </w:r>
    </w:p>
    <w:p>
      <w:pPr>
        <w:pStyle w:val="Heading1"/>
      </w:pPr>
      <w:r>
        <w:t>Appendix C — Prohibited Cursor shortcuts</w:t>
      </w:r>
    </w:p>
    <w:p>
      <w:pPr>
        <w:pStyle w:val="ListBullet"/>
      </w:pPr>
      <w:r>
        <w:t>Do not replace real persistence with in-memory maps or browser localStorage.</w:t>
      </w:r>
    </w:p>
    <w:p>
      <w:pPr>
        <w:pStyle w:val="ListBullet"/>
      </w:pPr>
      <w:r>
        <w:t>Do not add TODO, placeholder, mock-only, happy-path-only or disabled test and call the prompt complete.</w:t>
      </w:r>
    </w:p>
    <w:p>
      <w:pPr>
        <w:pStyle w:val="ListBullet"/>
      </w:pPr>
      <w:r>
        <w:t>Do not trust organisationId, eventId, role, deviceId or package revision supplied only by the client.</w:t>
      </w:r>
    </w:p>
    <w:p>
      <w:pPr>
        <w:pStyle w:val="ListBullet"/>
      </w:pPr>
      <w:r>
        <w:t>Do not create parallel duplicate domain types instead of using the canonical contract.</w:t>
      </w:r>
    </w:p>
    <w:p>
      <w:pPr>
        <w:pStyle w:val="ListBullet"/>
      </w:pPr>
      <w:r>
        <w:t>Do not introduce external CDNs or runtime internet dependencies into core surfaces.</w:t>
      </w:r>
    </w:p>
    <w:p>
      <w:pPr>
        <w:pStyle w:val="ListBullet"/>
      </w:pPr>
      <w:r>
        <w:t>Do not resolve an ambiguous guest search automatically.</w:t>
      </w:r>
    </w:p>
    <w:p>
      <w:pPr>
        <w:pStyle w:val="ListBullet"/>
      </w:pPr>
      <w:r>
        <w:t>Do not let a QR scan, kiosk or FaceGate assertion create attendance without the authorised human workflow.</w:t>
      </w:r>
    </w:p>
    <w:p>
      <w:pPr>
        <w:pStyle w:val="ListBullet"/>
      </w:pPr>
      <w:r>
        <w:t>Do not implement automatic failover unless fencing/quorum prevents split brain and tests prove it.</w:t>
      </w:r>
    </w:p>
    <w:p>
      <w:pPr>
        <w:pStyle w:val="ListBullet"/>
      </w:pPr>
      <w:r>
        <w:t>Do not use last-write-wins for consequential reconciliation.</w:t>
      </w:r>
    </w:p>
    <w:p>
      <w:pPr>
        <w:pStyle w:val="ListBullet"/>
      </w:pPr>
      <w:r>
        <w:t>Do not weaken tests, lint, type safety, CSP, authentication or tenancy to make a build pass.</w:t>
      </w:r>
    </w:p>
    <w:p>
      <w:pPr>
        <w:pStyle w:val="ListBullet"/>
      </w:pPr>
      <w:r>
        <w:t>Do not invent legal approval, venue evidence, biometric authority, independent acceptance or CEO release.</w:t>
      </w:r>
    </w:p>
    <w:p>
      <w:pPr>
        <w:pStyle w:val="Heading1"/>
      </w:pPr>
      <w:r>
        <w:t>Appendix D — Definition of done</w:t>
      </w:r>
    </w:p>
    <w:p>
      <w:r>
        <w:t>A prompt is complete only when its observable production behaviour, security boundary, data change, user surface, degraded behaviour, tests, evidence, documentation and commit all satisfy the prompt. “Implemented but untested”, “backend only”, “UI shell”, “works online”, “requires later hardening” and “will be connected in a future slice” are failures unless the prompt expressly states that result.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MD-OS-CUR-002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