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DocWise 测试文档：智能运维与可观测性实践</w:t>
      </w:r>
    </w:p>
    <w:p>
      <w:r>
        <w:t>本文档为 DocWise 平台的功能测试语料，内容为虚构的运维实践场景，用于验证：文档分块、混合检索、引用溯源、防幻觉、Markdown 渲染。</w:t>
      </w:r>
    </w:p>
    <w:p>
      <w:pPr>
        <w:pStyle w:val="Heading1"/>
      </w:pPr>
      <w:r>
        <w:t>DocWise 测试文档：智能运维与可观测性实践</w:t>
      </w:r>
    </w:p>
    <w:p>
      <w:r>
        <w:t>本文档为 DocWise 平台的功能测试语料，内容为虚构的运维实践场景，</w:t>
      </w:r>
    </w:p>
    <w:p>
      <w:r>
        <w:t>用于验证：文档分块、混合检索、引用溯源、防幻觉、Markdown 渲染。</w:t>
      </w:r>
    </w:p>
    <w:p>
      <w:pPr>
        <w:pStyle w:val="Heading2"/>
      </w:pPr>
      <w:r>
        <w:t>一、什么是可观测性</w:t>
      </w:r>
    </w:p>
    <w:p>
      <w:r>
        <w:t>可观测性（Observability）是系统对外部问题的可回答程度，三大支柱为：</w:t>
      </w:r>
    </w:p>
    <w:p>
      <w:r>
        <w:t>日志（Logs）、指标（Metrics）、链路追踪（Traces）。与"监控"不同，</w:t>
      </w:r>
    </w:p>
    <w:p>
      <w:r>
        <w:t>可观测性强调**未知问题的探索能力**——监控回答"我知道它坏了"，</w:t>
      </w:r>
    </w:p>
    <w:p>
      <w:r>
        <w:t>可观测性回答"我不知道会坏什么，但坏了能查出来"。</w:t>
      </w:r>
    </w:p>
    <w:p>
      <w:pPr>
        <w:pStyle w:val="Heading2"/>
      </w:pPr>
      <w:r>
        <w:t>二、DocWise-X 协议规范（虚构示例）</w:t>
      </w:r>
    </w:p>
    <w:p>
      <w:r>
        <w:t>DocWise-X 是本文档虚构的采集传输协议，仅用于测试：</w:t>
      </w:r>
    </w:p>
    <w:p>
      <w:pPr>
        <w:pStyle w:val="ListBullet"/>
      </w:pPr>
      <w:r>
        <w:t>- 传输端口：**9801**（TCP）</w:t>
      </w:r>
    </w:p>
    <w:p>
      <w:pPr>
        <w:pStyle w:val="ListBullet"/>
      </w:pPr>
      <w:r>
        <w:t>- 心跳间隔：**5 秒**，连续 **3 次**心跳超时判定节点离线</w:t>
      </w:r>
    </w:p>
    <w:p>
      <w:pPr>
        <w:pStyle w:val="ListBullet"/>
      </w:pPr>
      <w:r>
        <w:t>- 单帧最大负载：**64KB**，超过则分片，分片数上限 8</w:t>
      </w:r>
    </w:p>
    <w:p>
      <w:pPr>
        <w:pStyle w:val="ListBullet"/>
      </w:pPr>
      <w:r>
        <w:t>- 请求超时：**300ms**，超时后重试，最多 **2 次**</w:t>
      </w:r>
    </w:p>
    <w:p>
      <w:pPr>
        <w:pStyle w:val="ListBullet"/>
      </w:pPr>
      <w:r>
        <w:t>- 帧头魔数：`0xDW9F`，用于快速校验帧合法性</w:t>
      </w:r>
    </w:p>
    <w:p>
      <w:r>
        <w:t>注意：以上参数在真实世界中不存在，仅用于测试模型"只依据资料回答、不编造"。</w:t>
      </w:r>
    </w:p>
    <w:p>
      <w:pPr>
        <w:pStyle w:val="Heading2"/>
      </w:pPr>
      <w:r>
        <w:t>三、日志采集架构</w:t>
      </w:r>
    </w:p>
    <w:p>
      <w:r>
        <w:t>LogAgent 是日志采集组件，运行在每个节点：</w:t>
      </w:r>
    </w:p>
    <w:p>
      <w:r>
        <w:t>1. 读取本地日志文件，按行解析并打上节点标签；</w:t>
      </w:r>
    </w:p>
    <w:p>
      <w:r>
        <w:t>2. 写入本地缓冲（默认 **64MB**，写满触发滚动）；</w:t>
      </w:r>
    </w:p>
    <w:p>
      <w:r>
        <w:t>3. 批量上报：**每 500 条或 1 秒**触发一次发送（先到先发）；</w:t>
      </w:r>
    </w:p>
    <w:p>
      <w:r>
        <w:t>4. 上报失败进入重试队列，重试间隔指数退避：1s → 2s → 4s；</w:t>
      </w:r>
    </w:p>
    <w:p>
      <w:r>
        <w:t>5. 重试 **5 次**仍失败则落盘到 `failed/` 目录，等待人工补偿。</w:t>
      </w:r>
    </w:p>
    <w:p>
      <w:r>
        <w:t>采样策略：默认全量采集；高流量时段可按 **10% 采样率**降级，</w:t>
      </w:r>
    </w:p>
    <w:p>
      <w:r>
        <w:t>采样时保留请求关联 ID 以保证链路可追踪。</w:t>
      </w:r>
    </w:p>
    <w:p>
      <w:pPr>
        <w:pStyle w:val="Heading2"/>
      </w:pPr>
      <w:r>
        <w:t>四、指标与告警规则</w:t>
      </w:r>
    </w:p>
    <w:p>
      <w:r>
        <w:t>常用告警阈值（示例）：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阈值</w:t>
            </w:r>
          </w:p>
        </w:tc>
        <w:tc>
          <w:tcPr>
            <w:tcW w:type="dxa" w:w="2160"/>
          </w:tcPr>
          <w:p>
            <w:r>
              <w:t>持续时间</w:t>
            </w:r>
          </w:p>
        </w:tc>
        <w:tc>
          <w:tcPr>
            <w:tcW w:type="dxa" w:w="2160"/>
          </w:tcPr>
          <w:p>
            <w:r>
              <w:t>级别</w:t>
            </w:r>
          </w:p>
        </w:tc>
      </w:tr>
      <w:tr>
        <w:tc>
          <w:tcPr>
            <w:tcW w:type="dxa" w:w="2160"/>
          </w:tcPr>
          <w:p>
            <w:r>
              <w:t>CPU 使用率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5 分钟</w:t>
            </w:r>
          </w:p>
        </w:tc>
        <w:tc>
          <w:tcPr>
            <w:tcW w:type="dxa" w:w="2160"/>
          </w:tcPr>
          <w:p>
            <w:r>
              <w:t>警告</w:t>
            </w:r>
          </w:p>
        </w:tc>
      </w:tr>
      <w:tr>
        <w:tc>
          <w:tcPr>
            <w:tcW w:type="dxa" w:w="2160"/>
          </w:tcPr>
          <w:p>
            <w:r>
              <w:t>内存使用率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5 分钟</w:t>
            </w:r>
          </w:p>
        </w:tc>
        <w:tc>
          <w:tcPr>
            <w:tcW w:type="dxa" w:w="2160"/>
          </w:tcPr>
          <w:p>
            <w:r>
              <w:t>警告</w:t>
            </w:r>
          </w:p>
        </w:tc>
      </w:tr>
      <w:tr>
        <w:tc>
          <w:tcPr>
            <w:tcW w:type="dxa" w:w="2160"/>
          </w:tcPr>
          <w:p>
            <w:r>
              <w:t>错误率（5xx 占比）</w:t>
            </w:r>
          </w:p>
        </w:tc>
        <w:tc>
          <w:tcPr>
            <w:tcW w:type="dxa" w:w="2160"/>
          </w:tcPr>
          <w:p>
            <w:r>
              <w:t>1%</w:t>
            </w:r>
          </w:p>
        </w:tc>
        <w:tc>
          <w:tcPr>
            <w:tcW w:type="dxa" w:w="2160"/>
          </w:tcPr>
          <w:p>
            <w:r>
              <w:t>3 分钟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</w:tr>
      <w:tr>
        <w:tc>
          <w:tcPr>
            <w:tcW w:type="dxa" w:w="2160"/>
          </w:tcPr>
          <w:p>
            <w:r>
              <w:t>P99 延迟</w:t>
            </w:r>
          </w:p>
        </w:tc>
        <w:tc>
          <w:tcPr>
            <w:tcW w:type="dxa" w:w="2160"/>
          </w:tcPr>
          <w:p>
            <w:r>
              <w:t>800ms</w:t>
            </w:r>
          </w:p>
        </w:tc>
        <w:tc>
          <w:tcPr>
            <w:tcW w:type="dxa" w:w="2160"/>
          </w:tcPr>
          <w:p>
            <w:r>
              <w:t>5 分钟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</w:tr>
    </w:tbl>
    <w:p>
      <w:r>
        <w:t>告警去重：同一规则同一目标 30 分钟内只通知一次；静默窗口可通过配置关闭。</w:t>
      </w:r>
    </w:p>
    <w:p>
      <w:pPr>
        <w:pStyle w:val="Heading2"/>
      </w:pPr>
      <w:r>
        <w:t>五、链路追踪与采样</w:t>
      </w:r>
    </w:p>
    <w:p>
      <w:r>
        <w:t>链路追踪用 Trace ID 串联一次请求的所有跨度，格式：`dw-` 前缀 + 16 位十六进制，</w:t>
      </w:r>
    </w:p>
    <w:p>
      <w:r>
        <w:t>如 `dw-9f3a1c8e2b47d605`。跨度（Span）记录：开始时间、耗时、状态、父子关系。</w:t>
      </w:r>
    </w:p>
    <w:p>
      <w:r>
        <w:t>追踪采样策略：头部采样（按 Trace ID 哈希）与尾部采样（按结果）两种，</w:t>
      </w:r>
    </w:p>
    <w:p>
      <w:r>
        <w:t>默认 **固定比率 5%**；出现错误时强制全采（错误追踪 100% 保留）。</w:t>
      </w:r>
    </w:p>
    <w:p>
      <w:pPr>
        <w:pStyle w:val="Heading2"/>
      </w:pPr>
      <w:r>
        <w:t>六、部署与回滚</w:t>
      </w:r>
    </w:p>
    <w:p>
      <w:r>
        <w:t>发布采用**蓝绿部署**：新旧两套环境并存，流量一键切换，切换失败 10 秒内自动回滚。</w:t>
      </w:r>
    </w:p>
    <w:p>
      <w:r>
        <w:t>金丝雀发布：先放量 **5%** 流量观察 30 分钟，指标平稳后逐步放量 25% → 50% → 100%。</w:t>
      </w:r>
    </w:p>
    <w:p>
      <w:r>
        <w:t>回滚触发条件：错误率超过 2% 或 P99 延迟超过 1 秒，自动回滚并告警。</w:t>
      </w:r>
    </w:p>
    <w:p>
      <w:pPr>
        <w:pStyle w:val="Heading2"/>
      </w:pPr>
      <w:r>
        <w:t>七、配置示例（YAML）</w:t>
      </w:r>
    </w:p>
    <w:p>
      <w:r>
        <w:t>代码示例：</w:t>
      </w:r>
    </w:p>
    <w:p>
      <w:pPr>
        <w:pStyle w:val="NoSpacing"/>
      </w:pPr>
      <w:r>
        <w:rPr>
          <w:rFonts w:ascii="Consolas" w:hAnsi="Consolas"/>
          <w:sz w:val="18"/>
        </w:rPr>
        <w:t>logagent:</w:t>
        <w:br/>
        <w:t xml:space="preserve">  buffer_size_mb: 64</w:t>
        <w:br/>
        <w:t xml:space="preserve">  batch_size: 500</w:t>
        <w:br/>
        <w:t xml:space="preserve">  flush_interval_sec: 1</w:t>
        <w:br/>
        <w:t xml:space="preserve">  retry:</w:t>
        <w:br/>
        <w:t xml:space="preserve">    max_attempts: 5</w:t>
        <w:br/>
        <w:t xml:space="preserve">    backoff: [1, 2, 4, 8, 16]</w:t>
        <w:br/>
        <w:t xml:space="preserve">  sampling_rate: 0.1</w:t>
        <w:br/>
        <w:br/>
        <w:t>protocol:</w:t>
        <w:br/>
        <w:t xml:space="preserve">  name: docwise-x</w:t>
        <w:br/>
        <w:t xml:space="preserve">  port: 9801</w:t>
        <w:br/>
        <w:t xml:space="preserve">  heartbeat_sec: 5</w:t>
        <w:br/>
        <w:t xml:space="preserve">  frame_max_kb: 64</w:t>
        <w:br/>
        <w:t xml:space="preserve">  timeout_ms: 300</w:t>
      </w:r>
    </w:p>
    <w:p>
      <w:pPr>
        <w:pStyle w:val="Heading2"/>
      </w:pPr>
      <w:r>
        <w:t>八、常见问题速查</w:t>
      </w:r>
    </w:p>
    <w:p>
      <w:pPr>
        <w:pStyle w:val="ListBullet"/>
      </w:pPr>
      <w:r>
        <w:t>- 日志丢失怎么办：检查 LogAgent 缓冲是否写满、重试队列是否积压、`failed/` 目录是否有补偿文件；</w:t>
      </w:r>
    </w:p>
    <w:p>
      <w:pPr>
        <w:pStyle w:val="ListBullet"/>
      </w:pPr>
      <w:r>
        <w:t>- 告警风暴怎么避免：启用告警去重、配置静默窗口、按级别分级通知；</w:t>
      </w:r>
    </w:p>
    <w:p>
      <w:pPr>
        <w:pStyle w:val="ListBullet"/>
      </w:pPr>
      <w:r>
        <w:t>- 追踪数据量太大：降低固定采样率，或改用头部采样按用户维度抽样；</w:t>
      </w:r>
    </w:p>
    <w:p>
      <w:pPr>
        <w:pStyle w:val="ListBullet"/>
      </w:pPr>
      <w:r>
        <w:t>- 回滚失败怎么办：蓝绿环境保留 24 小时，直接切换流量并保留现场用于排查。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