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0"/>
        </w:rPr>
        <w:t>Sovereign Debt Distress Data Cleaning and Dataset Construction Notes</w:t>
      </w:r>
    </w:p>
    <w:p>
      <w:pPr>
        <w:jc w:val="center"/>
      </w:pPr>
      <w:r>
        <w:rPr>
          <w:i/>
          <w:color w:val="5A5A5A"/>
          <w:sz w:val="22"/>
        </w:rPr>
        <w:t>Detailed methodology, issues, justifications, and reproducible pipeline guidance</w:t>
      </w:r>
    </w:p>
    <w:p>
      <w:pPr>
        <w:jc w:val="center"/>
      </w:pPr>
      <w:r>
        <w:rPr>
          <w:color w:val="505050"/>
          <w:sz w:val="21"/>
        </w:rPr>
        <w:t>Prepared for the interim sovereign distress early warning project</w:t>
        <w:br/>
      </w:r>
      <w:r>
        <w:rPr>
          <w:color w:val="505050"/>
          <w:sz w:val="21"/>
        </w:rPr>
        <w:t>Target panel: 32 countries × monthly observations from 2000-01 to 2024-12</w:t>
        <w:br/>
      </w:r>
      <w:r>
        <w:rPr>
          <w:color w:val="505050"/>
          <w:sz w:val="21"/>
        </w:rPr>
        <w:t>Final merged panel produced in the delivered outputs: 9600 rows × 111 columns</w:t>
        <w:br/>
      </w:r>
    </w:p>
    <w:p>
      <w:r>
        <w:br w:type="page"/>
      </w:r>
    </w:p>
    <w:p>
      <w:pPr>
        <w:pStyle w:val="Heading1"/>
      </w:pPr>
      <w:r>
        <w:t>1. Executive summary</w:t>
      </w:r>
    </w:p>
    <w:p>
      <w:r>
        <w:t>This document explains the complete cleaning and arrangement workflow used to turn a mixed set of raw macroeconomic, debt, political, default, and balance-of-payments files into a model-ready sovereign distress panel. The raw inputs were deliberately heterogeneous. Some were event-level files, some were annual country-series workbooks, some were IMF wide-format exports with hundreds of time columns embedded in the header, and the BoC-BoE default files were not standard datasets at all because they contained metadata and series dictionaries before the observation rows.</w:t>
      </w:r>
    </w:p>
    <w:p>
      <w:r>
        <w:t>The core design decision was to standardize everything to a single monthly backbone. The final analytical unit was country-month. That choice was necessary because the downstream models, especially the baselines, LSTM, and Transformer, all require one consistent temporal grid. Once the monthly backbone was fixed, every source had to be translated onto it in a defensible way: events were aggregated up to month level, annual sources were repeated across months of the corresponding year, quarterly sources were forward-carried across the three constituent months, and sparse series were retained only when they met minimum usefulness thresholds.</w:t>
      </w:r>
    </w:p>
    <w:p>
      <w:r>
        <w:t>The cleaning process did not simply try to preserve every available column. It prioritized interpretability, stability, and coverage. This is why the pipeline aggressively selected one best series per country from wide IMF exports, dropped columns with more than 50 percent missingness before final imputation, and created explicit missingness flags for features that still had meaningful sparsity. Those choices were important because the raw files were much wider than the final dataset needed to be, and keeping every candidate series would have created noise, collinearity, and fragile behavior in the first round of baseline modeling.</w:t>
      </w:r>
    </w:p>
    <w:p>
      <w:r>
        <w:t>The delivered merged output contains 9,600 country-month rows. After source merging, filtering, imputation, and feature engineering, the final panel contained 111 columns. The split files and sequence windows were then generated from the same cleaned panel so that the report, the baseline models, and the eventual Transformer training all refer back to one consistent data foundation.</w:t>
      </w:r>
    </w:p>
    <w:p>
      <w:pPr>
        <w:pStyle w:val="Heading1"/>
      </w:pPr>
      <w:r>
        <w:t>2. Raw source inventory and what each file contributed</w:t>
      </w:r>
    </w:p>
    <w:p>
      <w:r>
        <w:t>The table below summarizes the raw files, their role in the project, and the main problem each one introduced into the cleaning pipeline.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pPr>
              <w:jc w:val="center"/>
            </w:pPr>
            <w:r>
              <w:rPr>
                <w:rFonts w:ascii="Aptos" w:hAnsi="Aptos"/>
                <w:b/>
                <w:sz w:val="19"/>
              </w:rPr>
              <w:t>Raw file</w:t>
            </w:r>
          </w:p>
        </w:tc>
        <w:tc>
          <w:tcPr>
            <w:tcW w:type="dxa" w:w="2484"/>
            <w:shd w:fill="D9EAF7"/>
            <w:vAlign w:val="center"/>
          </w:tcPr>
          <w:p>
            <w:pPr>
              <w:jc w:val="center"/>
            </w:pPr>
            <w:r>
              <w:rPr>
                <w:rFonts w:ascii="Aptos" w:hAnsi="Aptos"/>
                <w:b/>
                <w:sz w:val="19"/>
              </w:rPr>
              <w:t>Format</w:t>
            </w:r>
          </w:p>
        </w:tc>
        <w:tc>
          <w:tcPr>
            <w:tcW w:type="dxa" w:w="2484"/>
            <w:shd w:fill="D9EAF7"/>
            <w:vAlign w:val="center"/>
          </w:tcPr>
          <w:p>
            <w:pPr>
              <w:jc w:val="center"/>
            </w:pPr>
            <w:r>
              <w:rPr>
                <w:rFonts w:ascii="Aptos" w:hAnsi="Aptos"/>
                <w:b/>
                <w:sz w:val="19"/>
              </w:rPr>
              <w:t>Primary role</w:t>
            </w:r>
          </w:p>
        </w:tc>
        <w:tc>
          <w:tcPr>
            <w:tcW w:type="dxa" w:w="2484"/>
            <w:shd w:fill="D9EAF7"/>
            <w:vAlign w:val="center"/>
          </w:tcPr>
          <w:p>
            <w:pPr>
              <w:jc w:val="center"/>
            </w:pPr>
            <w:r>
              <w:rPr>
                <w:rFonts w:ascii="Aptos" w:hAnsi="Aptos"/>
                <w:b/>
                <w:sz w:val="19"/>
              </w:rPr>
              <w:t>Main cleaning issue</w:t>
            </w:r>
          </w:p>
        </w:tc>
      </w:tr>
      <w:tr>
        <w:tc>
          <w:tcPr>
            <w:tcW w:type="dxa" w:w="2484"/>
            <w:vAlign w:val="center"/>
          </w:tcPr>
          <w:p>
            <w:pPr>
              <w:jc w:val="left"/>
            </w:pPr>
            <w:r>
              <w:rPr>
                <w:rFonts w:ascii="Aptos" w:hAnsi="Aptos"/>
                <w:b w:val="0"/>
                <w:sz w:val="19"/>
              </w:rPr>
              <w:t>ACLED Data_2026-04-03 (1).csv</w:t>
            </w:r>
          </w:p>
        </w:tc>
        <w:tc>
          <w:tcPr>
            <w:tcW w:type="dxa" w:w="2484"/>
            <w:vAlign w:val="center"/>
          </w:tcPr>
          <w:p>
            <w:pPr>
              <w:jc w:val="left"/>
            </w:pPr>
            <w:r>
              <w:rPr>
                <w:rFonts w:ascii="Aptos" w:hAnsi="Aptos"/>
                <w:b w:val="0"/>
                <w:sz w:val="19"/>
              </w:rPr>
              <w:t>Event-level CSV</w:t>
            </w:r>
          </w:p>
        </w:tc>
        <w:tc>
          <w:tcPr>
            <w:tcW w:type="dxa" w:w="2484"/>
            <w:vAlign w:val="center"/>
          </w:tcPr>
          <w:p>
            <w:pPr>
              <w:jc w:val="left"/>
            </w:pPr>
            <w:r>
              <w:rPr>
                <w:rFonts w:ascii="Aptos" w:hAnsi="Aptos"/>
                <w:b w:val="0"/>
                <w:sz w:val="19"/>
              </w:rPr>
              <w:t>Political instability</w:t>
            </w:r>
          </w:p>
        </w:tc>
        <w:tc>
          <w:tcPr>
            <w:tcW w:type="dxa" w:w="2484"/>
            <w:vAlign w:val="center"/>
          </w:tcPr>
          <w:p>
            <w:pPr>
              <w:jc w:val="left"/>
            </w:pPr>
            <w:r>
              <w:rPr>
                <w:rFonts w:ascii="Aptos" w:hAnsi="Aptos"/>
                <w:b w:val="0"/>
                <w:sz w:val="19"/>
              </w:rPr>
              <w:t>Event-level unrest/conflict data; needs monthly aggregation; some target countries absent</w:t>
            </w:r>
          </w:p>
        </w:tc>
      </w:tr>
      <w:tr>
        <w:tc>
          <w:tcPr>
            <w:tcW w:type="dxa" w:w="2484"/>
            <w:vAlign w:val="center"/>
          </w:tcPr>
          <w:p>
            <w:pPr>
              <w:jc w:val="left"/>
            </w:pPr>
            <w:r>
              <w:rPr>
                <w:rFonts w:ascii="Aptos" w:hAnsi="Aptos"/>
                <w:b w:val="0"/>
                <w:sz w:val="19"/>
              </w:rPr>
              <w:t>number_of_political_violence_events_by_country-month-year_as-of-27Mar2026.xlsx</w:t>
            </w:r>
          </w:p>
        </w:tc>
        <w:tc>
          <w:tcPr>
            <w:tcW w:type="dxa" w:w="2484"/>
            <w:vAlign w:val="center"/>
          </w:tcPr>
          <w:p>
            <w:pPr>
              <w:jc w:val="left"/>
            </w:pPr>
            <w:r>
              <w:rPr>
                <w:rFonts w:ascii="Aptos" w:hAnsi="Aptos"/>
                <w:b w:val="0"/>
                <w:sz w:val="19"/>
              </w:rPr>
              <w:t>Country-month Excel</w:t>
            </w:r>
          </w:p>
        </w:tc>
        <w:tc>
          <w:tcPr>
            <w:tcW w:type="dxa" w:w="2484"/>
            <w:vAlign w:val="center"/>
          </w:tcPr>
          <w:p>
            <w:pPr>
              <w:jc w:val="left"/>
            </w:pPr>
            <w:r>
              <w:rPr>
                <w:rFonts w:ascii="Aptos" w:hAnsi="Aptos"/>
                <w:b w:val="0"/>
                <w:sz w:val="19"/>
              </w:rPr>
              <w:t>Political cross-check</w:t>
            </w:r>
          </w:p>
        </w:tc>
        <w:tc>
          <w:tcPr>
            <w:tcW w:type="dxa" w:w="2484"/>
            <w:vAlign w:val="center"/>
          </w:tcPr>
          <w:p>
            <w:pPr>
              <w:jc w:val="left"/>
            </w:pPr>
            <w:r>
              <w:rPr>
                <w:rFonts w:ascii="Aptos" w:hAnsi="Aptos"/>
                <w:b w:val="0"/>
                <w:sz w:val="19"/>
              </w:rPr>
              <w:t>Already aggregated, simple to map, kept as robust fallback political feature</w:t>
            </w:r>
          </w:p>
        </w:tc>
      </w:tr>
      <w:tr>
        <w:tc>
          <w:tcPr>
            <w:tcW w:type="dxa" w:w="2484"/>
            <w:vAlign w:val="center"/>
          </w:tcPr>
          <w:p>
            <w:pPr>
              <w:jc w:val="left"/>
            </w:pPr>
            <w:r>
              <w:rPr>
                <w:rFonts w:ascii="Aptos" w:hAnsi="Aptos"/>
                <w:b w:val="0"/>
                <w:sz w:val="19"/>
              </w:rPr>
              <w:t>Consumer_Price_Index.csv</w:t>
            </w:r>
          </w:p>
        </w:tc>
        <w:tc>
          <w:tcPr>
            <w:tcW w:type="dxa" w:w="2484"/>
            <w:vAlign w:val="center"/>
          </w:tcPr>
          <w:p>
            <w:pPr>
              <w:jc w:val="left"/>
            </w:pPr>
            <w:r>
              <w:rPr>
                <w:rFonts w:ascii="Aptos" w:hAnsi="Aptos"/>
                <w:b w:val="0"/>
                <w:sz w:val="19"/>
              </w:rPr>
              <w:t>Wide IMF export</w:t>
            </w:r>
          </w:p>
        </w:tc>
        <w:tc>
          <w:tcPr>
            <w:tcW w:type="dxa" w:w="2484"/>
            <w:vAlign w:val="center"/>
          </w:tcPr>
          <w:p>
            <w:pPr>
              <w:jc w:val="left"/>
            </w:pPr>
            <w:r>
              <w:rPr>
                <w:rFonts w:ascii="Aptos" w:hAnsi="Aptos"/>
                <w:b w:val="0"/>
                <w:sz w:val="19"/>
              </w:rPr>
              <w:t>Inflation</w:t>
            </w:r>
          </w:p>
        </w:tc>
        <w:tc>
          <w:tcPr>
            <w:tcW w:type="dxa" w:w="2484"/>
            <w:vAlign w:val="center"/>
          </w:tcPr>
          <w:p>
            <w:pPr>
              <w:jc w:val="left"/>
            </w:pPr>
            <w:r>
              <w:rPr>
                <w:rFonts w:ascii="Aptos" w:hAnsi="Aptos"/>
                <w:b w:val="0"/>
                <w:sz w:val="19"/>
              </w:rPr>
              <w:t>Metadata-heavy, mixed frequencies, many CPI subcategories, required headline-series selection</w:t>
            </w:r>
          </w:p>
        </w:tc>
      </w:tr>
      <w:tr>
        <w:tc>
          <w:tcPr>
            <w:tcW w:type="dxa" w:w="2484"/>
            <w:vAlign w:val="center"/>
          </w:tcPr>
          <w:p>
            <w:pPr>
              <w:jc w:val="left"/>
            </w:pPr>
            <w:r>
              <w:rPr>
                <w:rFonts w:ascii="Aptos" w:hAnsi="Aptos"/>
                <w:b w:val="0"/>
                <w:sz w:val="19"/>
              </w:rPr>
              <w:t>Exchange_rate.csv</w:t>
            </w:r>
          </w:p>
        </w:tc>
        <w:tc>
          <w:tcPr>
            <w:tcW w:type="dxa" w:w="2484"/>
            <w:vAlign w:val="center"/>
          </w:tcPr>
          <w:p>
            <w:pPr>
              <w:jc w:val="left"/>
            </w:pPr>
            <w:r>
              <w:rPr>
                <w:rFonts w:ascii="Aptos" w:hAnsi="Aptos"/>
                <w:b w:val="0"/>
                <w:sz w:val="19"/>
              </w:rPr>
              <w:t>Wide IMF export</w:t>
            </w:r>
          </w:p>
        </w:tc>
        <w:tc>
          <w:tcPr>
            <w:tcW w:type="dxa" w:w="2484"/>
            <w:vAlign w:val="center"/>
          </w:tcPr>
          <w:p>
            <w:pPr>
              <w:jc w:val="left"/>
            </w:pPr>
            <w:r>
              <w:rPr>
                <w:rFonts w:ascii="Aptos" w:hAnsi="Aptos"/>
                <w:b w:val="0"/>
                <w:sz w:val="19"/>
              </w:rPr>
              <w:t>External vulnerability</w:t>
            </w:r>
          </w:p>
        </w:tc>
        <w:tc>
          <w:tcPr>
            <w:tcW w:type="dxa" w:w="2484"/>
            <w:vAlign w:val="center"/>
          </w:tcPr>
          <w:p>
            <w:pPr>
              <w:jc w:val="left"/>
            </w:pPr>
            <w:r>
              <w:rPr>
                <w:rFonts w:ascii="Aptos" w:hAnsi="Aptos"/>
                <w:b w:val="0"/>
                <w:sz w:val="19"/>
              </w:rPr>
              <w:t>Multiple exchange-rate definitions, direction/unit differences, monthly/quarterly/annual variants</w:t>
            </w:r>
          </w:p>
        </w:tc>
      </w:tr>
      <w:tr>
        <w:tc>
          <w:tcPr>
            <w:tcW w:type="dxa" w:w="2484"/>
            <w:vAlign w:val="center"/>
          </w:tcPr>
          <w:p>
            <w:pPr>
              <w:jc w:val="left"/>
            </w:pPr>
            <w:r>
              <w:rPr>
                <w:rFonts w:ascii="Aptos" w:hAnsi="Aptos"/>
                <w:b w:val="0"/>
                <w:sz w:val="19"/>
              </w:rPr>
              <w:t>WEO.csv</w:t>
            </w:r>
          </w:p>
        </w:tc>
        <w:tc>
          <w:tcPr>
            <w:tcW w:type="dxa" w:w="2484"/>
            <w:vAlign w:val="center"/>
          </w:tcPr>
          <w:p>
            <w:pPr>
              <w:jc w:val="left"/>
            </w:pPr>
            <w:r>
              <w:rPr>
                <w:rFonts w:ascii="Aptos" w:hAnsi="Aptos"/>
                <w:b w:val="0"/>
                <w:sz w:val="19"/>
              </w:rPr>
              <w:t>Wide IMF annual export</w:t>
            </w:r>
          </w:p>
        </w:tc>
        <w:tc>
          <w:tcPr>
            <w:tcW w:type="dxa" w:w="2484"/>
            <w:vAlign w:val="center"/>
          </w:tcPr>
          <w:p>
            <w:pPr>
              <w:jc w:val="left"/>
            </w:pPr>
            <w:r>
              <w:rPr>
                <w:rFonts w:ascii="Aptos" w:hAnsi="Aptos"/>
                <w:b w:val="0"/>
                <w:sz w:val="19"/>
              </w:rPr>
              <w:t>Macro controls</w:t>
            </w:r>
          </w:p>
        </w:tc>
        <w:tc>
          <w:tcPr>
            <w:tcW w:type="dxa" w:w="2484"/>
            <w:vAlign w:val="center"/>
          </w:tcPr>
          <w:p>
            <w:pPr>
              <w:jc w:val="left"/>
            </w:pPr>
            <w:r>
              <w:rPr>
                <w:rFonts w:ascii="Aptos" w:hAnsi="Aptos"/>
                <w:b w:val="0"/>
                <w:sz w:val="19"/>
              </w:rPr>
              <w:t>Annual values only, includes forecasts, required indicator mapping and conservative year filtering</w:t>
            </w:r>
          </w:p>
        </w:tc>
      </w:tr>
    </w:tbl>
    <w:p/>
    <w:p>
      <w:r>
        <w:t>Raw source inventory table continued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pPr>
              <w:jc w:val="center"/>
            </w:pPr>
            <w:r>
              <w:rPr>
                <w:rFonts w:ascii="Aptos" w:hAnsi="Aptos"/>
                <w:b/>
                <w:sz w:val="19"/>
              </w:rPr>
              <w:t>Raw file</w:t>
            </w:r>
          </w:p>
        </w:tc>
        <w:tc>
          <w:tcPr>
            <w:tcW w:type="dxa" w:w="2484"/>
            <w:shd w:fill="D9EAF7"/>
            <w:vAlign w:val="center"/>
          </w:tcPr>
          <w:p>
            <w:pPr>
              <w:jc w:val="center"/>
            </w:pPr>
            <w:r>
              <w:rPr>
                <w:rFonts w:ascii="Aptos" w:hAnsi="Aptos"/>
                <w:b/>
                <w:sz w:val="19"/>
              </w:rPr>
              <w:t>Format</w:t>
            </w:r>
          </w:p>
        </w:tc>
        <w:tc>
          <w:tcPr>
            <w:tcW w:type="dxa" w:w="2484"/>
            <w:shd w:fill="D9EAF7"/>
            <w:vAlign w:val="center"/>
          </w:tcPr>
          <w:p>
            <w:pPr>
              <w:jc w:val="center"/>
            </w:pPr>
            <w:r>
              <w:rPr>
                <w:rFonts w:ascii="Aptos" w:hAnsi="Aptos"/>
                <w:b/>
                <w:sz w:val="19"/>
              </w:rPr>
              <w:t>Primary role</w:t>
            </w:r>
          </w:p>
        </w:tc>
        <w:tc>
          <w:tcPr>
            <w:tcW w:type="dxa" w:w="2484"/>
            <w:shd w:fill="D9EAF7"/>
            <w:vAlign w:val="center"/>
          </w:tcPr>
          <w:p>
            <w:pPr>
              <w:jc w:val="center"/>
            </w:pPr>
            <w:r>
              <w:rPr>
                <w:rFonts w:ascii="Aptos" w:hAnsi="Aptos"/>
                <w:b/>
                <w:sz w:val="19"/>
              </w:rPr>
              <w:t>Main cleaning issue</w:t>
            </w:r>
          </w:p>
        </w:tc>
      </w:tr>
      <w:tr>
        <w:tc>
          <w:tcPr>
            <w:tcW w:type="dxa" w:w="2484"/>
            <w:vAlign w:val="center"/>
          </w:tcPr>
          <w:p>
            <w:pPr>
              <w:jc w:val="left"/>
            </w:pPr>
            <w:r>
              <w:rPr>
                <w:rFonts w:ascii="Aptos" w:hAnsi="Aptos"/>
                <w:b w:val="0"/>
                <w:sz w:val="19"/>
              </w:rPr>
              <w:t>External Debt Statistics_ALL COUNTRIES.xlsx</w:t>
            </w:r>
          </w:p>
        </w:tc>
        <w:tc>
          <w:tcPr>
            <w:tcW w:type="dxa" w:w="2484"/>
            <w:vAlign w:val="center"/>
          </w:tcPr>
          <w:p>
            <w:pPr>
              <w:jc w:val="left"/>
            </w:pPr>
            <w:r>
              <w:rPr>
                <w:rFonts w:ascii="Aptos" w:hAnsi="Aptos"/>
                <w:b w:val="0"/>
                <w:sz w:val="19"/>
              </w:rPr>
              <w:t>World Bank workbook</w:t>
            </w:r>
          </w:p>
        </w:tc>
        <w:tc>
          <w:tcPr>
            <w:tcW w:type="dxa" w:w="2484"/>
            <w:vAlign w:val="center"/>
          </w:tcPr>
          <w:p>
            <w:pPr>
              <w:jc w:val="left"/>
            </w:pPr>
            <w:r>
              <w:rPr>
                <w:rFonts w:ascii="Aptos" w:hAnsi="Aptos"/>
                <w:b w:val="0"/>
                <w:sz w:val="19"/>
              </w:rPr>
              <w:t>Debt stocks and service</w:t>
            </w:r>
          </w:p>
        </w:tc>
        <w:tc>
          <w:tcPr>
            <w:tcW w:type="dxa" w:w="2484"/>
            <w:vAlign w:val="center"/>
          </w:tcPr>
          <w:p>
            <w:pPr>
              <w:jc w:val="left"/>
            </w:pPr>
            <w:r>
              <w:rPr>
                <w:rFonts w:ascii="Aptos" w:hAnsi="Aptos"/>
                <w:b w:val="0"/>
                <w:sz w:val="19"/>
              </w:rPr>
              <w:t>Series-by-year structure, counterpart-area filtering, annual-to-month expansion</w:t>
            </w:r>
          </w:p>
        </w:tc>
      </w:tr>
      <w:tr>
        <w:tc>
          <w:tcPr>
            <w:tcW w:type="dxa" w:w="2484"/>
            <w:vAlign w:val="center"/>
          </w:tcPr>
          <w:p>
            <w:pPr>
              <w:jc w:val="left"/>
            </w:pPr>
            <w:r>
              <w:rPr>
                <w:rFonts w:ascii="Aptos" w:hAnsi="Aptos"/>
                <w:b w:val="0"/>
                <w:sz w:val="19"/>
              </w:rPr>
              <w:t>dataset_...IMF.STA_MFS_IR_8.0.1.csv</w:t>
            </w:r>
          </w:p>
        </w:tc>
        <w:tc>
          <w:tcPr>
            <w:tcW w:type="dxa" w:w="2484"/>
            <w:vAlign w:val="center"/>
          </w:tcPr>
          <w:p>
            <w:pPr>
              <w:jc w:val="left"/>
            </w:pPr>
            <w:r>
              <w:rPr>
                <w:rFonts w:ascii="Aptos" w:hAnsi="Aptos"/>
                <w:b w:val="0"/>
                <w:sz w:val="19"/>
              </w:rPr>
              <w:t>Wide IMF export</w:t>
            </w:r>
          </w:p>
        </w:tc>
        <w:tc>
          <w:tcPr>
            <w:tcW w:type="dxa" w:w="2484"/>
            <w:vAlign w:val="center"/>
          </w:tcPr>
          <w:p>
            <w:pPr>
              <w:jc w:val="left"/>
            </w:pPr>
            <w:r>
              <w:rPr>
                <w:rFonts w:ascii="Aptos" w:hAnsi="Aptos"/>
                <w:b w:val="0"/>
                <w:sz w:val="19"/>
              </w:rPr>
              <w:t>Interest rates</w:t>
            </w:r>
          </w:p>
        </w:tc>
        <w:tc>
          <w:tcPr>
            <w:tcW w:type="dxa" w:w="2484"/>
            <w:vAlign w:val="center"/>
          </w:tcPr>
          <w:p>
            <w:pPr>
              <w:jc w:val="left"/>
            </w:pPr>
            <w:r>
              <w:rPr>
                <w:rFonts w:ascii="Aptos" w:hAnsi="Aptos"/>
                <w:b w:val="0"/>
                <w:sz w:val="19"/>
              </w:rPr>
              <w:t>Many rate concepts, mixed frequencies, sparse country coverage for some rate types</w:t>
            </w:r>
          </w:p>
        </w:tc>
      </w:tr>
      <w:tr>
        <w:tc>
          <w:tcPr>
            <w:tcW w:type="dxa" w:w="2484"/>
            <w:vAlign w:val="center"/>
          </w:tcPr>
          <w:p>
            <w:pPr>
              <w:jc w:val="left"/>
            </w:pPr>
            <w:r>
              <w:rPr>
                <w:rFonts w:ascii="Aptos" w:hAnsi="Aptos"/>
                <w:b w:val="0"/>
                <w:sz w:val="19"/>
              </w:rPr>
              <w:t>Debt_Security_Statistics.csv</w:t>
            </w:r>
          </w:p>
        </w:tc>
        <w:tc>
          <w:tcPr>
            <w:tcW w:type="dxa" w:w="2484"/>
            <w:vAlign w:val="center"/>
          </w:tcPr>
          <w:p>
            <w:pPr>
              <w:jc w:val="left"/>
            </w:pPr>
            <w:r>
              <w:rPr>
                <w:rFonts w:ascii="Aptos" w:hAnsi="Aptos"/>
                <w:b w:val="0"/>
                <w:sz w:val="19"/>
              </w:rPr>
              <w:t>BIS multidimensional panel</w:t>
            </w:r>
          </w:p>
        </w:tc>
        <w:tc>
          <w:tcPr>
            <w:tcW w:type="dxa" w:w="2484"/>
            <w:vAlign w:val="center"/>
          </w:tcPr>
          <w:p>
            <w:pPr>
              <w:jc w:val="left"/>
            </w:pPr>
            <w:r>
              <w:rPr>
                <w:rFonts w:ascii="Aptos" w:hAnsi="Aptos"/>
                <w:b w:val="0"/>
                <w:sz w:val="19"/>
              </w:rPr>
              <w:t>Optional debt-market enrichment</w:t>
            </w:r>
          </w:p>
        </w:tc>
        <w:tc>
          <w:tcPr>
            <w:tcW w:type="dxa" w:w="2484"/>
            <w:vAlign w:val="center"/>
          </w:tcPr>
          <w:p>
            <w:pPr>
              <w:jc w:val="left"/>
            </w:pPr>
            <w:r>
              <w:rPr>
                <w:rFonts w:ascii="Aptos" w:hAnsi="Aptos"/>
                <w:b w:val="0"/>
                <w:sz w:val="19"/>
              </w:rPr>
              <w:t>Highly coded structure, limited immediate coverage, kept optional</w:t>
            </w:r>
          </w:p>
        </w:tc>
      </w:tr>
      <w:tr>
        <w:tc>
          <w:tcPr>
            <w:tcW w:type="dxa" w:w="2484"/>
            <w:vAlign w:val="center"/>
          </w:tcPr>
          <w:p>
            <w:pPr>
              <w:jc w:val="left"/>
            </w:pPr>
            <w:r>
              <w:rPr>
                <w:rFonts w:ascii="Aptos" w:hAnsi="Aptos"/>
                <w:b w:val="0"/>
                <w:sz w:val="19"/>
              </w:rPr>
              <w:t>BoC-BoE_DEBT_2020-2024.csv / xlsx</w:t>
            </w:r>
          </w:p>
        </w:tc>
        <w:tc>
          <w:tcPr>
            <w:tcW w:type="dxa" w:w="2484"/>
            <w:vAlign w:val="center"/>
          </w:tcPr>
          <w:p>
            <w:pPr>
              <w:jc w:val="left"/>
            </w:pPr>
            <w:r>
              <w:rPr>
                <w:rFonts w:ascii="Aptos" w:hAnsi="Aptos"/>
                <w:b w:val="0"/>
                <w:sz w:val="19"/>
              </w:rPr>
              <w:t>Metadata + observations blocks</w:t>
            </w:r>
          </w:p>
        </w:tc>
        <w:tc>
          <w:tcPr>
            <w:tcW w:type="dxa" w:w="2484"/>
            <w:vAlign w:val="center"/>
          </w:tcPr>
          <w:p>
            <w:pPr>
              <w:jc w:val="left"/>
            </w:pPr>
            <w:r>
              <w:rPr>
                <w:rFonts w:ascii="Aptos" w:hAnsi="Aptos"/>
                <w:b w:val="0"/>
                <w:sz w:val="19"/>
              </w:rPr>
              <w:t>Default/distress labels</w:t>
            </w:r>
          </w:p>
        </w:tc>
        <w:tc>
          <w:tcPr>
            <w:tcW w:type="dxa" w:w="2484"/>
            <w:vAlign w:val="center"/>
          </w:tcPr>
          <w:p>
            <w:pPr>
              <w:jc w:val="left"/>
            </w:pPr>
            <w:r>
              <w:rPr>
                <w:rFonts w:ascii="Aptos" w:hAnsi="Aptos"/>
                <w:b w:val="0"/>
                <w:sz w:val="19"/>
              </w:rPr>
              <w:t>Not a standard CSV, required special parsing of OBSERVATIONS section</w:t>
            </w:r>
          </w:p>
        </w:tc>
      </w:tr>
      <w:tr>
        <w:tc>
          <w:tcPr>
            <w:tcW w:type="dxa" w:w="2484"/>
            <w:vAlign w:val="center"/>
          </w:tcPr>
          <w:p>
            <w:pPr>
              <w:jc w:val="left"/>
            </w:pPr>
            <w:r>
              <w:rPr>
                <w:rFonts w:ascii="Aptos" w:hAnsi="Aptos"/>
                <w:b w:val="0"/>
                <w:sz w:val="19"/>
              </w:rPr>
              <w:t>Balance_of_Payments(BOP).csv</w:t>
            </w:r>
          </w:p>
        </w:tc>
        <w:tc>
          <w:tcPr>
            <w:tcW w:type="dxa" w:w="2484"/>
            <w:vAlign w:val="center"/>
          </w:tcPr>
          <w:p>
            <w:pPr>
              <w:jc w:val="left"/>
            </w:pPr>
            <w:r>
              <w:rPr>
                <w:rFonts w:ascii="Aptos" w:hAnsi="Aptos"/>
                <w:b w:val="0"/>
                <w:sz w:val="19"/>
              </w:rPr>
              <w:t>Very large IMF wide export</w:t>
            </w:r>
          </w:p>
        </w:tc>
        <w:tc>
          <w:tcPr>
            <w:tcW w:type="dxa" w:w="2484"/>
            <w:vAlign w:val="center"/>
          </w:tcPr>
          <w:p>
            <w:pPr>
              <w:jc w:val="left"/>
            </w:pPr>
            <w:r>
              <w:rPr>
                <w:rFonts w:ascii="Aptos" w:hAnsi="Aptos"/>
                <w:b w:val="0"/>
                <w:sz w:val="19"/>
              </w:rPr>
              <w:t>External financing / reserves</w:t>
            </w:r>
          </w:p>
        </w:tc>
        <w:tc>
          <w:tcPr>
            <w:tcW w:type="dxa" w:w="2484"/>
            <w:vAlign w:val="center"/>
          </w:tcPr>
          <w:p>
            <w:pPr>
              <w:jc w:val="left"/>
            </w:pPr>
            <w:r>
              <w:rPr>
                <w:rFonts w:ascii="Aptos" w:hAnsi="Aptos"/>
                <w:b w:val="0"/>
                <w:sz w:val="19"/>
              </w:rPr>
              <w:t>1.3GB file, chunked scan needed to avoid high-memory full-file materialization</w:t>
            </w:r>
          </w:p>
        </w:tc>
      </w:tr>
    </w:tbl>
    <w:p/>
    <w:p>
      <w:pPr>
        <w:pStyle w:val="Heading1"/>
      </w:pPr>
      <w:r>
        <w:t>3. Target dataset design</w:t>
      </w:r>
    </w:p>
    <w:p>
      <w:r>
        <w:t>The target dataset was a complete 32-country monthly panel from January 2000 through December 2024. That target implies 300 months per country and therefore 9,600 rows in the final backbone before feature merges. The countries were fixed up front so that source-specific coverage differences would become an explicit data issue rather than an implicit sample definition problem.</w:t>
      </w:r>
    </w:p>
    <w:p>
      <w:r>
        <w:t>Using a predeclared country universe matters for sovereign distress work because many international datasets silently change the sample by missing country, by indicator, or by year. If those sample shifts are left uncontrolled, downstream model performance can reflect changing country composition instead of changing country risk. The backbone approach avoids that problem by forcing every missing source value to appear as an actual missing value attached to a known country-month rather than disappearing from the dataset entirely.</w:t>
      </w:r>
    </w:p>
    <w:p>
      <w:r>
        <w:t>The final panel keeps identifiers and labels separately from model features. This distinction matters because not every cleaned field should be used as a predictor. In particular, the label-support field months_to_next_distress is useful for validation and auditing but would be leakage if used as an input feature. The code file therefore keeps explicit lists for identifiers, labels, and model features.</w:t>
      </w:r>
    </w:p>
    <w:p>
      <w:pPr>
        <w:pStyle w:val="Heading1"/>
      </w:pPr>
      <w:r>
        <w:t>4. Country standardization and ISO3 mapping</w:t>
      </w:r>
    </w:p>
    <w:p>
      <w:r>
        <w:t>Country harmonization was one of the most important cross-source tasks. The raw files used different naming conventions. For example, the World Bank tends to use forms such as 'Egypt, Arab Rep.' or 'Venezuela, RB', while other datasets may use 'Russian Federation' or 'Turkiye'. ACLED includes country names in an event table and also provides a numeric ISO field that is not directly aligned with the ISO3 structure needed for the final backbone. A fixed country-name-to-ISO3 resolver was therefore used across the entire pipeline.</w:t>
      </w:r>
    </w:p>
    <w:p>
      <w:r>
        <w:t>The mapping logic did not try to infer countries using fuzzy matching because false matches are more dangerous than missing values in a sovereign panel. Instead, the code maintains an explicit dictionary of canonical names and high-probability variants. Unknown names are left unmapped and are excluded unless they can be safely resolved. This conservative approach is slower to extend but much more defensible.</w:t>
      </w:r>
    </w:p>
    <w:p>
      <w:pPr>
        <w:pStyle w:val="Heading1"/>
      </w:pPr>
      <w:r>
        <w:t>5. Time harmonization to a monthly panel</w:t>
      </w:r>
    </w:p>
    <w:p>
      <w:r>
        <w:t>The raw sources arrived at different temporal levels. ACLED was event-level. The political violence cross-check file was already monthly. CPI, FX, and interest rates contained mixtures of monthly, quarterly, and annual IMF series. WEO and the World Bank external debt workbook were effectively annual. BIS was partly quarterly. The BoC-BoE default files were annual but were later overridden with known start months where the specification listed them.</w:t>
      </w:r>
    </w:p>
    <w:p>
      <w:r>
        <w:t>Because the downstream task is a 12-month-ahead early warning problem, the panel needed a single consistent frequency. Month-level was the natural compromise. It is fine enough to support rolling windows and lead-time labels, but coarse enough that annual series can still be repeated without pretending to have monthly signal they do not actually contain.</w:t>
      </w:r>
    </w:p>
    <w:p>
      <w:r>
        <w:t>The monthly harmonization rules were deliberately asymmetric. Event-level data were summed or counted within each calendar month because monthly counts are substantively meaningful. Quarterly and annual macro-financial series were not interpolated. Instead, their reported values were carried across the relevant months. This was done because reported annual debt ratios or annual WEO controls are not hidden monthly trajectories; they are annual statements and should remain treated as such.</w:t>
      </w:r>
    </w:p>
    <w:p>
      <w:pPr>
        <w:pStyle w:val="Heading2"/>
      </w:pPr>
      <w:r>
        <w:t>6.1 ACLED raw event data</w:t>
      </w:r>
    </w:p>
    <w:p>
      <w:r>
        <w:t>ACLED was aggregated from event level to country-month by parsing event_date, mapping country names to ISO3, filtering to the target countries, and counting total events plus event-type components. The delivered cleaned file had 3788 rows, 14 columns, and 28 countries.</w:t>
      </w:r>
    </w:p>
    <w:p>
      <w:r>
        <w:t>Its event-type breakdown and fatality shares were substantively useful, but the full ACLED family was later dropped at the merge stage because panel-wide missingness exceeded the 50 percent threshold after projecting onto the fixed backbone.</w:t>
      </w:r>
    </w:p>
    <w:p>
      <w:pPr>
        <w:pStyle w:val="Heading2"/>
      </w:pPr>
      <w:r>
        <w:t>6.2 Pre-aggregated political violence monthly file</w:t>
      </w:r>
    </w:p>
    <w:p>
      <w:r>
        <w:t>This file was already country-month and therefore much easier to use. It was converted to a standard month-start timestamp, mapped to ISO3, and saved as political_violence_events_preagg. The cleaned file had 4811 rows and full 32-country coverage.</w:t>
      </w:r>
    </w:p>
    <w:p>
      <w:r>
        <w:t>It remained in the final panel and effectively became the stable political modality feature once ACLED was removed for sparsity.</w:t>
      </w:r>
    </w:p>
    <w:p>
      <w:pPr>
        <w:pStyle w:val="Heading2"/>
      </w:pPr>
      <w:r>
        <w:t>6.3 IMF CPI and FX files</w:t>
      </w:r>
    </w:p>
    <w:p>
      <w:r>
        <w:t>The CPI and exchange-rate files were both wide IMF exports with many metadata columns and mixed time frequencies. The pipeline filtered to one interpretable candidate concept per country, preferred monthly series where possible, melted the selected rows to long format, parsed period strings into dates, and expanded lower-frequency values to monthly.</w:t>
      </w:r>
    </w:p>
    <w:p>
      <w:r>
        <w:t>The CPI output contained 7502 rows across 26 countries. The FX output contained 7800 rows across 26 countries. These two families provided most of the high-frequency macro features.</w:t>
      </w:r>
    </w:p>
    <w:p>
      <w:pPr>
        <w:pStyle w:val="Heading2"/>
      </w:pPr>
      <w:r>
        <w:t>6.4 WEO annual macro controls</w:t>
      </w:r>
    </w:p>
    <w:p>
      <w:r>
        <w:t>WEO supplied slower-moving macro controls. The script extracted a small set of targeted indicators, excluded future forecast years conservatively, and repeated each annual value across the twelve months of the same year.</w:t>
      </w:r>
    </w:p>
    <w:p>
      <w:r>
        <w:t>The cleaned WEO monthly file contained 7800 rows across 26 countries.</w:t>
      </w:r>
    </w:p>
    <w:p>
      <w:pPr>
        <w:pStyle w:val="Heading2"/>
      </w:pPr>
      <w:r>
        <w:t>6.5 World Bank external debt</w:t>
      </w:r>
    </w:p>
    <w:p>
      <w:r>
        <w:t>The World Bank external debt workbook was filtered to world-level counterpart totals and a small set of debt, debt-service, and burden-ratio series. Annual values were repeated across months and several debt-composition changes were derived.</w:t>
      </w:r>
    </w:p>
    <w:p>
      <w:r>
        <w:t>The resulting file contained 7800 rows across 26 countries and remained one of the strongest feature families in the final panel.</w:t>
      </w:r>
    </w:p>
    <w:p>
      <w:pPr>
        <w:pStyle w:val="Heading2"/>
      </w:pPr>
      <w:r>
        <w:t>6.6 Interest rates, BIS, BoC-BoE labels, and BOP</w:t>
      </w:r>
    </w:p>
    <w:p>
      <w:r>
        <w:t>Interest rates were selected by rate type and completeness. The delivered interest-rate file contained 6762 rows across 23 countries, but the T-bill variable was dropped later for high missingness.</w:t>
      </w:r>
    </w:p>
    <w:p>
      <w:r>
        <w:t>BIS debt securities were treated as optional enrichment. The cleaned BIS file covered 17 countries and did not survive the final sparsity filter.</w:t>
      </w:r>
    </w:p>
    <w:p>
      <w:r>
        <w:t>BoC-BoE files were parsed from their OBSERVATIONS blocks to construct the annual in-default series and the forward-looking monthly label. The distress event file contained 117 rows; the labels file covered the full 9600 monthly backbone rows.</w:t>
      </w:r>
    </w:p>
    <w:p>
      <w:r>
        <w:t>The 1.3GB BOP file was processed in chunks. The delivered BOP file contained 7428 rows across 28 countries.</w:t>
      </w:r>
    </w:p>
    <w:p>
      <w:pPr>
        <w:pStyle w:val="Heading1"/>
      </w:pPr>
      <w:r>
        <w:t>7. Interim cleaned outputs produced from the raw sources</w:t>
      </w:r>
    </w:p>
    <w:p>
      <w:r>
        <w:t>The table below lists the main cleaned outputs saved before merge. The country counts shown here are raw cleaned-source coverage, not post-merge retained feature counts.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vAlign w:val="center"/>
          </w:tcPr>
          <w:p>
            <w:pPr>
              <w:jc w:val="center"/>
            </w:pPr>
            <w:r>
              <w:rPr>
                <w:rFonts w:ascii="Aptos" w:hAnsi="Aptos"/>
                <w:b/>
                <w:sz w:val="19"/>
              </w:rPr>
              <w:t>Interim file</w:t>
            </w:r>
          </w:p>
        </w:tc>
        <w:tc>
          <w:tcPr>
            <w:tcW w:type="dxa" w:w="1987"/>
            <w:shd w:fill="D9EAF7"/>
            <w:vAlign w:val="center"/>
          </w:tcPr>
          <w:p>
            <w:pPr>
              <w:jc w:val="center"/>
            </w:pPr>
            <w:r>
              <w:rPr>
                <w:rFonts w:ascii="Aptos" w:hAnsi="Aptos"/>
                <w:b/>
                <w:sz w:val="19"/>
              </w:rPr>
              <w:t>Rows</w:t>
            </w:r>
          </w:p>
        </w:tc>
        <w:tc>
          <w:tcPr>
            <w:tcW w:type="dxa" w:w="1987"/>
            <w:shd w:fill="D9EAF7"/>
            <w:vAlign w:val="center"/>
          </w:tcPr>
          <w:p>
            <w:pPr>
              <w:jc w:val="center"/>
            </w:pPr>
            <w:r>
              <w:rPr>
                <w:rFonts w:ascii="Aptos" w:hAnsi="Aptos"/>
                <w:b/>
                <w:sz w:val="19"/>
              </w:rPr>
              <w:t>Cols</w:t>
            </w:r>
          </w:p>
        </w:tc>
        <w:tc>
          <w:tcPr>
            <w:tcW w:type="dxa" w:w="1987"/>
            <w:shd w:fill="D9EAF7"/>
            <w:vAlign w:val="center"/>
          </w:tcPr>
          <w:p>
            <w:pPr>
              <w:jc w:val="center"/>
            </w:pPr>
            <w:r>
              <w:rPr>
                <w:rFonts w:ascii="Aptos" w:hAnsi="Aptos"/>
                <w:b/>
                <w:sz w:val="19"/>
              </w:rPr>
              <w:t>Countries</w:t>
            </w:r>
          </w:p>
        </w:tc>
        <w:tc>
          <w:tcPr>
            <w:tcW w:type="dxa" w:w="1987"/>
            <w:shd w:fill="D9EAF7"/>
            <w:vAlign w:val="center"/>
          </w:tcPr>
          <w:p>
            <w:pPr>
              <w:jc w:val="center"/>
            </w:pPr>
            <w:r>
              <w:rPr>
                <w:rFonts w:ascii="Aptos" w:hAnsi="Aptos"/>
                <w:b/>
                <w:sz w:val="19"/>
              </w:rPr>
              <w:t>Date span</w:t>
            </w:r>
          </w:p>
        </w:tc>
      </w:tr>
      <w:tr>
        <w:tc>
          <w:tcPr>
            <w:tcW w:type="dxa" w:w="1987"/>
            <w:vAlign w:val="center"/>
          </w:tcPr>
          <w:p>
            <w:pPr>
              <w:jc w:val="left"/>
            </w:pPr>
            <w:r>
              <w:rPr>
                <w:rFonts w:ascii="Aptos" w:hAnsi="Aptos"/>
                <w:b w:val="0"/>
                <w:sz w:val="19"/>
              </w:rPr>
              <w:t>acled_country_month.csv</w:t>
            </w:r>
          </w:p>
        </w:tc>
        <w:tc>
          <w:tcPr>
            <w:tcW w:type="dxa" w:w="1987"/>
            <w:vAlign w:val="center"/>
          </w:tcPr>
          <w:p>
            <w:pPr>
              <w:jc w:val="center"/>
            </w:pPr>
            <w:r>
              <w:rPr>
                <w:rFonts w:ascii="Aptos" w:hAnsi="Aptos"/>
                <w:b w:val="0"/>
                <w:sz w:val="19"/>
              </w:rPr>
              <w:t>3788</w:t>
            </w:r>
          </w:p>
        </w:tc>
        <w:tc>
          <w:tcPr>
            <w:tcW w:type="dxa" w:w="1987"/>
            <w:vAlign w:val="center"/>
          </w:tcPr>
          <w:p>
            <w:pPr>
              <w:jc w:val="center"/>
            </w:pPr>
            <w:r>
              <w:rPr>
                <w:rFonts w:ascii="Aptos" w:hAnsi="Aptos"/>
                <w:b w:val="0"/>
                <w:sz w:val="19"/>
              </w:rPr>
              <w:t>14</w:t>
            </w:r>
          </w:p>
        </w:tc>
        <w:tc>
          <w:tcPr>
            <w:tcW w:type="dxa" w:w="1987"/>
            <w:vAlign w:val="center"/>
          </w:tcPr>
          <w:p>
            <w:pPr>
              <w:jc w:val="center"/>
            </w:pPr>
            <w:r>
              <w:rPr>
                <w:rFonts w:ascii="Aptos" w:hAnsi="Aptos"/>
                <w:b w:val="0"/>
                <w:sz w:val="19"/>
              </w:rPr>
              <w:t>28</w:t>
            </w:r>
          </w:p>
        </w:tc>
        <w:tc>
          <w:tcPr>
            <w:tcW w:type="dxa" w:w="1987"/>
            <w:vAlign w:val="center"/>
          </w:tcPr>
          <w:p>
            <w:pPr>
              <w:jc w:val="left"/>
            </w:pPr>
            <w:r>
              <w:rPr>
                <w:rFonts w:ascii="Aptos" w:hAnsi="Aptos"/>
                <w:b w:val="0"/>
                <w:sz w:val="19"/>
              </w:rPr>
              <w:t>2000-01 to 2024-12</w:t>
            </w:r>
          </w:p>
        </w:tc>
      </w:tr>
      <w:tr>
        <w:tc>
          <w:tcPr>
            <w:tcW w:type="dxa" w:w="1987"/>
            <w:vAlign w:val="center"/>
          </w:tcPr>
          <w:p>
            <w:pPr>
              <w:jc w:val="left"/>
            </w:pPr>
            <w:r>
              <w:rPr>
                <w:rFonts w:ascii="Aptos" w:hAnsi="Aptos"/>
                <w:b w:val="0"/>
                <w:sz w:val="19"/>
              </w:rPr>
              <w:t>political_violence_monthly.csv</w:t>
            </w:r>
          </w:p>
        </w:tc>
        <w:tc>
          <w:tcPr>
            <w:tcW w:type="dxa" w:w="1987"/>
            <w:vAlign w:val="center"/>
          </w:tcPr>
          <w:p>
            <w:pPr>
              <w:jc w:val="center"/>
            </w:pPr>
            <w:r>
              <w:rPr>
                <w:rFonts w:ascii="Aptos" w:hAnsi="Aptos"/>
                <w:b w:val="0"/>
                <w:sz w:val="19"/>
              </w:rPr>
              <w:t>4811</w:t>
            </w:r>
          </w:p>
        </w:tc>
        <w:tc>
          <w:tcPr>
            <w:tcW w:type="dxa" w:w="1987"/>
            <w:vAlign w:val="center"/>
          </w:tcPr>
          <w:p>
            <w:pPr>
              <w:jc w:val="center"/>
            </w:pPr>
            <w:r>
              <w:rPr>
                <w:rFonts w:ascii="Aptos" w:hAnsi="Aptos"/>
                <w:b w:val="0"/>
                <w:sz w:val="19"/>
              </w:rPr>
              <w:t>3</w:t>
            </w:r>
          </w:p>
        </w:tc>
        <w:tc>
          <w:tcPr>
            <w:tcW w:type="dxa" w:w="1987"/>
            <w:vAlign w:val="center"/>
          </w:tcPr>
          <w:p>
            <w:pPr>
              <w:jc w:val="center"/>
            </w:pPr>
            <w:r>
              <w:rPr>
                <w:rFonts w:ascii="Aptos" w:hAnsi="Aptos"/>
                <w:b w:val="0"/>
                <w:sz w:val="19"/>
              </w:rPr>
              <w:t>32</w:t>
            </w:r>
          </w:p>
        </w:tc>
        <w:tc>
          <w:tcPr>
            <w:tcW w:type="dxa" w:w="1987"/>
            <w:vAlign w:val="center"/>
          </w:tcPr>
          <w:p>
            <w:pPr>
              <w:jc w:val="left"/>
            </w:pPr>
            <w:r>
              <w:rPr>
                <w:rFonts w:ascii="Aptos" w:hAnsi="Aptos"/>
                <w:b w:val="0"/>
                <w:sz w:val="19"/>
              </w:rPr>
              <w:t>2000-01 to 2024-12</w:t>
            </w:r>
          </w:p>
        </w:tc>
      </w:tr>
      <w:tr>
        <w:tc>
          <w:tcPr>
            <w:tcW w:type="dxa" w:w="1987"/>
            <w:vAlign w:val="center"/>
          </w:tcPr>
          <w:p>
            <w:pPr>
              <w:jc w:val="left"/>
            </w:pPr>
            <w:r>
              <w:rPr>
                <w:rFonts w:ascii="Aptos" w:hAnsi="Aptos"/>
                <w:b w:val="0"/>
                <w:sz w:val="19"/>
              </w:rPr>
              <w:t>cpi_monthly.csv</w:t>
            </w:r>
          </w:p>
        </w:tc>
        <w:tc>
          <w:tcPr>
            <w:tcW w:type="dxa" w:w="1987"/>
            <w:vAlign w:val="center"/>
          </w:tcPr>
          <w:p>
            <w:pPr>
              <w:jc w:val="center"/>
            </w:pPr>
            <w:r>
              <w:rPr>
                <w:rFonts w:ascii="Aptos" w:hAnsi="Aptos"/>
                <w:b w:val="0"/>
                <w:sz w:val="19"/>
              </w:rPr>
              <w:t>7502</w:t>
            </w:r>
          </w:p>
        </w:tc>
        <w:tc>
          <w:tcPr>
            <w:tcW w:type="dxa" w:w="1987"/>
            <w:vAlign w:val="center"/>
          </w:tcPr>
          <w:p>
            <w:pPr>
              <w:jc w:val="center"/>
            </w:pPr>
            <w:r>
              <w:rPr>
                <w:rFonts w:ascii="Aptos" w:hAnsi="Aptos"/>
                <w:b w:val="0"/>
                <w:sz w:val="19"/>
              </w:rPr>
              <w:t>6</w:t>
            </w:r>
          </w:p>
        </w:tc>
        <w:tc>
          <w:tcPr>
            <w:tcW w:type="dxa" w:w="1987"/>
            <w:vAlign w:val="center"/>
          </w:tcPr>
          <w:p>
            <w:pPr>
              <w:jc w:val="center"/>
            </w:pPr>
            <w:r>
              <w:rPr>
                <w:rFonts w:ascii="Aptos" w:hAnsi="Aptos"/>
                <w:b w:val="0"/>
                <w:sz w:val="19"/>
              </w:rPr>
              <w:t>26</w:t>
            </w:r>
          </w:p>
        </w:tc>
        <w:tc>
          <w:tcPr>
            <w:tcW w:type="dxa" w:w="1987"/>
            <w:vAlign w:val="center"/>
          </w:tcPr>
          <w:p>
            <w:pPr>
              <w:jc w:val="left"/>
            </w:pPr>
            <w:r>
              <w:rPr>
                <w:rFonts w:ascii="Aptos" w:hAnsi="Aptos"/>
                <w:b w:val="0"/>
                <w:sz w:val="19"/>
              </w:rPr>
              <w:t>2000-01 to 2024-12</w:t>
            </w:r>
          </w:p>
        </w:tc>
      </w:tr>
      <w:tr>
        <w:tc>
          <w:tcPr>
            <w:tcW w:type="dxa" w:w="1987"/>
            <w:vAlign w:val="center"/>
          </w:tcPr>
          <w:p>
            <w:pPr>
              <w:jc w:val="left"/>
            </w:pPr>
            <w:r>
              <w:rPr>
                <w:rFonts w:ascii="Aptos" w:hAnsi="Aptos"/>
                <w:b w:val="0"/>
                <w:sz w:val="19"/>
              </w:rPr>
              <w:t>fx_monthly.csv</w:t>
            </w:r>
          </w:p>
        </w:tc>
        <w:tc>
          <w:tcPr>
            <w:tcW w:type="dxa" w:w="1987"/>
            <w:vAlign w:val="center"/>
          </w:tcPr>
          <w:p>
            <w:pPr>
              <w:jc w:val="center"/>
            </w:pPr>
            <w:r>
              <w:rPr>
                <w:rFonts w:ascii="Aptos" w:hAnsi="Aptos"/>
                <w:b w:val="0"/>
                <w:sz w:val="19"/>
              </w:rPr>
              <w:t>7800</w:t>
            </w:r>
          </w:p>
        </w:tc>
        <w:tc>
          <w:tcPr>
            <w:tcW w:type="dxa" w:w="1987"/>
            <w:vAlign w:val="center"/>
          </w:tcPr>
          <w:p>
            <w:pPr>
              <w:jc w:val="center"/>
            </w:pPr>
            <w:r>
              <w:rPr>
                <w:rFonts w:ascii="Aptos" w:hAnsi="Aptos"/>
                <w:b w:val="0"/>
                <w:sz w:val="19"/>
              </w:rPr>
              <w:t>8</w:t>
            </w:r>
          </w:p>
        </w:tc>
        <w:tc>
          <w:tcPr>
            <w:tcW w:type="dxa" w:w="1987"/>
            <w:vAlign w:val="center"/>
          </w:tcPr>
          <w:p>
            <w:pPr>
              <w:jc w:val="center"/>
            </w:pPr>
            <w:r>
              <w:rPr>
                <w:rFonts w:ascii="Aptos" w:hAnsi="Aptos"/>
                <w:b w:val="0"/>
                <w:sz w:val="19"/>
              </w:rPr>
              <w:t>26</w:t>
            </w:r>
          </w:p>
        </w:tc>
        <w:tc>
          <w:tcPr>
            <w:tcW w:type="dxa" w:w="1987"/>
            <w:vAlign w:val="center"/>
          </w:tcPr>
          <w:p>
            <w:pPr>
              <w:jc w:val="left"/>
            </w:pPr>
            <w:r>
              <w:rPr>
                <w:rFonts w:ascii="Aptos" w:hAnsi="Aptos"/>
                <w:b w:val="0"/>
                <w:sz w:val="19"/>
              </w:rPr>
              <w:t>2000-01 to 2024-12</w:t>
            </w:r>
          </w:p>
        </w:tc>
      </w:tr>
      <w:tr>
        <w:tc>
          <w:tcPr>
            <w:tcW w:type="dxa" w:w="1987"/>
            <w:vAlign w:val="center"/>
          </w:tcPr>
          <w:p>
            <w:pPr>
              <w:jc w:val="left"/>
            </w:pPr>
            <w:r>
              <w:rPr>
                <w:rFonts w:ascii="Aptos" w:hAnsi="Aptos"/>
                <w:b w:val="0"/>
                <w:sz w:val="19"/>
              </w:rPr>
              <w:t>weo_monthly.csv</w:t>
            </w:r>
          </w:p>
        </w:tc>
        <w:tc>
          <w:tcPr>
            <w:tcW w:type="dxa" w:w="1987"/>
            <w:vAlign w:val="center"/>
          </w:tcPr>
          <w:p>
            <w:pPr>
              <w:jc w:val="center"/>
            </w:pPr>
            <w:r>
              <w:rPr>
                <w:rFonts w:ascii="Aptos" w:hAnsi="Aptos"/>
                <w:b w:val="0"/>
                <w:sz w:val="19"/>
              </w:rPr>
              <w:t>7800</w:t>
            </w:r>
          </w:p>
        </w:tc>
        <w:tc>
          <w:tcPr>
            <w:tcW w:type="dxa" w:w="1987"/>
            <w:vAlign w:val="center"/>
          </w:tcPr>
          <w:p>
            <w:pPr>
              <w:jc w:val="center"/>
            </w:pPr>
            <w:r>
              <w:rPr>
                <w:rFonts w:ascii="Aptos" w:hAnsi="Aptos"/>
                <w:b w:val="0"/>
                <w:sz w:val="19"/>
              </w:rPr>
              <w:t>10</w:t>
            </w:r>
          </w:p>
        </w:tc>
        <w:tc>
          <w:tcPr>
            <w:tcW w:type="dxa" w:w="1987"/>
            <w:vAlign w:val="center"/>
          </w:tcPr>
          <w:p>
            <w:pPr>
              <w:jc w:val="center"/>
            </w:pPr>
            <w:r>
              <w:rPr>
                <w:rFonts w:ascii="Aptos" w:hAnsi="Aptos"/>
                <w:b w:val="0"/>
                <w:sz w:val="19"/>
              </w:rPr>
              <w:t>26</w:t>
            </w:r>
          </w:p>
        </w:tc>
        <w:tc>
          <w:tcPr>
            <w:tcW w:type="dxa" w:w="1987"/>
            <w:vAlign w:val="center"/>
          </w:tcPr>
          <w:p>
            <w:pPr>
              <w:jc w:val="left"/>
            </w:pPr>
            <w:r>
              <w:rPr>
                <w:rFonts w:ascii="Aptos" w:hAnsi="Aptos"/>
                <w:b w:val="0"/>
                <w:sz w:val="19"/>
              </w:rPr>
              <w:t>2000-01 to 2024-12</w:t>
            </w:r>
          </w:p>
        </w:tc>
      </w:tr>
      <w:tr>
        <w:tc>
          <w:tcPr>
            <w:tcW w:type="dxa" w:w="1987"/>
            <w:vAlign w:val="center"/>
          </w:tcPr>
          <w:p>
            <w:pPr>
              <w:jc w:val="left"/>
            </w:pPr>
            <w:r>
              <w:rPr>
                <w:rFonts w:ascii="Aptos" w:hAnsi="Aptos"/>
                <w:b w:val="0"/>
                <w:sz w:val="19"/>
              </w:rPr>
              <w:t>external_debt_monthly.csv</w:t>
            </w:r>
          </w:p>
        </w:tc>
        <w:tc>
          <w:tcPr>
            <w:tcW w:type="dxa" w:w="1987"/>
            <w:vAlign w:val="center"/>
          </w:tcPr>
          <w:p>
            <w:pPr>
              <w:jc w:val="center"/>
            </w:pPr>
            <w:r>
              <w:rPr>
                <w:rFonts w:ascii="Aptos" w:hAnsi="Aptos"/>
                <w:b w:val="0"/>
                <w:sz w:val="19"/>
              </w:rPr>
              <w:t>7800</w:t>
            </w:r>
          </w:p>
        </w:tc>
        <w:tc>
          <w:tcPr>
            <w:tcW w:type="dxa" w:w="1987"/>
            <w:vAlign w:val="center"/>
          </w:tcPr>
          <w:p>
            <w:pPr>
              <w:jc w:val="center"/>
            </w:pPr>
            <w:r>
              <w:rPr>
                <w:rFonts w:ascii="Aptos" w:hAnsi="Aptos"/>
                <w:b w:val="0"/>
                <w:sz w:val="19"/>
              </w:rPr>
              <w:t>14</w:t>
            </w:r>
          </w:p>
        </w:tc>
        <w:tc>
          <w:tcPr>
            <w:tcW w:type="dxa" w:w="1987"/>
            <w:vAlign w:val="center"/>
          </w:tcPr>
          <w:p>
            <w:pPr>
              <w:jc w:val="center"/>
            </w:pPr>
            <w:r>
              <w:rPr>
                <w:rFonts w:ascii="Aptos" w:hAnsi="Aptos"/>
                <w:b w:val="0"/>
                <w:sz w:val="19"/>
              </w:rPr>
              <w:t>26</w:t>
            </w:r>
          </w:p>
        </w:tc>
        <w:tc>
          <w:tcPr>
            <w:tcW w:type="dxa" w:w="1987"/>
            <w:vAlign w:val="center"/>
          </w:tcPr>
          <w:p>
            <w:pPr>
              <w:jc w:val="left"/>
            </w:pPr>
            <w:r>
              <w:rPr>
                <w:rFonts w:ascii="Aptos" w:hAnsi="Aptos"/>
                <w:b w:val="0"/>
                <w:sz w:val="19"/>
              </w:rPr>
              <w:t>2000-01 to 2024-12</w:t>
            </w:r>
          </w:p>
        </w:tc>
      </w:tr>
    </w:tbl>
    <w:p/>
    <w:p>
      <w:r>
        <w:t>Interim outputs table continued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vAlign w:val="center"/>
          </w:tcPr>
          <w:p>
            <w:pPr>
              <w:jc w:val="center"/>
            </w:pPr>
            <w:r>
              <w:rPr>
                <w:rFonts w:ascii="Aptos" w:hAnsi="Aptos"/>
                <w:b/>
                <w:sz w:val="19"/>
              </w:rPr>
              <w:t>Interim file</w:t>
            </w:r>
          </w:p>
        </w:tc>
        <w:tc>
          <w:tcPr>
            <w:tcW w:type="dxa" w:w="1987"/>
            <w:shd w:fill="D9EAF7"/>
            <w:vAlign w:val="center"/>
          </w:tcPr>
          <w:p>
            <w:pPr>
              <w:jc w:val="center"/>
            </w:pPr>
            <w:r>
              <w:rPr>
                <w:rFonts w:ascii="Aptos" w:hAnsi="Aptos"/>
                <w:b/>
                <w:sz w:val="19"/>
              </w:rPr>
              <w:t>Rows</w:t>
            </w:r>
          </w:p>
        </w:tc>
        <w:tc>
          <w:tcPr>
            <w:tcW w:type="dxa" w:w="1987"/>
            <w:shd w:fill="D9EAF7"/>
            <w:vAlign w:val="center"/>
          </w:tcPr>
          <w:p>
            <w:pPr>
              <w:jc w:val="center"/>
            </w:pPr>
            <w:r>
              <w:rPr>
                <w:rFonts w:ascii="Aptos" w:hAnsi="Aptos"/>
                <w:b/>
                <w:sz w:val="19"/>
              </w:rPr>
              <w:t>Cols</w:t>
            </w:r>
          </w:p>
        </w:tc>
        <w:tc>
          <w:tcPr>
            <w:tcW w:type="dxa" w:w="1987"/>
            <w:shd w:fill="D9EAF7"/>
            <w:vAlign w:val="center"/>
          </w:tcPr>
          <w:p>
            <w:pPr>
              <w:jc w:val="center"/>
            </w:pPr>
            <w:r>
              <w:rPr>
                <w:rFonts w:ascii="Aptos" w:hAnsi="Aptos"/>
                <w:b/>
                <w:sz w:val="19"/>
              </w:rPr>
              <w:t>Countries</w:t>
            </w:r>
          </w:p>
        </w:tc>
        <w:tc>
          <w:tcPr>
            <w:tcW w:type="dxa" w:w="1987"/>
            <w:shd w:fill="D9EAF7"/>
            <w:vAlign w:val="center"/>
          </w:tcPr>
          <w:p>
            <w:pPr>
              <w:jc w:val="center"/>
            </w:pPr>
            <w:r>
              <w:rPr>
                <w:rFonts w:ascii="Aptos" w:hAnsi="Aptos"/>
                <w:b/>
                <w:sz w:val="19"/>
              </w:rPr>
              <w:t>Date span</w:t>
            </w:r>
          </w:p>
        </w:tc>
      </w:tr>
      <w:tr>
        <w:tc>
          <w:tcPr>
            <w:tcW w:type="dxa" w:w="1987"/>
            <w:vAlign w:val="center"/>
          </w:tcPr>
          <w:p>
            <w:pPr>
              <w:jc w:val="left"/>
            </w:pPr>
            <w:r>
              <w:rPr>
                <w:rFonts w:ascii="Aptos" w:hAnsi="Aptos"/>
                <w:b w:val="0"/>
                <w:sz w:val="19"/>
              </w:rPr>
              <w:t>interest_rates_monthly.csv</w:t>
            </w:r>
          </w:p>
        </w:tc>
        <w:tc>
          <w:tcPr>
            <w:tcW w:type="dxa" w:w="1987"/>
            <w:vAlign w:val="center"/>
          </w:tcPr>
          <w:p>
            <w:pPr>
              <w:jc w:val="center"/>
            </w:pPr>
            <w:r>
              <w:rPr>
                <w:rFonts w:ascii="Aptos" w:hAnsi="Aptos"/>
                <w:b w:val="0"/>
                <w:sz w:val="19"/>
              </w:rPr>
              <w:t>6762</w:t>
            </w:r>
          </w:p>
        </w:tc>
        <w:tc>
          <w:tcPr>
            <w:tcW w:type="dxa" w:w="1987"/>
            <w:vAlign w:val="center"/>
          </w:tcPr>
          <w:p>
            <w:pPr>
              <w:jc w:val="center"/>
            </w:pPr>
            <w:r>
              <w:rPr>
                <w:rFonts w:ascii="Aptos" w:hAnsi="Aptos"/>
                <w:b w:val="0"/>
                <w:sz w:val="19"/>
              </w:rPr>
              <w:t>7</w:t>
            </w:r>
          </w:p>
        </w:tc>
        <w:tc>
          <w:tcPr>
            <w:tcW w:type="dxa" w:w="1987"/>
            <w:vAlign w:val="center"/>
          </w:tcPr>
          <w:p>
            <w:pPr>
              <w:jc w:val="center"/>
            </w:pPr>
            <w:r>
              <w:rPr>
                <w:rFonts w:ascii="Aptos" w:hAnsi="Aptos"/>
                <w:b w:val="0"/>
                <w:sz w:val="19"/>
              </w:rPr>
              <w:t>23</w:t>
            </w:r>
          </w:p>
        </w:tc>
        <w:tc>
          <w:tcPr>
            <w:tcW w:type="dxa" w:w="1987"/>
            <w:vAlign w:val="center"/>
          </w:tcPr>
          <w:p>
            <w:pPr>
              <w:jc w:val="left"/>
            </w:pPr>
            <w:r>
              <w:rPr>
                <w:rFonts w:ascii="Aptos" w:hAnsi="Aptos"/>
                <w:b w:val="0"/>
                <w:sz w:val="19"/>
              </w:rPr>
              <w:t>2000-01 to 2024-12</w:t>
            </w:r>
          </w:p>
        </w:tc>
      </w:tr>
      <w:tr>
        <w:tc>
          <w:tcPr>
            <w:tcW w:type="dxa" w:w="1987"/>
            <w:vAlign w:val="center"/>
          </w:tcPr>
          <w:p>
            <w:pPr>
              <w:jc w:val="left"/>
            </w:pPr>
            <w:r>
              <w:rPr>
                <w:rFonts w:ascii="Aptos" w:hAnsi="Aptos"/>
                <w:b w:val="0"/>
                <w:sz w:val="19"/>
              </w:rPr>
              <w:t>bis_debt_securities_monthly.csv</w:t>
            </w:r>
          </w:p>
        </w:tc>
        <w:tc>
          <w:tcPr>
            <w:tcW w:type="dxa" w:w="1987"/>
            <w:vAlign w:val="center"/>
          </w:tcPr>
          <w:p>
            <w:pPr>
              <w:jc w:val="center"/>
            </w:pPr>
            <w:r>
              <w:rPr>
                <w:rFonts w:ascii="Aptos" w:hAnsi="Aptos"/>
                <w:b w:val="0"/>
                <w:sz w:val="19"/>
              </w:rPr>
              <w:t>4359</w:t>
            </w:r>
          </w:p>
        </w:tc>
        <w:tc>
          <w:tcPr>
            <w:tcW w:type="dxa" w:w="1987"/>
            <w:vAlign w:val="center"/>
          </w:tcPr>
          <w:p>
            <w:pPr>
              <w:jc w:val="center"/>
            </w:pPr>
            <w:r>
              <w:rPr>
                <w:rFonts w:ascii="Aptos" w:hAnsi="Aptos"/>
                <w:b w:val="0"/>
                <w:sz w:val="19"/>
              </w:rPr>
              <w:t>3</w:t>
            </w:r>
          </w:p>
        </w:tc>
        <w:tc>
          <w:tcPr>
            <w:tcW w:type="dxa" w:w="1987"/>
            <w:vAlign w:val="center"/>
          </w:tcPr>
          <w:p>
            <w:pPr>
              <w:jc w:val="center"/>
            </w:pPr>
            <w:r>
              <w:rPr>
                <w:rFonts w:ascii="Aptos" w:hAnsi="Aptos"/>
                <w:b w:val="0"/>
                <w:sz w:val="19"/>
              </w:rPr>
              <w:t>17</w:t>
            </w:r>
          </w:p>
        </w:tc>
        <w:tc>
          <w:tcPr>
            <w:tcW w:type="dxa" w:w="1987"/>
            <w:vAlign w:val="center"/>
          </w:tcPr>
          <w:p>
            <w:pPr>
              <w:jc w:val="left"/>
            </w:pPr>
            <w:r>
              <w:rPr>
                <w:rFonts w:ascii="Aptos" w:hAnsi="Aptos"/>
                <w:b w:val="0"/>
                <w:sz w:val="19"/>
              </w:rPr>
              <w:t>2000-01 to 2024-12</w:t>
            </w:r>
          </w:p>
        </w:tc>
      </w:tr>
      <w:tr>
        <w:tc>
          <w:tcPr>
            <w:tcW w:type="dxa" w:w="1987"/>
            <w:vAlign w:val="center"/>
          </w:tcPr>
          <w:p>
            <w:pPr>
              <w:jc w:val="left"/>
            </w:pPr>
            <w:r>
              <w:rPr>
                <w:rFonts w:ascii="Aptos" w:hAnsi="Aptos"/>
                <w:b w:val="0"/>
                <w:sz w:val="19"/>
              </w:rPr>
              <w:t>bop_monthly.csv</w:t>
            </w:r>
          </w:p>
        </w:tc>
        <w:tc>
          <w:tcPr>
            <w:tcW w:type="dxa" w:w="1987"/>
            <w:vAlign w:val="center"/>
          </w:tcPr>
          <w:p>
            <w:pPr>
              <w:jc w:val="center"/>
            </w:pPr>
            <w:r>
              <w:rPr>
                <w:rFonts w:ascii="Aptos" w:hAnsi="Aptos"/>
                <w:b w:val="0"/>
                <w:sz w:val="19"/>
              </w:rPr>
              <w:t>7428</w:t>
            </w:r>
          </w:p>
        </w:tc>
        <w:tc>
          <w:tcPr>
            <w:tcW w:type="dxa" w:w="1987"/>
            <w:vAlign w:val="center"/>
          </w:tcPr>
          <w:p>
            <w:pPr>
              <w:jc w:val="center"/>
            </w:pPr>
            <w:r>
              <w:rPr>
                <w:rFonts w:ascii="Aptos" w:hAnsi="Aptos"/>
                <w:b w:val="0"/>
                <w:sz w:val="19"/>
              </w:rPr>
              <w:t>13</w:t>
            </w:r>
          </w:p>
        </w:tc>
        <w:tc>
          <w:tcPr>
            <w:tcW w:type="dxa" w:w="1987"/>
            <w:vAlign w:val="center"/>
          </w:tcPr>
          <w:p>
            <w:pPr>
              <w:jc w:val="center"/>
            </w:pPr>
            <w:r>
              <w:rPr>
                <w:rFonts w:ascii="Aptos" w:hAnsi="Aptos"/>
                <w:b w:val="0"/>
                <w:sz w:val="19"/>
              </w:rPr>
              <w:t>28</w:t>
            </w:r>
          </w:p>
        </w:tc>
        <w:tc>
          <w:tcPr>
            <w:tcW w:type="dxa" w:w="1987"/>
            <w:vAlign w:val="center"/>
          </w:tcPr>
          <w:p>
            <w:pPr>
              <w:jc w:val="left"/>
            </w:pPr>
            <w:r>
              <w:rPr>
                <w:rFonts w:ascii="Aptos" w:hAnsi="Aptos"/>
                <w:b w:val="0"/>
                <w:sz w:val="19"/>
              </w:rPr>
              <w:t>2000-01 to 2024-12</w:t>
            </w:r>
          </w:p>
        </w:tc>
      </w:tr>
      <w:tr>
        <w:tc>
          <w:tcPr>
            <w:tcW w:type="dxa" w:w="1987"/>
            <w:vAlign w:val="center"/>
          </w:tcPr>
          <w:p>
            <w:pPr>
              <w:jc w:val="left"/>
            </w:pPr>
            <w:r>
              <w:rPr>
                <w:rFonts w:ascii="Aptos" w:hAnsi="Aptos"/>
                <w:b w:val="0"/>
                <w:sz w:val="19"/>
              </w:rPr>
              <w:t>distress_events.csv</w:t>
            </w:r>
          </w:p>
        </w:tc>
        <w:tc>
          <w:tcPr>
            <w:tcW w:type="dxa" w:w="1987"/>
            <w:vAlign w:val="center"/>
          </w:tcPr>
          <w:p>
            <w:pPr>
              <w:jc w:val="center"/>
            </w:pPr>
            <w:r>
              <w:rPr>
                <w:rFonts w:ascii="Aptos" w:hAnsi="Aptos"/>
                <w:b w:val="0"/>
                <w:sz w:val="19"/>
              </w:rPr>
              <w:t>117</w:t>
            </w:r>
          </w:p>
        </w:tc>
        <w:tc>
          <w:tcPr>
            <w:tcW w:type="dxa" w:w="1987"/>
            <w:vAlign w:val="center"/>
          </w:tcPr>
          <w:p>
            <w:pPr>
              <w:jc w:val="center"/>
            </w:pPr>
            <w:r>
              <w:rPr>
                <w:rFonts w:ascii="Aptos" w:hAnsi="Aptos"/>
                <w:b w:val="0"/>
                <w:sz w:val="19"/>
              </w:rPr>
              <w:t>5</w:t>
            </w:r>
          </w:p>
        </w:tc>
        <w:tc>
          <w:tcPr>
            <w:tcW w:type="dxa" w:w="1987"/>
            <w:vAlign w:val="center"/>
          </w:tcPr>
          <w:p>
            <w:pPr>
              <w:jc w:val="center"/>
            </w:pPr>
            <w:r>
              <w:rPr>
                <w:rFonts w:ascii="Aptos" w:hAnsi="Aptos"/>
                <w:b w:val="0"/>
                <w:sz w:val="19"/>
              </w:rPr>
              <w:t>30</w:t>
            </w:r>
          </w:p>
        </w:tc>
        <w:tc>
          <w:tcPr>
            <w:tcW w:type="dxa" w:w="1987"/>
            <w:vAlign w:val="center"/>
          </w:tcPr>
          <w:p>
            <w:pPr>
              <w:jc w:val="left"/>
            </w:pPr>
            <w:r>
              <w:rPr>
                <w:rFonts w:ascii="Aptos" w:hAnsi="Aptos"/>
                <w:b w:val="0"/>
                <w:sz w:val="19"/>
              </w:rPr>
            </w:r>
          </w:p>
        </w:tc>
      </w:tr>
      <w:tr>
        <w:tc>
          <w:tcPr>
            <w:tcW w:type="dxa" w:w="1987"/>
            <w:vAlign w:val="center"/>
          </w:tcPr>
          <w:p>
            <w:pPr>
              <w:jc w:val="left"/>
            </w:pPr>
            <w:r>
              <w:rPr>
                <w:rFonts w:ascii="Aptos" w:hAnsi="Aptos"/>
                <w:b w:val="0"/>
                <w:sz w:val="19"/>
              </w:rPr>
              <w:t>labels_monthly.csv</w:t>
            </w:r>
          </w:p>
        </w:tc>
        <w:tc>
          <w:tcPr>
            <w:tcW w:type="dxa" w:w="1987"/>
            <w:vAlign w:val="center"/>
          </w:tcPr>
          <w:p>
            <w:pPr>
              <w:jc w:val="center"/>
            </w:pPr>
            <w:r>
              <w:rPr>
                <w:rFonts w:ascii="Aptos" w:hAnsi="Aptos"/>
                <w:b w:val="0"/>
                <w:sz w:val="19"/>
              </w:rPr>
              <w:t>9600</w:t>
            </w:r>
          </w:p>
        </w:tc>
        <w:tc>
          <w:tcPr>
            <w:tcW w:type="dxa" w:w="1987"/>
            <w:vAlign w:val="center"/>
          </w:tcPr>
          <w:p>
            <w:pPr>
              <w:jc w:val="center"/>
            </w:pPr>
            <w:r>
              <w:rPr>
                <w:rFonts w:ascii="Aptos" w:hAnsi="Aptos"/>
                <w:b w:val="0"/>
                <w:sz w:val="19"/>
              </w:rPr>
              <w:t>5</w:t>
            </w:r>
          </w:p>
        </w:tc>
        <w:tc>
          <w:tcPr>
            <w:tcW w:type="dxa" w:w="1987"/>
            <w:vAlign w:val="center"/>
          </w:tcPr>
          <w:p>
            <w:pPr>
              <w:jc w:val="center"/>
            </w:pPr>
            <w:r>
              <w:rPr>
                <w:rFonts w:ascii="Aptos" w:hAnsi="Aptos"/>
                <w:b w:val="0"/>
                <w:sz w:val="19"/>
              </w:rPr>
              <w:t>32</w:t>
            </w:r>
          </w:p>
        </w:tc>
        <w:tc>
          <w:tcPr>
            <w:tcW w:type="dxa" w:w="1987"/>
            <w:vAlign w:val="center"/>
          </w:tcPr>
          <w:p>
            <w:pPr>
              <w:jc w:val="left"/>
            </w:pPr>
            <w:r>
              <w:rPr>
                <w:rFonts w:ascii="Aptos" w:hAnsi="Aptos"/>
                <w:b w:val="0"/>
                <w:sz w:val="19"/>
              </w:rPr>
              <w:t>2000-01 to 2024-12</w:t>
            </w:r>
          </w:p>
        </w:tc>
      </w:tr>
    </w:tbl>
    <w:p/>
    <w:p>
      <w:pPr>
        <w:pStyle w:val="Heading1"/>
      </w:pPr>
      <w:r>
        <w:t>8. Merge strategy, sparsity control, and imputation</w:t>
      </w:r>
    </w:p>
    <w:p>
      <w:r>
        <w:t>The merge stage began by creating the complete 32-country × 300-month backbone. Every cleaned source was then left-joined onto that backbone in a fixed order. Labels were joined first so that the target always existed even if feature sources were sparse.</w:t>
      </w:r>
    </w:p>
    <w:p>
      <w:r>
        <w:t>A pre-imputation missingness report was created immediately after source merging. This report documented the cost of forcing all sources onto the same backbone and determined which columns were too sparse to retain. The pipeline dropped any non-label feature with more than 50 percent missingness across the full panel.</w:t>
      </w:r>
    </w:p>
    <w:p>
      <w:r>
        <w:t>For the features that remained, the imputation policy was layered: forward-fill within country, backward-fill up to six months within country, and then monthly cross-sectional median fill for any remaining numeric gaps. Missingness indicator variables were created for features that had originally exceeded 10 percent missingness.</w:t>
      </w:r>
    </w:p>
    <w:p>
      <w:r>
        <w:t>Features dropped for high missingness in the delivered run:</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jc w:val="center"/>
            </w:pPr>
            <w:r>
              <w:rPr>
                <w:rFonts w:ascii="Aptos" w:hAnsi="Aptos"/>
                <w:b/>
                <w:sz w:val="19"/>
              </w:rPr>
              <w:t>Dropped feature</w:t>
            </w:r>
          </w:p>
        </w:tc>
        <w:tc>
          <w:tcPr>
            <w:tcW w:type="dxa" w:w="4968"/>
            <w:shd w:fill="D9EAF7"/>
            <w:vAlign w:val="center"/>
          </w:tcPr>
          <w:p>
            <w:pPr>
              <w:jc w:val="center"/>
            </w:pPr>
            <w:r>
              <w:rPr>
                <w:rFonts w:ascii="Aptos" w:hAnsi="Aptos"/>
                <w:b/>
                <w:sz w:val="19"/>
              </w:rPr>
              <w:t>Pre-imputation missingness %</w:t>
            </w:r>
          </w:p>
        </w:tc>
      </w:tr>
      <w:tr>
        <w:tc>
          <w:tcPr>
            <w:tcW w:type="dxa" w:w="4968"/>
            <w:vAlign w:val="center"/>
          </w:tcPr>
          <w:p>
            <w:pPr>
              <w:jc w:val="left"/>
            </w:pPr>
            <w:r>
              <w:rPr>
                <w:rFonts w:ascii="Aptos" w:hAnsi="Aptos"/>
                <w:b w:val="0"/>
                <w:sz w:val="19"/>
              </w:rPr>
              <w:t>acled_total_events</w:t>
            </w:r>
          </w:p>
        </w:tc>
        <w:tc>
          <w:tcPr>
            <w:tcW w:type="dxa" w:w="4968"/>
            <w:vAlign w:val="center"/>
          </w:tcPr>
          <w:p>
            <w:pPr>
              <w:jc w:val="center"/>
            </w:pPr>
            <w:r>
              <w:rPr>
                <w:rFonts w:ascii="Aptos" w:hAnsi="Aptos"/>
                <w:b w:val="0"/>
                <w:sz w:val="19"/>
              </w:rPr>
              <w:t>60.54</w:t>
            </w:r>
          </w:p>
        </w:tc>
      </w:tr>
      <w:tr>
        <w:tc>
          <w:tcPr>
            <w:tcW w:type="dxa" w:w="4968"/>
            <w:vAlign w:val="center"/>
          </w:tcPr>
          <w:p>
            <w:pPr>
              <w:jc w:val="left"/>
            </w:pPr>
            <w:r>
              <w:rPr>
                <w:rFonts w:ascii="Aptos" w:hAnsi="Aptos"/>
                <w:b w:val="0"/>
                <w:sz w:val="19"/>
              </w:rPr>
              <w:t>acled_battles</w:t>
            </w:r>
          </w:p>
        </w:tc>
        <w:tc>
          <w:tcPr>
            <w:tcW w:type="dxa" w:w="4968"/>
            <w:vAlign w:val="center"/>
          </w:tcPr>
          <w:p>
            <w:pPr>
              <w:jc w:val="center"/>
            </w:pPr>
            <w:r>
              <w:rPr>
                <w:rFonts w:ascii="Aptos" w:hAnsi="Aptos"/>
                <w:b w:val="0"/>
                <w:sz w:val="19"/>
              </w:rPr>
              <w:t>60.54</w:t>
            </w:r>
          </w:p>
        </w:tc>
      </w:tr>
      <w:tr>
        <w:tc>
          <w:tcPr>
            <w:tcW w:type="dxa" w:w="4968"/>
            <w:vAlign w:val="center"/>
          </w:tcPr>
          <w:p>
            <w:pPr>
              <w:jc w:val="left"/>
            </w:pPr>
            <w:r>
              <w:rPr>
                <w:rFonts w:ascii="Aptos" w:hAnsi="Aptos"/>
                <w:b w:val="0"/>
                <w:sz w:val="19"/>
              </w:rPr>
              <w:t>acled_explosions</w:t>
            </w:r>
          </w:p>
        </w:tc>
        <w:tc>
          <w:tcPr>
            <w:tcW w:type="dxa" w:w="4968"/>
            <w:vAlign w:val="center"/>
          </w:tcPr>
          <w:p>
            <w:pPr>
              <w:jc w:val="center"/>
            </w:pPr>
            <w:r>
              <w:rPr>
                <w:rFonts w:ascii="Aptos" w:hAnsi="Aptos"/>
                <w:b w:val="0"/>
                <w:sz w:val="19"/>
              </w:rPr>
              <w:t>60.54</w:t>
            </w:r>
          </w:p>
        </w:tc>
      </w:tr>
      <w:tr>
        <w:tc>
          <w:tcPr>
            <w:tcW w:type="dxa" w:w="4968"/>
            <w:vAlign w:val="center"/>
          </w:tcPr>
          <w:p>
            <w:pPr>
              <w:jc w:val="left"/>
            </w:pPr>
            <w:r>
              <w:rPr>
                <w:rFonts w:ascii="Aptos" w:hAnsi="Aptos"/>
                <w:b w:val="0"/>
                <w:sz w:val="19"/>
              </w:rPr>
              <w:t>acled_violence_against_civilians</w:t>
            </w:r>
          </w:p>
        </w:tc>
        <w:tc>
          <w:tcPr>
            <w:tcW w:type="dxa" w:w="4968"/>
            <w:vAlign w:val="center"/>
          </w:tcPr>
          <w:p>
            <w:pPr>
              <w:jc w:val="center"/>
            </w:pPr>
            <w:r>
              <w:rPr>
                <w:rFonts w:ascii="Aptos" w:hAnsi="Aptos"/>
                <w:b w:val="0"/>
                <w:sz w:val="19"/>
              </w:rPr>
              <w:t>60.54</w:t>
            </w:r>
          </w:p>
        </w:tc>
      </w:tr>
      <w:tr>
        <w:tc>
          <w:tcPr>
            <w:tcW w:type="dxa" w:w="4968"/>
            <w:vAlign w:val="center"/>
          </w:tcPr>
          <w:p>
            <w:pPr>
              <w:jc w:val="left"/>
            </w:pPr>
            <w:r>
              <w:rPr>
                <w:rFonts w:ascii="Aptos" w:hAnsi="Aptos"/>
                <w:b w:val="0"/>
                <w:sz w:val="19"/>
              </w:rPr>
              <w:t>acled_protests</w:t>
            </w:r>
          </w:p>
        </w:tc>
        <w:tc>
          <w:tcPr>
            <w:tcW w:type="dxa" w:w="4968"/>
            <w:vAlign w:val="center"/>
          </w:tcPr>
          <w:p>
            <w:pPr>
              <w:jc w:val="center"/>
            </w:pPr>
            <w:r>
              <w:rPr>
                <w:rFonts w:ascii="Aptos" w:hAnsi="Aptos"/>
                <w:b w:val="0"/>
                <w:sz w:val="19"/>
              </w:rPr>
              <w:t>60.54</w:t>
            </w:r>
          </w:p>
        </w:tc>
      </w:tr>
      <w:tr>
        <w:tc>
          <w:tcPr>
            <w:tcW w:type="dxa" w:w="4968"/>
            <w:vAlign w:val="center"/>
          </w:tcPr>
          <w:p>
            <w:pPr>
              <w:jc w:val="left"/>
            </w:pPr>
            <w:r>
              <w:rPr>
                <w:rFonts w:ascii="Aptos" w:hAnsi="Aptos"/>
                <w:b w:val="0"/>
                <w:sz w:val="19"/>
              </w:rPr>
              <w:t>acled_riots</w:t>
            </w:r>
          </w:p>
        </w:tc>
        <w:tc>
          <w:tcPr>
            <w:tcW w:type="dxa" w:w="4968"/>
            <w:vAlign w:val="center"/>
          </w:tcPr>
          <w:p>
            <w:pPr>
              <w:jc w:val="center"/>
            </w:pPr>
            <w:r>
              <w:rPr>
                <w:rFonts w:ascii="Aptos" w:hAnsi="Aptos"/>
                <w:b w:val="0"/>
                <w:sz w:val="19"/>
              </w:rPr>
              <w:t>60.54</w:t>
            </w:r>
          </w:p>
        </w:tc>
      </w:tr>
      <w:tr>
        <w:tc>
          <w:tcPr>
            <w:tcW w:type="dxa" w:w="4968"/>
            <w:vAlign w:val="center"/>
          </w:tcPr>
          <w:p>
            <w:pPr>
              <w:jc w:val="left"/>
            </w:pPr>
            <w:r>
              <w:rPr>
                <w:rFonts w:ascii="Aptos" w:hAnsi="Aptos"/>
                <w:b w:val="0"/>
                <w:sz w:val="19"/>
              </w:rPr>
              <w:t>acled_strategic_developments</w:t>
            </w:r>
          </w:p>
        </w:tc>
        <w:tc>
          <w:tcPr>
            <w:tcW w:type="dxa" w:w="4968"/>
            <w:vAlign w:val="center"/>
          </w:tcPr>
          <w:p>
            <w:pPr>
              <w:jc w:val="center"/>
            </w:pPr>
            <w:r>
              <w:rPr>
                <w:rFonts w:ascii="Aptos" w:hAnsi="Aptos"/>
                <w:b w:val="0"/>
                <w:sz w:val="19"/>
              </w:rPr>
              <w:t>60.54</w:t>
            </w:r>
          </w:p>
        </w:tc>
      </w:tr>
    </w:tbl>
    <w:p/>
    <w:p>
      <w:r>
        <w:t>Dropped-features table continued</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jc w:val="center"/>
            </w:pPr>
            <w:r>
              <w:rPr>
                <w:rFonts w:ascii="Aptos" w:hAnsi="Aptos"/>
                <w:b/>
                <w:sz w:val="19"/>
              </w:rPr>
              <w:t>Dropped feature</w:t>
            </w:r>
          </w:p>
        </w:tc>
        <w:tc>
          <w:tcPr>
            <w:tcW w:type="dxa" w:w="4968"/>
            <w:shd w:fill="D9EAF7"/>
            <w:vAlign w:val="center"/>
          </w:tcPr>
          <w:p>
            <w:pPr>
              <w:jc w:val="center"/>
            </w:pPr>
            <w:r>
              <w:rPr>
                <w:rFonts w:ascii="Aptos" w:hAnsi="Aptos"/>
                <w:b/>
                <w:sz w:val="19"/>
              </w:rPr>
              <w:t>Pre-imputation missingness %</w:t>
            </w:r>
          </w:p>
        </w:tc>
      </w:tr>
      <w:tr>
        <w:tc>
          <w:tcPr>
            <w:tcW w:type="dxa" w:w="4968"/>
            <w:vAlign w:val="center"/>
          </w:tcPr>
          <w:p>
            <w:pPr>
              <w:jc w:val="left"/>
            </w:pPr>
            <w:r>
              <w:rPr>
                <w:rFonts w:ascii="Aptos" w:hAnsi="Aptos"/>
                <w:b w:val="0"/>
                <w:sz w:val="19"/>
              </w:rPr>
              <w:t>acled_total_fatalities</w:t>
            </w:r>
          </w:p>
        </w:tc>
        <w:tc>
          <w:tcPr>
            <w:tcW w:type="dxa" w:w="4968"/>
            <w:vAlign w:val="center"/>
          </w:tcPr>
          <w:p>
            <w:pPr>
              <w:jc w:val="center"/>
            </w:pPr>
            <w:r>
              <w:rPr>
                <w:rFonts w:ascii="Aptos" w:hAnsi="Aptos"/>
                <w:b w:val="0"/>
                <w:sz w:val="19"/>
              </w:rPr>
              <w:t>60.54</w:t>
            </w:r>
          </w:p>
        </w:tc>
      </w:tr>
      <w:tr>
        <w:tc>
          <w:tcPr>
            <w:tcW w:type="dxa" w:w="4968"/>
            <w:vAlign w:val="center"/>
          </w:tcPr>
          <w:p>
            <w:pPr>
              <w:jc w:val="left"/>
            </w:pPr>
            <w:r>
              <w:rPr>
                <w:rFonts w:ascii="Aptos" w:hAnsi="Aptos"/>
                <w:b w:val="0"/>
                <w:sz w:val="19"/>
              </w:rPr>
              <w:t>acled_civilian_targeting_events</w:t>
            </w:r>
          </w:p>
        </w:tc>
        <w:tc>
          <w:tcPr>
            <w:tcW w:type="dxa" w:w="4968"/>
            <w:vAlign w:val="center"/>
          </w:tcPr>
          <w:p>
            <w:pPr>
              <w:jc w:val="center"/>
            </w:pPr>
            <w:r>
              <w:rPr>
                <w:rFonts w:ascii="Aptos" w:hAnsi="Aptos"/>
                <w:b w:val="0"/>
                <w:sz w:val="19"/>
              </w:rPr>
              <w:t>60.54</w:t>
            </w:r>
          </w:p>
        </w:tc>
      </w:tr>
      <w:tr>
        <w:tc>
          <w:tcPr>
            <w:tcW w:type="dxa" w:w="4968"/>
            <w:vAlign w:val="center"/>
          </w:tcPr>
          <w:p>
            <w:pPr>
              <w:jc w:val="left"/>
            </w:pPr>
            <w:r>
              <w:rPr>
                <w:rFonts w:ascii="Aptos" w:hAnsi="Aptos"/>
                <w:b w:val="0"/>
                <w:sz w:val="19"/>
              </w:rPr>
              <w:t>acled_fatalities_per_event</w:t>
            </w:r>
          </w:p>
        </w:tc>
        <w:tc>
          <w:tcPr>
            <w:tcW w:type="dxa" w:w="4968"/>
            <w:vAlign w:val="center"/>
          </w:tcPr>
          <w:p>
            <w:pPr>
              <w:jc w:val="center"/>
            </w:pPr>
            <w:r>
              <w:rPr>
                <w:rFonts w:ascii="Aptos" w:hAnsi="Aptos"/>
                <w:b w:val="0"/>
                <w:sz w:val="19"/>
              </w:rPr>
              <w:t>60.54</w:t>
            </w:r>
          </w:p>
        </w:tc>
      </w:tr>
      <w:tr>
        <w:tc>
          <w:tcPr>
            <w:tcW w:type="dxa" w:w="4968"/>
            <w:vAlign w:val="center"/>
          </w:tcPr>
          <w:p>
            <w:pPr>
              <w:jc w:val="left"/>
            </w:pPr>
            <w:r>
              <w:rPr>
                <w:rFonts w:ascii="Aptos" w:hAnsi="Aptos"/>
                <w:b w:val="0"/>
                <w:sz w:val="19"/>
              </w:rPr>
              <w:t>acled_violence_share</w:t>
            </w:r>
          </w:p>
        </w:tc>
        <w:tc>
          <w:tcPr>
            <w:tcW w:type="dxa" w:w="4968"/>
            <w:vAlign w:val="center"/>
          </w:tcPr>
          <w:p>
            <w:pPr>
              <w:jc w:val="center"/>
            </w:pPr>
            <w:r>
              <w:rPr>
                <w:rFonts w:ascii="Aptos" w:hAnsi="Aptos"/>
                <w:b w:val="0"/>
                <w:sz w:val="19"/>
              </w:rPr>
              <w:t>60.54</w:t>
            </w:r>
          </w:p>
        </w:tc>
      </w:tr>
      <w:tr>
        <w:tc>
          <w:tcPr>
            <w:tcW w:type="dxa" w:w="4968"/>
            <w:vAlign w:val="center"/>
          </w:tcPr>
          <w:p>
            <w:pPr>
              <w:jc w:val="left"/>
            </w:pPr>
            <w:r>
              <w:rPr>
                <w:rFonts w:ascii="Aptos" w:hAnsi="Aptos"/>
                <w:b w:val="0"/>
                <w:sz w:val="19"/>
              </w:rPr>
              <w:t>acled_protest_share</w:t>
            </w:r>
          </w:p>
        </w:tc>
        <w:tc>
          <w:tcPr>
            <w:tcW w:type="dxa" w:w="4968"/>
            <w:vAlign w:val="center"/>
          </w:tcPr>
          <w:p>
            <w:pPr>
              <w:jc w:val="center"/>
            </w:pPr>
            <w:r>
              <w:rPr>
                <w:rFonts w:ascii="Aptos" w:hAnsi="Aptos"/>
                <w:b w:val="0"/>
                <w:sz w:val="19"/>
              </w:rPr>
              <w:t>60.54</w:t>
            </w:r>
          </w:p>
        </w:tc>
      </w:tr>
      <w:tr>
        <w:tc>
          <w:tcPr>
            <w:tcW w:type="dxa" w:w="4968"/>
            <w:vAlign w:val="center"/>
          </w:tcPr>
          <w:p>
            <w:pPr>
              <w:jc w:val="left"/>
            </w:pPr>
            <w:r>
              <w:rPr>
                <w:rFonts w:ascii="Aptos" w:hAnsi="Aptos"/>
                <w:b w:val="0"/>
                <w:sz w:val="19"/>
              </w:rPr>
              <w:t>ir_tbill_rate</w:t>
            </w:r>
          </w:p>
        </w:tc>
        <w:tc>
          <w:tcPr>
            <w:tcW w:type="dxa" w:w="4968"/>
            <w:vAlign w:val="center"/>
          </w:tcPr>
          <w:p>
            <w:pPr>
              <w:jc w:val="center"/>
            </w:pPr>
            <w:r>
              <w:rPr>
                <w:rFonts w:ascii="Aptos" w:hAnsi="Aptos"/>
                <w:b w:val="0"/>
                <w:sz w:val="19"/>
              </w:rPr>
              <w:t>56.49</w:t>
            </w:r>
          </w:p>
        </w:tc>
      </w:tr>
      <w:tr>
        <w:tc>
          <w:tcPr>
            <w:tcW w:type="dxa" w:w="4968"/>
            <w:vAlign w:val="center"/>
          </w:tcPr>
          <w:p>
            <w:pPr>
              <w:jc w:val="left"/>
            </w:pPr>
            <w:r>
              <w:rPr>
                <w:rFonts w:ascii="Aptos" w:hAnsi="Aptos"/>
                <w:b w:val="0"/>
                <w:sz w:val="19"/>
              </w:rPr>
              <w:t>bis_govt_debt_securities_outstanding</w:t>
            </w:r>
          </w:p>
        </w:tc>
        <w:tc>
          <w:tcPr>
            <w:tcW w:type="dxa" w:w="4968"/>
            <w:vAlign w:val="center"/>
          </w:tcPr>
          <w:p>
            <w:pPr>
              <w:jc w:val="center"/>
            </w:pPr>
            <w:r>
              <w:rPr>
                <w:rFonts w:ascii="Aptos" w:hAnsi="Aptos"/>
                <w:b w:val="0"/>
                <w:sz w:val="19"/>
              </w:rPr>
              <w:t>54.59</w:t>
            </w:r>
          </w:p>
        </w:tc>
      </w:tr>
    </w:tbl>
    <w:p/>
    <w:p>
      <w:pPr>
        <w:pStyle w:val="Heading1"/>
      </w:pPr>
      <w:r>
        <w:t>9. Feature engineering after merge</w:t>
      </w:r>
    </w:p>
    <w:p>
      <w:r>
        <w:t>Feature engineering was intentionally modest and economically interpretable. The aim was not to manufacture hundreds of synthetic transformations before any baseline results existed. Instead, the code added rolling debt changes, FX depreciation measures, inflation acceleration, real policy rate, and a percentile-based debt stress index.</w:t>
      </w:r>
    </w:p>
    <w:p>
      <w:r>
        <w:t>The percentile construction was chosen because it allows variables measured on very different scales to be combined without performing irreversible normalization at the cleaning stage. This preserves flexibility for later model-specific scaling decisions.</w:t>
      </w:r>
    </w:p>
    <w:p>
      <w:pPr>
        <w:pStyle w:val="Heading1"/>
      </w:pPr>
      <w:r>
        <w:t>10. Forward-looking labels and leakage control</w:t>
      </w:r>
    </w:p>
    <w:p>
      <w:r>
        <w:t>The label distress_within_12m is strictly forward-looking. It equals one if a new distress event starts in the next 12 months, excluding the current month. That design turns the task into an actual early-warning problem rather than a contemporaneous classification task.</w:t>
      </w:r>
    </w:p>
    <w:p>
      <w:r>
        <w:t>The code protects against leakage by generating the event table first, building monthly labels from event starts, and explicitly excluding months_to_next_distress and other label-support fields from the model-feature list when flat files and sequence windows are created.</w:t>
      </w:r>
    </w:p>
    <w:p>
      <w:pPr>
        <w:pStyle w:val="Heading1"/>
      </w:pPr>
      <w:r>
        <w:t>11. Final dataset summary from the delivered run</w:t>
      </w:r>
    </w:p>
    <w:p>
      <w:r>
        <w:t>The merged panel saved in the delivered outputs contains 9600 rows and 111 columns. This is exactly the expected 32-country monthly backbone from 2000-01 through 2024-12.</w:t>
      </w:r>
    </w:p>
    <w:p>
      <w:r>
        <w:t>Feature counts by modality in the delivered panel were: macro = 63, debt = 34, political = 1, engineered = 13, and labels = 3. The political count of one reflects the retention of the stable pre-aggregated political violence feature after the sparse ACLED family was dropped.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vAlign w:val="center"/>
          </w:tcPr>
          <w:p>
            <w:pPr>
              <w:jc w:val="center"/>
            </w:pPr>
            <w:r>
              <w:rPr>
                <w:rFonts w:ascii="Aptos" w:hAnsi="Aptos"/>
                <w:b/>
                <w:sz w:val="19"/>
              </w:rPr>
              <w:t>Split</w:t>
            </w:r>
          </w:p>
        </w:tc>
        <w:tc>
          <w:tcPr>
            <w:tcW w:type="dxa" w:w="1656"/>
            <w:shd w:fill="D9EAF7"/>
            <w:vAlign w:val="center"/>
          </w:tcPr>
          <w:p>
            <w:pPr>
              <w:jc w:val="center"/>
            </w:pPr>
            <w:r>
              <w:rPr>
                <w:rFonts w:ascii="Aptos" w:hAnsi="Aptos"/>
                <w:b/>
                <w:sz w:val="19"/>
              </w:rPr>
              <w:t>Rows</w:t>
            </w:r>
          </w:p>
        </w:tc>
        <w:tc>
          <w:tcPr>
            <w:tcW w:type="dxa" w:w="1656"/>
            <w:shd w:fill="D9EAF7"/>
            <w:vAlign w:val="center"/>
          </w:tcPr>
          <w:p>
            <w:pPr>
              <w:jc w:val="center"/>
            </w:pPr>
            <w:r>
              <w:rPr>
                <w:rFonts w:ascii="Aptos" w:hAnsi="Aptos"/>
                <w:b/>
                <w:sz w:val="19"/>
              </w:rPr>
              <w:t>y=1</w:t>
            </w:r>
          </w:p>
        </w:tc>
        <w:tc>
          <w:tcPr>
            <w:tcW w:type="dxa" w:w="1656"/>
            <w:shd w:fill="D9EAF7"/>
            <w:vAlign w:val="center"/>
          </w:tcPr>
          <w:p>
            <w:pPr>
              <w:jc w:val="center"/>
            </w:pPr>
            <w:r>
              <w:rPr>
                <w:rFonts w:ascii="Aptos" w:hAnsi="Aptos"/>
                <w:b/>
                <w:sz w:val="19"/>
              </w:rPr>
              <w:t>y=0</w:t>
            </w:r>
          </w:p>
        </w:tc>
        <w:tc>
          <w:tcPr>
            <w:tcW w:type="dxa" w:w="1656"/>
            <w:shd w:fill="D9EAF7"/>
            <w:vAlign w:val="center"/>
          </w:tcPr>
          <w:p>
            <w:pPr>
              <w:jc w:val="center"/>
            </w:pPr>
            <w:r>
              <w:rPr>
                <w:rFonts w:ascii="Aptos" w:hAnsi="Aptos"/>
                <w:b/>
                <w:sz w:val="19"/>
              </w:rPr>
              <w:t>Positive rate</w:t>
            </w:r>
          </w:p>
        </w:tc>
        <w:tc>
          <w:tcPr>
            <w:tcW w:type="dxa" w:w="1656"/>
            <w:shd w:fill="D9EAF7"/>
            <w:vAlign w:val="center"/>
          </w:tcPr>
          <w:p>
            <w:pPr>
              <w:jc w:val="center"/>
            </w:pPr>
            <w:r>
              <w:rPr>
                <w:rFonts w:ascii="Aptos" w:hAnsi="Aptos"/>
                <w:b/>
                <w:sz w:val="19"/>
              </w:rPr>
              <w:t>Countries with at least one positive label</w:t>
            </w:r>
          </w:p>
        </w:tc>
      </w:tr>
      <w:tr>
        <w:tc>
          <w:tcPr>
            <w:tcW w:type="dxa" w:w="1656"/>
            <w:vAlign w:val="center"/>
          </w:tcPr>
          <w:p>
            <w:pPr>
              <w:jc w:val="left"/>
            </w:pPr>
            <w:r>
              <w:rPr>
                <w:rFonts w:ascii="Aptos" w:hAnsi="Aptos"/>
                <w:b w:val="0"/>
                <w:sz w:val="19"/>
              </w:rPr>
              <w:t>Train</w:t>
            </w:r>
          </w:p>
        </w:tc>
        <w:tc>
          <w:tcPr>
            <w:tcW w:type="dxa" w:w="1656"/>
            <w:vAlign w:val="center"/>
          </w:tcPr>
          <w:p>
            <w:pPr>
              <w:jc w:val="center"/>
            </w:pPr>
            <w:r>
              <w:rPr>
                <w:rFonts w:ascii="Aptos" w:hAnsi="Aptos"/>
                <w:b w:val="0"/>
                <w:sz w:val="19"/>
              </w:rPr>
              <w:t>6528</w:t>
            </w:r>
          </w:p>
        </w:tc>
        <w:tc>
          <w:tcPr>
            <w:tcW w:type="dxa" w:w="1656"/>
            <w:vAlign w:val="center"/>
          </w:tcPr>
          <w:p>
            <w:pPr>
              <w:jc w:val="center"/>
            </w:pPr>
            <w:r>
              <w:rPr>
                <w:rFonts w:ascii="Aptos" w:hAnsi="Aptos"/>
                <w:b w:val="0"/>
                <w:sz w:val="19"/>
              </w:rPr>
              <w:t>386</w:t>
            </w:r>
          </w:p>
        </w:tc>
        <w:tc>
          <w:tcPr>
            <w:tcW w:type="dxa" w:w="1656"/>
            <w:vAlign w:val="center"/>
          </w:tcPr>
          <w:p>
            <w:pPr>
              <w:jc w:val="center"/>
            </w:pPr>
            <w:r>
              <w:rPr>
                <w:rFonts w:ascii="Aptos" w:hAnsi="Aptos"/>
                <w:b w:val="0"/>
                <w:sz w:val="19"/>
              </w:rPr>
              <w:t>6142</w:t>
            </w:r>
          </w:p>
        </w:tc>
        <w:tc>
          <w:tcPr>
            <w:tcW w:type="dxa" w:w="1656"/>
            <w:vAlign w:val="center"/>
          </w:tcPr>
          <w:p>
            <w:pPr>
              <w:jc w:val="left"/>
            </w:pPr>
            <w:r>
              <w:rPr>
                <w:rFonts w:ascii="Aptos" w:hAnsi="Aptos"/>
                <w:b w:val="0"/>
                <w:sz w:val="19"/>
              </w:rPr>
              <w:t>5.91%</w:t>
            </w:r>
          </w:p>
        </w:tc>
        <w:tc>
          <w:tcPr>
            <w:tcW w:type="dxa" w:w="1656"/>
            <w:vAlign w:val="center"/>
          </w:tcPr>
          <w:p>
            <w:pPr>
              <w:jc w:val="left"/>
            </w:pPr>
            <w:r>
              <w:rPr>
                <w:rFonts w:ascii="Aptos" w:hAnsi="Aptos"/>
                <w:b w:val="0"/>
                <w:sz w:val="19"/>
              </w:rPr>
              <w:t>ARG, BRA, COL, DOM, ECU, EGY, IDN, JAM, LBN, LKA, MEX, MOZ, NGA, PAK, PHL, TUN, TUR, UKR, VEN, ZAF</w:t>
            </w:r>
          </w:p>
        </w:tc>
      </w:tr>
      <w:tr>
        <w:tc>
          <w:tcPr>
            <w:tcW w:type="dxa" w:w="1656"/>
            <w:vAlign w:val="center"/>
          </w:tcPr>
          <w:p>
            <w:pPr>
              <w:jc w:val="left"/>
            </w:pPr>
            <w:r>
              <w:rPr>
                <w:rFonts w:ascii="Aptos" w:hAnsi="Aptos"/>
                <w:b w:val="0"/>
                <w:sz w:val="19"/>
              </w:rPr>
              <w:t>Val</w:t>
            </w:r>
          </w:p>
        </w:tc>
        <w:tc>
          <w:tcPr>
            <w:tcW w:type="dxa" w:w="1656"/>
            <w:vAlign w:val="center"/>
          </w:tcPr>
          <w:p>
            <w:pPr>
              <w:jc w:val="center"/>
            </w:pPr>
            <w:r>
              <w:rPr>
                <w:rFonts w:ascii="Aptos" w:hAnsi="Aptos"/>
                <w:b w:val="0"/>
                <w:sz w:val="19"/>
              </w:rPr>
              <w:t>1152</w:t>
            </w:r>
          </w:p>
        </w:tc>
        <w:tc>
          <w:tcPr>
            <w:tcW w:type="dxa" w:w="1656"/>
            <w:vAlign w:val="center"/>
          </w:tcPr>
          <w:p>
            <w:pPr>
              <w:jc w:val="center"/>
            </w:pPr>
            <w:r>
              <w:rPr>
                <w:rFonts w:ascii="Aptos" w:hAnsi="Aptos"/>
                <w:b w:val="0"/>
                <w:sz w:val="19"/>
              </w:rPr>
              <w:t>87</w:t>
            </w:r>
          </w:p>
        </w:tc>
        <w:tc>
          <w:tcPr>
            <w:tcW w:type="dxa" w:w="1656"/>
            <w:vAlign w:val="center"/>
          </w:tcPr>
          <w:p>
            <w:pPr>
              <w:jc w:val="center"/>
            </w:pPr>
            <w:r>
              <w:rPr>
                <w:rFonts w:ascii="Aptos" w:hAnsi="Aptos"/>
                <w:b w:val="0"/>
                <w:sz w:val="19"/>
              </w:rPr>
              <w:t>1065</w:t>
            </w:r>
          </w:p>
        </w:tc>
        <w:tc>
          <w:tcPr>
            <w:tcW w:type="dxa" w:w="1656"/>
            <w:vAlign w:val="center"/>
          </w:tcPr>
          <w:p>
            <w:pPr>
              <w:jc w:val="left"/>
            </w:pPr>
            <w:r>
              <w:rPr>
                <w:rFonts w:ascii="Aptos" w:hAnsi="Aptos"/>
                <w:b w:val="0"/>
                <w:sz w:val="19"/>
              </w:rPr>
              <w:t>7.55%</w:t>
            </w:r>
          </w:p>
        </w:tc>
        <w:tc>
          <w:tcPr>
            <w:tcW w:type="dxa" w:w="1656"/>
            <w:vAlign w:val="center"/>
          </w:tcPr>
          <w:p>
            <w:pPr>
              <w:jc w:val="left"/>
            </w:pPr>
            <w:r>
              <w:rPr>
                <w:rFonts w:ascii="Aptos" w:hAnsi="Aptos"/>
                <w:b w:val="0"/>
                <w:sz w:val="19"/>
              </w:rPr>
              <w:t>ARG, ECU, LBN, MEX, NGA, PAK, TUR, VEN, ZMB</w:t>
            </w:r>
          </w:p>
        </w:tc>
      </w:tr>
      <w:tr>
        <w:tc>
          <w:tcPr>
            <w:tcW w:type="dxa" w:w="1656"/>
            <w:vAlign w:val="center"/>
          </w:tcPr>
          <w:p>
            <w:pPr>
              <w:jc w:val="left"/>
            </w:pPr>
            <w:r>
              <w:rPr>
                <w:rFonts w:ascii="Aptos" w:hAnsi="Aptos"/>
                <w:b w:val="0"/>
                <w:sz w:val="19"/>
              </w:rPr>
              <w:t>Test</w:t>
            </w:r>
          </w:p>
        </w:tc>
        <w:tc>
          <w:tcPr>
            <w:tcW w:type="dxa" w:w="1656"/>
            <w:vAlign w:val="center"/>
          </w:tcPr>
          <w:p>
            <w:pPr>
              <w:jc w:val="center"/>
            </w:pPr>
            <w:r>
              <w:rPr>
                <w:rFonts w:ascii="Aptos" w:hAnsi="Aptos"/>
                <w:b w:val="0"/>
                <w:sz w:val="19"/>
              </w:rPr>
              <w:t>1920</w:t>
            </w:r>
          </w:p>
        </w:tc>
        <w:tc>
          <w:tcPr>
            <w:tcW w:type="dxa" w:w="1656"/>
            <w:vAlign w:val="center"/>
          </w:tcPr>
          <w:p>
            <w:pPr>
              <w:jc w:val="center"/>
            </w:pPr>
            <w:r>
              <w:rPr>
                <w:rFonts w:ascii="Aptos" w:hAnsi="Aptos"/>
                <w:b w:val="0"/>
                <w:sz w:val="19"/>
              </w:rPr>
              <w:t>115</w:t>
            </w:r>
          </w:p>
        </w:tc>
        <w:tc>
          <w:tcPr>
            <w:tcW w:type="dxa" w:w="1656"/>
            <w:vAlign w:val="center"/>
          </w:tcPr>
          <w:p>
            <w:pPr>
              <w:jc w:val="center"/>
            </w:pPr>
            <w:r>
              <w:rPr>
                <w:rFonts w:ascii="Aptos" w:hAnsi="Aptos"/>
                <w:b w:val="0"/>
                <w:sz w:val="19"/>
              </w:rPr>
              <w:t>1805</w:t>
            </w:r>
          </w:p>
        </w:tc>
        <w:tc>
          <w:tcPr>
            <w:tcW w:type="dxa" w:w="1656"/>
            <w:vAlign w:val="center"/>
          </w:tcPr>
          <w:p>
            <w:pPr>
              <w:jc w:val="left"/>
            </w:pPr>
            <w:r>
              <w:rPr>
                <w:rFonts w:ascii="Aptos" w:hAnsi="Aptos"/>
                <w:b w:val="0"/>
                <w:sz w:val="19"/>
              </w:rPr>
              <w:t>5.99%</w:t>
            </w:r>
          </w:p>
        </w:tc>
        <w:tc>
          <w:tcPr>
            <w:tcW w:type="dxa" w:w="1656"/>
            <w:vAlign w:val="center"/>
          </w:tcPr>
          <w:p>
            <w:pPr>
              <w:jc w:val="left"/>
            </w:pPr>
            <w:r>
              <w:rPr>
                <w:rFonts w:ascii="Aptos" w:hAnsi="Aptos"/>
                <w:b w:val="0"/>
                <w:sz w:val="19"/>
              </w:rPr>
              <w:t>ARG, ECU, EGY, ETH, GHA, KEN, LBN, LKA, NGA, PAK, UKR, ZMB</w:t>
            </w:r>
          </w:p>
        </w:tc>
      </w:tr>
    </w:tbl>
    <w:p/>
    <w:p>
      <w:r>
        <w:t>Windowed sequence arrays were generated from the same panel. The delivered outputs contained train windows of shape (5792, 24, 103), validation windows of shape (416, 24, 103), and test windows of shape (1184, 24, 103).</w:t>
      </w:r>
    </w:p>
    <w:p>
      <w:pPr>
        <w:pStyle w:val="Heading1"/>
      </w:pPr>
      <w:r>
        <w:t>12. Main problems encountered and why the fixes were reasonable</w:t>
      </w:r>
    </w:p>
    <w:p>
      <w:pPr>
        <w:pStyle w:val="ListBullet"/>
      </w:pPr>
      <w:r>
        <w:t>Different country naming conventions were resolved using an explicit ISO3 mapping dictionary rather than fuzzy matching. That was safer and easier to audit.</w:t>
      </w:r>
    </w:p>
    <w:p>
      <w:pPr>
        <w:pStyle w:val="ListBullet"/>
      </w:pPr>
      <w:r>
        <w:t>Wide IMF exports were parsed using regex-based time-column detection and period-string translation. This generalized across CPI, FX, interest rates, and BOP.</w:t>
      </w:r>
    </w:p>
    <w:p>
      <w:pPr>
        <w:pStyle w:val="ListBullet"/>
      </w:pPr>
      <w:r>
        <w:t>Annual sources were repeated across months rather than interpolated. That avoided inventing monthly trajectories that were never observed.</w:t>
      </w:r>
    </w:p>
    <w:p>
      <w:pPr>
        <w:pStyle w:val="ListBullet"/>
      </w:pPr>
      <w:r>
        <w:t>The BoC-BoE files required special parsing because observations began only after metadata and series-definition blocks. Searching for the OBSERVATIONS marker made the parser robust to the source format.</w:t>
      </w:r>
    </w:p>
    <w:p>
      <w:pPr>
        <w:pStyle w:val="ListBullet"/>
      </w:pPr>
      <w:r>
        <w:t>The BOP file was processed in chunks because it was too large to treat casually. Chunking reduced memory pressure and preserved reproducibility through a saved series-selection audit file.</w:t>
      </w:r>
    </w:p>
    <w:p>
      <w:pPr>
        <w:pStyle w:val="ListBullet"/>
      </w:pPr>
      <w:r>
        <w:t>Coverage differences across sources were handled with a transparent missingness report, a &gt;50 percent column-drop rule, and explicit missingness indicators for still-sparse retained features.</w:t>
      </w:r>
    </w:p>
    <w:p>
      <w:pPr>
        <w:pStyle w:val="ListBullet"/>
      </w:pPr>
      <w:r>
        <w:t>Time-based splitting and exclusion of label-support variables from feature matrices were used to reduce leakage risk.</w:t>
      </w:r>
    </w:p>
    <w:p>
      <w:pPr>
        <w:pStyle w:val="Heading1"/>
      </w:pPr>
      <w:r>
        <w:t>13. Coverage observations that matter for interpretation</w:t>
      </w:r>
    </w:p>
    <w:p>
      <w:r>
        <w:t>ACLED: 28 target countries were present after country mapping. Egypt, Jordan, Nigeria, and the Philippines were not recovered from the ACLED-derived output in the final run and therefore the pre-aggregated political violence file became the stable political fallback.</w:t>
      </w:r>
    </w:p>
    <w:p>
      <w:r>
        <w:t>CPI/FX/WEO: Each of these sources yielded 26-country monthly panels after series selection and expansion. The main constraint was not the overall archive size but the country-by-series completeness pattern.</w:t>
      </w:r>
    </w:p>
    <w:p>
      <w:r>
        <w:t>External debt: External debt produced a 26-country annual-to-monthly panel. This was one of the strongest feature families and remained prominent in the merged panel.</w:t>
      </w:r>
    </w:p>
    <w:p>
      <w:r>
        <w:t>Interest rates: Interest rate coverage was thinner at 23 countries. The T-bill rate in particular was too sparse and was dropped at the merge stage.</w:t>
      </w:r>
    </w:p>
    <w:p>
      <w:r>
        <w:t>BOP: The BOP file yielded 28-country coverage for the selected external financing/reserve series. The four target countries not recovered for the selected series were ETH, MOZ, POL, and TUR.</w:t>
      </w:r>
    </w:p>
    <w:p>
      <w:r>
        <w:t>BIS: BIS government debt securities were parseable but only covered 17 countries in the retained output, so this feature was treated as optional and later dropped for high missingness.</w:t>
      </w:r>
    </w:p>
    <w:p>
      <w:pPr>
        <w:pStyle w:val="Heading1"/>
      </w:pPr>
      <w:r>
        <w:t>14. Recommended next steps</w:t>
      </w:r>
    </w:p>
    <w:p>
      <w:r>
        <w:t>The strongest next improvement is to tighten the event-definition logic for distress so that the final report can state precisely whether the target is sovereign default prediction, restructuring prediction, or a broader debt-distress proxy.</w:t>
      </w:r>
    </w:p>
    <w:p>
      <w:r>
        <w:t>If a richer political module is needed, the ACLED family should be revisited because the aggregation logic was sound even though the final coverage was not strong enough for the current backbone design.</w:t>
      </w:r>
    </w:p>
    <w:p>
      <w:r>
        <w:t>After baseline models are run, the feature list can be pruned further using model-based importance, collinearity screening, and economic interpretability.</w:t>
      </w:r>
    </w:p>
    <w:p>
      <w:pPr>
        <w:pStyle w:val="Heading1"/>
      </w:pPr>
      <w:r>
        <w:t>Appendix A. How to use the supplied code file</w:t>
      </w:r>
    </w:p>
    <w:p>
      <w:r>
        <w:t>The accompanying Python file is a consolidated, fully commented pipeline script. It is designed to reconstruct the same dataset organization as the delivered ZIP package. The main command-line arguments are --raw-zip, --bop-zip, and --output-dir.</w:t>
      </w:r>
    </w:p>
    <w:p>
      <w:r>
        <w:t>The script writes cleaned source-level files under data/interim and merged model-ready outputs under data/processed. It also saves a missingness report, summary statistics, feature modality map, split CSVs, and 24-month sequence windows.</w:t>
      </w:r>
    </w:p>
    <w:sectPr w:rsidR="00FC693F" w:rsidRPr="0006063C" w:rsidSect="00034616">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37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