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МІНІСТЕРСТВО ОСВІТИ І НАУКИ УКРАЇНИ</w:t>
      </w:r>
    </w:p>
    <w:p>
      <w:pPr>
        <w:spacing w:line="24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Національний технічний університет України</w:t>
      </w:r>
    </w:p>
    <w:p>
      <w:pPr>
        <w:spacing w:line="24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«Київський політехнічний інститут імені Ігоря Сікорського»</w:t>
      </w:r>
    </w:p>
    <w:p>
      <w:pPr>
        <w:spacing w:line="24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Факультет менеджменту та маркетингу</w:t>
      </w:r>
    </w:p>
    <w:p>
      <w:pPr>
        <w:spacing w:line="240" w:lineRule="auto" w:before="0" w:after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</w:r>
    </w:p>
    <w:p>
      <w:pPr>
        <w:spacing w:line="24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Реферат з дисципліни:</w:t>
      </w:r>
    </w:p>
    <w:p>
      <w:pPr>
        <w:spacing w:line="240" w:lineRule="auto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«БІЗНЕС-ПРОГНОЗУВАННЯ»</w:t>
      </w:r>
    </w:p>
    <w:p>
      <w:pPr>
        <w:spacing w:line="240" w:lineRule="auto" w:before="0" w:after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</w:r>
    </w:p>
    <w:p>
      <w:pPr>
        <w:spacing w:line="24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Тема: «Прогноз продажу товарів у розрізі SKU»</w:t>
      </w:r>
    </w:p>
    <w:p>
      <w:pPr>
        <w:spacing w:line="240" w:lineRule="auto" w:before="0" w:after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</w:r>
    </w:p>
    <w:p>
      <w:pPr>
        <w:tabs>
          <w:tab w:pos="6236" w:val="left"/>
        </w:tabs>
        <w:spacing w:line="240" w:lineRule="auto" w:before="0" w:after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Перевірив:</w:t>
        <w:tab/>
        <w:t>Виконала:</w:t>
      </w:r>
    </w:p>
    <w:p>
      <w:pPr>
        <w:tabs>
          <w:tab w:pos="6236" w:val="left"/>
        </w:tabs>
        <w:spacing w:line="240" w:lineRule="auto" w:before="0" w:after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викладач</w:t>
        <w:tab/>
        <w:t>студентка групи УМ-з31</w:t>
      </w:r>
    </w:p>
    <w:p>
      <w:pPr>
        <w:tabs>
          <w:tab w:pos="6236" w:val="left"/>
        </w:tabs>
        <w:spacing w:line="240" w:lineRule="auto" w:before="0" w:after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Биба В. М.</w:t>
        <w:tab/>
        <w:t>Горбунова К.</w:t>
      </w:r>
    </w:p>
    <w:p>
      <w:pPr>
        <w:spacing w:line="240" w:lineRule="auto" w:before="0" w:after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</w:r>
    </w:p>
    <w:p>
      <w:pPr>
        <w:spacing w:line="24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Київ — 2026 р.</w:t>
      </w:r>
    </w:p>
    <w:p>
      <w:pPr>
        <w:spacing w:line="240" w:lineRule="auto" w:before="0" w:after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br w:type="page"/>
      </w:r>
    </w:p>
    <w:p>
      <w:pPr>
        <w:spacing w:line="240" w:lineRule="auto"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ЗМІСТ</w:t>
      </w:r>
    </w:p>
    <w:p>
      <w:pPr>
        <w:spacing w:line="240" w:lineRule="auto" w:before="0" w:after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</w:r>
    </w:p>
    <w:p>
      <w:pPr>
        <w:spacing w:line="240" w:lineRule="auto" w:before="0" w:after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Вступ</w:t>
      </w:r>
    </w:p>
    <w:p>
      <w:pPr>
        <w:spacing w:line="240" w:lineRule="auto" w:before="0" w:after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Розділ 1. Технічне завдання проекту</w:t>
      </w:r>
    </w:p>
    <w:p>
      <w:pPr>
        <w:spacing w:line="240" w:lineRule="auto" w:before="0" w:after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   1.1. Назва проекту, тип моделі та її розміщення</w:t>
      </w:r>
    </w:p>
    <w:p>
      <w:pPr>
        <w:spacing w:line="240" w:lineRule="auto" w:before="0" w:after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   1.2. Дата запуску, регулярність та виконавці</w:t>
      </w:r>
    </w:p>
    <w:p>
      <w:pPr>
        <w:spacing w:line="240" w:lineRule="auto" w:before="0" w:after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   1.3. Бізнес-проблема, що вирішується</w:t>
      </w:r>
    </w:p>
    <w:p>
      <w:pPr>
        <w:spacing w:line="240" w:lineRule="auto" w:before="0" w:after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   1.4. Бізнес-вимоги до проекту</w:t>
      </w:r>
    </w:p>
    <w:p>
      <w:pPr>
        <w:spacing w:line="240" w:lineRule="auto" w:before="0" w:after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   1.5. Метрики якості</w:t>
      </w:r>
    </w:p>
    <w:p>
      <w:pPr>
        <w:spacing w:line="240" w:lineRule="auto" w:before="0" w:after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   1.6. Виключення з прогнозу та обмеження</w:t>
      </w:r>
    </w:p>
    <w:p>
      <w:pPr>
        <w:spacing w:line="240" w:lineRule="auto" w:before="0" w:after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   1.7. Економічна ефективність</w:t>
      </w:r>
    </w:p>
    <w:p>
      <w:pPr>
        <w:spacing w:line="240" w:lineRule="auto" w:before="0" w:after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   1.8. Функціональні вимоги та Flow роботи</w:t>
      </w:r>
    </w:p>
    <w:p>
      <w:pPr>
        <w:spacing w:line="240" w:lineRule="auto" w:before="0" w:after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   1.9. Вимоги до даних та інтерфейс користувача</w:t>
      </w:r>
    </w:p>
    <w:p>
      <w:pPr>
        <w:spacing w:line="240" w:lineRule="auto" w:before="0" w:after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   1.10. Ризики проекту</w:t>
      </w:r>
    </w:p>
    <w:p>
      <w:pPr>
        <w:spacing w:line="240" w:lineRule="auto" w:before="0" w:after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Розділ 2. Реалізація моделі та результати</w:t>
      </w:r>
    </w:p>
    <w:p>
      <w:pPr>
        <w:spacing w:line="240" w:lineRule="auto" w:before="0" w:after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   2.1. Підготовка даних і формування датасету</w:t>
      </w:r>
    </w:p>
    <w:p>
      <w:pPr>
        <w:spacing w:line="240" w:lineRule="auto" w:before="0" w:after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   2.2. Інженерія ознак</w:t>
      </w:r>
    </w:p>
    <w:p>
      <w:pPr>
        <w:spacing w:line="240" w:lineRule="auto" w:before="0" w:after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   2.3. Архітектура моделі LightGBM</w:t>
      </w:r>
    </w:p>
    <w:p>
      <w:pPr>
        <w:spacing w:line="240" w:lineRule="auto" w:before="0" w:after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   2.4. Поділ на train/test та навчання</w:t>
      </w:r>
    </w:p>
    <w:p>
      <w:pPr>
        <w:spacing w:line="240" w:lineRule="auto" w:before="0" w:after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   2.5. Результати на тестовому періоді</w:t>
      </w:r>
    </w:p>
    <w:p>
      <w:pPr>
        <w:spacing w:line="240" w:lineRule="auto" w:before="0" w:after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   2.6. Аналіз feature importance</w:t>
      </w:r>
    </w:p>
    <w:p>
      <w:pPr>
        <w:spacing w:line="240" w:lineRule="auto" w:before="0" w:after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   2.7. Прогноз на 4 тижні наперед</w:t>
      </w:r>
    </w:p>
    <w:p>
      <w:pPr>
        <w:spacing w:line="240" w:lineRule="auto" w:before="0" w:after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   2.8. Розрахунок обсягу замовлення</w:t>
      </w:r>
    </w:p>
    <w:p>
      <w:pPr>
        <w:spacing w:line="240" w:lineRule="auto" w:before="0" w:after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Висновки</w:t>
      </w:r>
    </w:p>
    <w:p>
      <w:pPr>
        <w:spacing w:line="240" w:lineRule="auto" w:before="0" w:after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Список використаних джерел</w:t>
      </w:r>
    </w:p>
    <w:p>
      <w:pPr>
        <w:spacing w:line="240" w:lineRule="auto" w:before="0" w:after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br w:type="page"/>
      </w:r>
    </w:p>
    <w:p>
      <w:pPr>
        <w:spacing w:line="240" w:lineRule="auto"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ВСТУП</w:t>
      </w:r>
    </w:p>
    <w:p>
      <w:pPr>
        <w:spacing w:line="240" w:lineRule="auto" w:before="0" w:after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Прогнозування продажів у роздрібній торгівлі є одним із ключових елементів управління запасами. Помилка прогнозу веде або до прямої втрати продажів через відсутність товару (out-of-stock), або до заморожування оборотних коштів через надлишкові запаси на складі. Для роздрібних мереж і маркетплейсів з тисячами товарних позицій (SKU) ручне планування є непрактичним, тому використовуються алгоритми машинного навчання [1].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Об'єктом дослідження є процес формування прогнозу тижневих продажів у роздрібному маркетплейсі. Предметом — модель машинного навчання, що прогнозує обсяг продажів у розрізі SKU × магазин на горизонт 4 тижні наперед.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Метою реферату є опис розробленої моделі прогнозування продажів — від технічного завдання до отриманих результатів та бізнес-застосування.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Завдання реферату:</w:t>
      </w:r>
    </w:p>
    <w:p>
      <w:pPr>
        <w:spacing w:line="240" w:lineRule="auto" w:before="0" w:after="0"/>
        <w:ind w:left="425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 розкрити технічне завдання проекту в усіх його аспектах;</w:t>
      </w:r>
    </w:p>
    <w:p>
      <w:pPr>
        <w:spacing w:line="240" w:lineRule="auto" w:before="0" w:after="0"/>
        <w:ind w:left="425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 описати джерела даних, ознаки та структуру датасету;</w:t>
      </w:r>
    </w:p>
    <w:p>
      <w:pPr>
        <w:spacing w:line="240" w:lineRule="auto" w:before="0" w:after="0"/>
        <w:ind w:left="425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 обґрунтувати вибір моделі та метрик якості;</w:t>
      </w:r>
    </w:p>
    <w:p>
      <w:pPr>
        <w:spacing w:line="240" w:lineRule="auto" w:before="0" w:after="0"/>
        <w:ind w:left="425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 представити отримані результати на тестовому періоді;</w:t>
      </w:r>
    </w:p>
    <w:p>
      <w:pPr>
        <w:spacing w:line="240" w:lineRule="auto" w:before="0" w:after="0"/>
        <w:ind w:left="425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5. сформулювати висновки та визначити напрямки розвитку.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Структура реферату: робота складається зі вступу, двох розділів, висновків та списку використаних джерел.</w:t>
      </w:r>
    </w:p>
    <w:p>
      <w:pPr>
        <w:spacing w:line="240" w:lineRule="auto" w:before="0" w:after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br w:type="page"/>
      </w:r>
    </w:p>
    <w:p>
      <w:pPr>
        <w:spacing w:line="240" w:lineRule="auto"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РОЗДІЛ 1. ТЕХНІЧНЕ ЗАВДАННЯ ПРОЕКТУ</w:t>
      </w:r>
    </w:p>
    <w:p>
      <w:pPr>
        <w:spacing w:line="240" w:lineRule="auto" w:before="0" w:after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</w:r>
    </w:p>
    <w:p>
      <w:pPr>
        <w:spacing w:line="240" w:lineRule="auto" w:before="24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1.1. Назва проекту, тип моделі та її розміщення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Назва проекту — «Прогнозування тижневих продажів товарів у розрізі SKU × магазин на горизонт 4 тижні наперед». Тип моделі — gradient boosting на деревах рішень (реалізація LightGBM від Microsoft Research [3]). Baseline для порівняння — наївний сезонний прогноз (середнє за останні 4 тижні).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Проект розміщено у відкритому репозиторії на платформі GitHub [7], де зберігаються датасет, notebook з моделлю, технічне завдання, реферат та презентація. Управління завданнями ведеться через GitHub Project (Kanban) [8] з колонками: Backlog → ToDo → In Progress → For Review → Done.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Джерелами вхідних даних у продакшн-моделі є таблиці корпоративного сховища даних: sales_fact (продажі), dim_sku (каталог товарів), dim_store (магазини), dim_holidays (свята), dim_promo_calendar (акції), inventory_snapshot (залишки). Вихідні дані прогнозу зберігаються у таблиці forecast_sku_weekly та у форматі Parquet у S3-сховищі. Передача даних у систему планування закупівель здійснюється через REST API.</w:t>
      </w:r>
    </w:p>
    <w:p>
      <w:pPr>
        <w:spacing w:line="240" w:lineRule="auto" w:before="24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1.2. Дата запуску, регулярність та виконавці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Планова дата інтеграції моделі у робочий процес — кінець семестру. Регулярність запуску моделі — щотижня (понеділок, 06:00 UTC). Перенавчання моделі виконується раз на квартал або при перевищенні WAPE 30% дві неділі поспіль.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Замовником проекту є департамент Supply Chain &amp; Demand Planning умовного маркетплейсу. Внутрішні споживачі прогнозу — Inventory Planners та Category Managers. Розробниця — Горбунова К., студентка групи УМ-з31, в рамках навчальної дисципліни «Бізнес-прогнозування».</w:t>
      </w:r>
    </w:p>
    <w:p>
      <w:pPr>
        <w:spacing w:line="240" w:lineRule="auto" w:before="24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1.3. Бізнес-проблема, що вирішується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Маркетплейс зазнає одночасних втрат із двох сторін. По-перше, out-of-stock (OOS) призводить до прямої втрати GMV: клієнт не знаходить потрібний товар і йде до конкурента, що додатково знижує customer retention. По-друге, over-stock спричиняє заморожування оборотних коштів, зростання витрат на зберігання та ризик подальшої уцінки [4, с. 23].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Ручне планування десятків тисяч SKU не масштабується, тому необхідна автоматизована модель, що генерує прогноз продажів. Цей прогноз використовується у формулі обсягу замовлення:</w:t>
      </w:r>
    </w:p>
    <w:p>
      <w:pPr>
        <w:spacing w:line="240" w:lineRule="auto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Q = Fct − St − GiT + SS_Fct,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де Q — обсяг замовлення; Fct — прогноз продажів на горизонт; St — поточний залишок; GiT — товар у дорозі (Goods in Transit); SS_Fct — страховий запас, що залежить від прогнозу та його довірчого інтервалу.</w:t>
      </w:r>
    </w:p>
    <w:p>
      <w:pPr>
        <w:spacing w:line="240" w:lineRule="auto" w:before="24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1.4. Бізнес-вимоги до проекту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Ключові бізнес-вимоги, сформульовані замовником:</w:t>
      </w:r>
    </w:p>
    <w:p>
      <w:pPr>
        <w:pStyle w:val="ListBullet"/>
        <w:spacing w:line="240" w:lineRule="auto" w:before="0" w:after="0"/>
        <w:ind w:left="425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прогноз тижневих продажів на 4 тижні вперед у розрізі SKU × магазин;</w:t>
      </w:r>
    </w:p>
    <w:p>
      <w:pPr>
        <w:pStyle w:val="ListBullet"/>
        <w:spacing w:line="240" w:lineRule="auto" w:before="0" w:after="0"/>
        <w:ind w:left="425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поставка прогнозу у BI-систему Tableau та у CSV/Parquet-експорт;</w:t>
      </w:r>
    </w:p>
    <w:p>
      <w:pPr>
        <w:pStyle w:val="ListBullet"/>
        <w:spacing w:line="240" w:lineRule="auto" w:before="0" w:after="0"/>
        <w:ind w:left="425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латентність повного запуску — менше 5 хвилин;</w:t>
      </w:r>
    </w:p>
    <w:p>
      <w:pPr>
        <w:pStyle w:val="ListBullet"/>
        <w:spacing w:line="240" w:lineRule="auto" w:before="0" w:after="0"/>
        <w:ind w:left="425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детермінованість: повторні запуски на тих самих даних дають однакові результати;</w:t>
      </w:r>
    </w:p>
    <w:p>
      <w:pPr>
        <w:pStyle w:val="ListBullet"/>
        <w:spacing w:line="240" w:lineRule="auto" w:before="0" w:after="0"/>
        <w:ind w:left="425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можливість фільтру за категорією, магазином, SKU у дашборді;</w:t>
      </w:r>
    </w:p>
    <w:p>
      <w:pPr>
        <w:pStyle w:val="ListBullet"/>
        <w:spacing w:line="240" w:lineRule="auto" w:before="0" w:after="0"/>
        <w:ind w:left="425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автоматичний моніторинг WAPE та сповіщення команди у разі перевищення порогу.</w:t>
      </w:r>
    </w:p>
    <w:p>
      <w:pPr>
        <w:spacing w:line="240" w:lineRule="auto" w:before="24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1.5. Метрики якості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якості основної метрики обрано WAPE (Weighted Absolute Percentage Error), оскільки традиційна MAPE гіперчутлива до тижнів із малими фактичними значеннями, що особливо актуально для рідкісних SKU [1, с. 89]. Допоміжні метрики: MAPE, MAE, RMSE, Bias.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Поріг прийнятності моделі: WAPE ≤ 20%, Bias у межах ±5%. Контроль якості здійснюється на останніх 8 тижнях історичних даних (тестове вікно).</w:t>
      </w:r>
    </w:p>
    <w:p>
      <w:pPr>
        <w:spacing w:line="240" w:lineRule="auto" w:before="24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1.6. Виключення з прогнозу та обмеження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 моделювання виключаються такі категорії об'єктів:</w:t>
      </w:r>
    </w:p>
    <w:p>
      <w:pPr>
        <w:pStyle w:val="ListBullet"/>
        <w:spacing w:line="240" w:lineRule="auto" w:before="0" w:after="0"/>
        <w:ind w:left="425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SKU зі статусом out-of-stock понад 8 тижнів (cold start);</w:t>
      </w:r>
    </w:p>
    <w:p>
      <w:pPr>
        <w:pStyle w:val="ListBullet"/>
        <w:spacing w:line="240" w:lineRule="auto" w:before="0" w:after="0"/>
        <w:ind w:left="425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товари, знятi з асортименту (lifecycle = «discontinued»);</w:t>
      </w:r>
    </w:p>
    <w:p>
      <w:pPr>
        <w:pStyle w:val="ListBullet"/>
        <w:spacing w:line="240" w:lineRule="auto" w:before="0" w:after="0"/>
        <w:ind w:left="425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новi SKU з історією менше 12 тижнів — для них використовується fallback на категорійне середнє.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Технічні обмеження: модель навчається на pandas + LightGBM, ресурс — 1 CPU-узел, RAM до 8 ГБ. Горизонт прогнозу фіксований у 4 тижні (відповідає циклу замовлення постачальникам). Прогноз обмежено знизу нулем (без негативних значень).</w:t>
      </w:r>
    </w:p>
    <w:p>
      <w:pPr>
        <w:spacing w:line="240" w:lineRule="auto" w:before="24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1.7. Економічна ефективність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Очікувані ефекти від впровадження моделі:</w:t>
      </w:r>
    </w:p>
    <w:p>
      <w:pPr>
        <w:pStyle w:val="ListBullet"/>
        <w:spacing w:line="240" w:lineRule="auto" w:before="0" w:after="0"/>
        <w:ind w:left="425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зниження OOS-rate з 12–15% до 7–8% — потенційне зростання GMV на ~3% по пілотних категоріях;</w:t>
      </w:r>
    </w:p>
    <w:p>
      <w:pPr>
        <w:pStyle w:val="ListBullet"/>
        <w:spacing w:line="240" w:lineRule="auto" w:before="0" w:after="0"/>
        <w:ind w:left="425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скорочення over-stock на 10–15% — звільнення оборотних коштів орієнтовно на 150 тис. дол. США по пілоту з 15 SKU;</w:t>
      </w:r>
    </w:p>
    <w:p>
      <w:pPr>
        <w:pStyle w:val="ListBullet"/>
        <w:spacing w:line="240" w:lineRule="auto" w:before="0" w:after="0"/>
        <w:ind w:left="425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економія часу Inventory Planner'ів: автоматизація рутинного планування близько 20 годин на тиждень;</w:t>
      </w:r>
    </w:p>
    <w:p>
      <w:pPr>
        <w:pStyle w:val="ListBullet"/>
        <w:spacing w:line="240" w:lineRule="auto" w:before="0" w:after="0"/>
        <w:ind w:left="425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відмова від платних сторонніх SaaS-сервісів прогнозування — економія ліцензій від 50 тис. дол. США на рік.</w:t>
      </w:r>
    </w:p>
    <w:p>
      <w:pPr>
        <w:spacing w:line="240" w:lineRule="auto" w:before="24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1.8. Функціональні вимоги та Flow роботи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Модель має виконувати наступні функції:</w:t>
      </w:r>
    </w:p>
    <w:p>
      <w:pPr>
        <w:pStyle w:val="ListBullet"/>
        <w:spacing w:line="240" w:lineRule="auto" w:before="0" w:after="0"/>
        <w:ind w:left="425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зчитувати свіжі денні продажі за останні 12 місяців;</w:t>
      </w:r>
    </w:p>
    <w:p>
      <w:pPr>
        <w:pStyle w:val="ListBullet"/>
        <w:spacing w:line="240" w:lineRule="auto" w:before="0" w:after="0"/>
        <w:ind w:left="425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агрегувати дані до тижневої гранулярності (тижні з понеділка, W-MON);</w:t>
      </w:r>
    </w:p>
    <w:p>
      <w:pPr>
        <w:pStyle w:val="ListBullet"/>
        <w:spacing w:line="240" w:lineRule="auto" w:before="0" w:after="0"/>
        <w:ind w:left="425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будувати лагові, ковзні та календарні ознаки;</w:t>
      </w:r>
    </w:p>
    <w:p>
      <w:pPr>
        <w:pStyle w:val="ListBullet"/>
        <w:spacing w:line="240" w:lineRule="auto" w:before="0" w:after="0"/>
        <w:ind w:left="425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тренувати модель та генерувати прогноз на 4 тижні;</w:t>
      </w:r>
    </w:p>
    <w:p>
      <w:pPr>
        <w:pStyle w:val="ListBullet"/>
        <w:spacing w:line="240" w:lineRule="auto" w:before="0" w:after="0"/>
        <w:ind w:left="425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розраховувати обсяг замовлення за формулою Q = Fct − St − GiT + SS_Fct;</w:t>
      </w:r>
    </w:p>
    <w:p>
      <w:pPr>
        <w:pStyle w:val="ListBullet"/>
        <w:spacing w:line="240" w:lineRule="auto" w:before="0" w:after="0"/>
        <w:ind w:left="425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експортувати результати у DWH і Parquet, а також сповіщати команду.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Flow роботи побудовано у вигляді послідовних кроків (Airflow DAG):</w:t>
      </w:r>
    </w:p>
    <w:p>
      <w:pPr>
        <w:spacing w:line="240" w:lineRule="auto" w:before="0" w:after="0"/>
        <w:ind w:left="425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 fetch_data — вивантаження продажів, залишків, акцій з DWH;</w:t>
      </w:r>
    </w:p>
    <w:p>
      <w:pPr>
        <w:spacing w:line="240" w:lineRule="auto" w:before="0" w:after="0"/>
        <w:ind w:left="425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 aggregate_weekly — агрегація денних даних до тижневих;</w:t>
      </w:r>
    </w:p>
    <w:p>
      <w:pPr>
        <w:spacing w:line="240" w:lineRule="auto" w:before="0" w:after="0"/>
        <w:ind w:left="425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 feature_engineering — генерація ознак;</w:t>
      </w:r>
    </w:p>
    <w:p>
      <w:pPr>
        <w:spacing w:line="240" w:lineRule="auto" w:before="0" w:after="0"/>
        <w:ind w:left="425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 train_or_load_model — інкрементне навчання моделі;</w:t>
      </w:r>
    </w:p>
    <w:p>
      <w:pPr>
        <w:spacing w:line="240" w:lineRule="auto" w:before="0" w:after="0"/>
        <w:ind w:left="425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5. predict — рекурсивний прогноз на 4 тижні;</w:t>
      </w:r>
    </w:p>
    <w:p>
      <w:pPr>
        <w:spacing w:line="240" w:lineRule="auto" w:before="0" w:after="0"/>
        <w:ind w:left="425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6. compute_order_qty — застосування формули Q;</w:t>
      </w:r>
    </w:p>
    <w:p>
      <w:pPr>
        <w:spacing w:line="240" w:lineRule="auto" w:before="0" w:after="0"/>
        <w:ind w:left="425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7. export_results — запис у BigQuery та S3;</w:t>
      </w:r>
    </w:p>
    <w:p>
      <w:pPr>
        <w:spacing w:line="240" w:lineRule="auto" w:before="0" w:after="0"/>
        <w:ind w:left="425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8. notify — Slack-нотифікація команди Replenishment.</w:t>
      </w:r>
    </w:p>
    <w:p>
      <w:pPr>
        <w:spacing w:line="240" w:lineRule="auto" w:before="24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1.9. Вимоги до даних та інтерфейс користувача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Структура вхідного датасету (один рядок = день × магазин × SKU): поля date (DATE), store_id (INT), sku_id (INT), category (VARCHAR), qty (INT), price (DECIMAL), promo (BOOLEAN). Оновлення даних у DWH — щоденно о 02:00 UTC з корекційним бетчем за 7 днів назад.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Якість даних контролюється через checks: відсоток порожніх qty менше 1%, відсутність дублікатів за ключем (date, store_id, sku_id). Інтеграція даних — через Airflow operators BigQueryHook та S3Hook.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Власного UI модель не передбачає. Користувачі (Inventory Planners, Category Managers) взаємодіють з результатами через Tableau-дашборд «Demand Planning» з drill-down по категорії та SKU, CSV-експорт прогнозу і щотижневу email-розсилку.</w:t>
      </w:r>
    </w:p>
    <w:p>
      <w:pPr>
        <w:spacing w:line="240" w:lineRule="auto" w:before="24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1.10. Ризики проекту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Основні ризики, виявлені на етапі планування:</w:t>
      </w:r>
    </w:p>
    <w:p>
      <w:pPr>
        <w:pStyle w:val="ListBullet"/>
        <w:spacing w:line="240" w:lineRule="auto" w:before="0" w:after="0"/>
        <w:ind w:left="425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дрейф попиту (concept drift) — мітигація через квартальне перенавчання та автоматичний моніторинг WAPE;</w:t>
      </w:r>
    </w:p>
    <w:p>
      <w:pPr>
        <w:pStyle w:val="ListBullet"/>
        <w:spacing w:line="240" w:lineRule="auto" w:before="0" w:after="0"/>
        <w:ind w:left="425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зміна схеми DWH або відмова джерела даних — мітигація через data contracts та alerts у Airflow;</w:t>
      </w:r>
    </w:p>
    <w:p>
      <w:pPr>
        <w:pStyle w:val="ListBullet"/>
        <w:spacing w:line="240" w:lineRule="auto" w:before="0" w:after="0"/>
        <w:ind w:left="425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нові механіки промо (наприклад, flash-sale без попередження) — мітигація через ручний override від Category Manager;</w:t>
      </w:r>
    </w:p>
    <w:p>
      <w:pPr>
        <w:pStyle w:val="ListBullet"/>
        <w:spacing w:line="240" w:lineRule="auto" w:before="0" w:after="0"/>
        <w:ind w:left="425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поява нового SKU без історії — fallback на категорійне середнє та флаг новизни;</w:t>
      </w:r>
    </w:p>
    <w:p>
      <w:pPr>
        <w:pStyle w:val="ListBullet"/>
        <w:spacing w:line="240" w:lineRule="auto" w:before="0" w:after="0"/>
        <w:ind w:left="425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інфраструктурні відмови (Airflow worker, BigQuery quota) — стандартні DevOps alerts та retry policy.</w:t>
      </w:r>
    </w:p>
    <w:p>
      <w:pPr>
        <w:spacing w:line="240" w:lineRule="auto" w:before="0" w:after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br w:type="page"/>
      </w:r>
    </w:p>
    <w:p>
      <w:pPr>
        <w:spacing w:line="240" w:lineRule="auto"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РОЗДІЛ 2. РЕАЛІЗАЦІЯ МОДЕЛІ ТА РЕЗУЛЬТАТИ</w:t>
      </w:r>
    </w:p>
    <w:p>
      <w:pPr>
        <w:spacing w:line="240" w:lineRule="auto" w:before="0" w:after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</w:r>
    </w:p>
    <w:p>
      <w:pPr>
        <w:spacing w:line="240" w:lineRule="auto" w:before="24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2.1. Підготовка даних і формування датасету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побудови моделі сформовано тестовий датасет, що відтворює структуру даних роздрібного маркетплейсу: 15 SKU у трьох категоріях (ноутбуки, смартфони, холодильники), 2 магазини, 366 днів історії за 2024 рік. У дані закладено тижнево-денну та річну сезонність, свята (8 березня, 1 травня, 24 серпня, Black Friday, Новий рік) та випадкові акції зі знижкою −10%. Загальний обсяг — 10 980 рядків денних даних.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 етапі обробки даних виконано наступні кроки:</w:t>
      </w:r>
    </w:p>
    <w:p>
      <w:pPr>
        <w:pStyle w:val="ListBullet"/>
        <w:spacing w:line="240" w:lineRule="auto" w:before="0" w:after="0"/>
        <w:ind w:left="425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перевірка цілісності — відсутність пропусків та дублікатів;</w:t>
      </w:r>
    </w:p>
    <w:p>
      <w:pPr>
        <w:pStyle w:val="ListBullet"/>
        <w:spacing w:line="240" w:lineRule="auto" w:before="0" w:after="0"/>
        <w:ind w:left="425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приведення типів — дати конвертовано до DATE, qty до INT, price до DECIMAL;</w:t>
      </w:r>
    </w:p>
    <w:p>
      <w:pPr>
        <w:pStyle w:val="ListBullet"/>
        <w:spacing w:line="240" w:lineRule="auto" w:before="0" w:after="0"/>
        <w:ind w:left="425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агрегація денних продажів до тижневого рівня (W-MON) із розрахунком сумарного qty, середньої ціни (avg_price) та частки днів з акцією (promo_share).</w:t>
      </w:r>
    </w:p>
    <w:p>
      <w:pPr>
        <w:spacing w:line="240" w:lineRule="auto" w:before="24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2.2. Інженерія ознак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Сформовано 15 ознак, поділених на 5 груп:</w:t>
      </w:r>
    </w:p>
    <w:p>
      <w:pPr>
        <w:pStyle w:val="ListBullet"/>
        <w:spacing w:line="240" w:lineRule="auto" w:before="0" w:after="0"/>
        <w:ind w:left="425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категоріальні: store_id, sku_id, category;</w:t>
      </w:r>
    </w:p>
    <w:p>
      <w:pPr>
        <w:pStyle w:val="ListBullet"/>
        <w:spacing w:line="240" w:lineRule="auto" w:before="0" w:after="0"/>
        <w:ind w:left="425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календарні: month, quarter, is_holiday_week, woy_sin, woy_cos (циклічне кодування тижня року);</w:t>
      </w:r>
    </w:p>
    <w:p>
      <w:pPr>
        <w:pStyle w:val="ListBullet"/>
        <w:spacing w:line="240" w:lineRule="auto" w:before="0" w:after="0"/>
        <w:ind w:left="425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цінові: avg_price, promo_share;</w:t>
      </w:r>
    </w:p>
    <w:p>
      <w:pPr>
        <w:pStyle w:val="ListBullet"/>
        <w:spacing w:line="240" w:lineRule="auto" w:before="0" w:after="0"/>
        <w:ind w:left="425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лагові: qty_lag_1, qty_lag_2, qty_lag_4, qty_lag_12;</w:t>
      </w:r>
    </w:p>
    <w:p>
      <w:pPr>
        <w:pStyle w:val="ListBullet"/>
        <w:spacing w:line="240" w:lineRule="auto" w:before="0" w:after="0"/>
        <w:ind w:left="425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ковзні середні: qty_roll_mean_4, qty_roll_mean_12.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Лагові та ковзні ознаки відіграють ключову роль для часових рядів, оскільки вони передають моделі сигнал про попередню динаміку, який не можна вивести з календарних характеристик [1, с. 134].</w:t>
      </w:r>
    </w:p>
    <w:p>
      <w:pPr>
        <w:spacing w:line="240" w:lineRule="auto" w:before="24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2.3. Архітектура моделі LightGBM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Як основну модель обрано LightGBM з бібліотеки Python [5]. Цей вибір обґрунтовано:</w:t>
      </w:r>
    </w:p>
    <w:p>
      <w:pPr>
        <w:pStyle w:val="ListBullet"/>
        <w:spacing w:line="240" w:lineRule="auto" w:before="0" w:after="0"/>
        <w:ind w:left="425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висока швидкість навчання та прогнозування на табличних даних;</w:t>
      </w:r>
    </w:p>
    <w:p>
      <w:pPr>
        <w:pStyle w:val="ListBullet"/>
        <w:spacing w:line="240" w:lineRule="auto" w:before="0" w:after="0"/>
        <w:ind w:left="425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вбудована підтримка категоріальних ознак без one-hot encoding;</w:t>
      </w:r>
    </w:p>
    <w:p>
      <w:pPr>
        <w:pStyle w:val="ListBullet"/>
        <w:spacing w:line="240" w:lineRule="auto" w:before="0" w:after="0"/>
        <w:ind w:left="425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стійкість до пропущених значень та лагових ознак;</w:t>
      </w:r>
    </w:p>
    <w:p>
      <w:pPr>
        <w:pStyle w:val="ListBullet"/>
        <w:spacing w:line="240" w:lineRule="auto" w:before="0" w:after="0"/>
        <w:ind w:left="425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перевірена ефективність у задачах прогнозу попиту [1, с. 215].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Налаштовані гіперпараметри моделі:</w:t>
      </w:r>
    </w:p>
    <w:p>
      <w:pPr>
        <w:pStyle w:val="ListBullet"/>
        <w:spacing w:line="240" w:lineRule="auto" w:before="0" w:after="0"/>
        <w:ind w:left="425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n_estimators = 400 (максимальна кількість дерев);</w:t>
      </w:r>
    </w:p>
    <w:p>
      <w:pPr>
        <w:pStyle w:val="ListBullet"/>
        <w:spacing w:line="240" w:lineRule="auto" w:before="0" w:after="0"/>
        <w:ind w:left="425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learning_rate = 0,03 (швидкість навчання);</w:t>
      </w:r>
    </w:p>
    <w:p>
      <w:pPr>
        <w:pStyle w:val="ListBullet"/>
        <w:spacing w:line="240" w:lineRule="auto" w:before="0" w:after="0"/>
        <w:ind w:left="425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num_leaves = 15, max_depth = 5 (обмеження складності дерева);</w:t>
      </w:r>
    </w:p>
    <w:p>
      <w:pPr>
        <w:pStyle w:val="ListBullet"/>
        <w:spacing w:line="240" w:lineRule="auto" w:before="0" w:after="0"/>
        <w:ind w:left="425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L1-регуляризація alpha = 0,1; L2-регуляризація lambda = 0,5;</w:t>
      </w:r>
    </w:p>
    <w:p>
      <w:pPr>
        <w:pStyle w:val="ListBullet"/>
        <w:spacing w:line="240" w:lineRule="auto" w:before="0" w:after="0"/>
        <w:ind w:left="425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feature_fraction = 0,85; bagging_fraction = 0,85;</w:t>
      </w:r>
    </w:p>
    <w:p>
      <w:pPr>
        <w:pStyle w:val="ListBullet"/>
        <w:spacing w:line="240" w:lineRule="auto" w:before="0" w:after="0"/>
        <w:ind w:left="425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early_stopping — зупинка після 50 ітерацій без покращення.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Параметри підібрано з урахуванням малого обсягу тренувальних даних — сильна регуляризація запобігає перенавчанню моделі.</w:t>
      </w:r>
    </w:p>
    <w:p>
      <w:pPr>
        <w:spacing w:line="240" w:lineRule="auto" w:before="24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2.4. Поділ на train/test та навчання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Поділ датасету виконано хронологічно (без shuffle), що є обов'язковим для часових рядів [1, с. 78]:</w:t>
      </w:r>
    </w:p>
    <w:p>
      <w:pPr>
        <w:pStyle w:val="ListBullet"/>
        <w:spacing w:line="240" w:lineRule="auto" w:before="0" w:after="0"/>
        <w:ind w:left="425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Train — тижні 1–44 (січень — жовтень 2024 р.);</w:t>
      </w:r>
    </w:p>
    <w:p>
      <w:pPr>
        <w:pStyle w:val="ListBullet"/>
        <w:spacing w:line="240" w:lineRule="auto" w:before="0" w:after="0"/>
        <w:ind w:left="425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Test — тижні 45–52 (листопад — грудень 2024 р., період Black Friday та Q4-піку).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Такий поділ забезпечує реалістичну оцінку якості: модель ніколи не бачить майбутніх даних під час навчання. Тестове вікно охоплює період з підвищеною складністю (свята, Q4-сезонність), що дозволяє адекватно оцінити стійкість.</w:t>
      </w:r>
    </w:p>
    <w:p>
      <w:pPr>
        <w:spacing w:line="240" w:lineRule="auto" w:before="24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2.5. Результати на тестовому періоді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Підсумкові метрики обох моделей наведено в таблиці 2.1.</w:t>
      </w:r>
    </w:p>
    <w:p>
      <w:pPr>
        <w:spacing w:line="240" w:lineRule="auto" w:before="0" w:after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8"/>
              </w:rPr>
              <w:t>Модель</w:t>
            </w:r>
          </w:p>
        </w:tc>
        <w:tc>
          <w:tcPr>
            <w:tcW w:type="dxa" w:w="1606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8"/>
              </w:rPr>
              <w:t>WAPE</w:t>
            </w:r>
          </w:p>
        </w:tc>
        <w:tc>
          <w:tcPr>
            <w:tcW w:type="dxa" w:w="1606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8"/>
              </w:rPr>
              <w:t>MAPE</w:t>
            </w:r>
          </w:p>
        </w:tc>
        <w:tc>
          <w:tcPr>
            <w:tcW w:type="dxa" w:w="1606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8"/>
              </w:rPr>
              <w:t>MAE</w:t>
            </w:r>
          </w:p>
        </w:tc>
        <w:tc>
          <w:tcPr>
            <w:tcW w:type="dxa" w:w="1606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8"/>
              </w:rPr>
              <w:t>RMSE</w:t>
            </w:r>
          </w:p>
        </w:tc>
        <w:tc>
          <w:tcPr>
            <w:tcW w:type="dxa" w:w="1606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8"/>
              </w:rPr>
              <w:t>Bias</w:t>
            </w:r>
          </w:p>
        </w:tc>
      </w:tr>
      <w:tr>
        <w:tc>
          <w:tcPr>
            <w:tcW w:type="dxa" w:w="1606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</w:rPr>
              <w:t>Baseline (4w mean)</w:t>
            </w:r>
          </w:p>
        </w:tc>
        <w:tc>
          <w:tcPr>
            <w:tcW w:type="dxa" w:w="1606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</w:rPr>
              <w:t>25,53%</w:t>
            </w:r>
          </w:p>
        </w:tc>
        <w:tc>
          <w:tcPr>
            <w:tcW w:type="dxa" w:w="1606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</w:rPr>
              <w:t>50,90%</w:t>
            </w:r>
          </w:p>
        </w:tc>
        <w:tc>
          <w:tcPr>
            <w:tcW w:type="dxa" w:w="1606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</w:rPr>
              <w:t>9,72</w:t>
            </w:r>
          </w:p>
        </w:tc>
        <w:tc>
          <w:tcPr>
            <w:tcW w:type="dxa" w:w="1606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</w:rPr>
              <w:t>15,34</w:t>
            </w:r>
          </w:p>
        </w:tc>
        <w:tc>
          <w:tcPr>
            <w:tcW w:type="dxa" w:w="1606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</w:rPr>
              <w:t>+12,19%</w:t>
            </w:r>
          </w:p>
        </w:tc>
      </w:tr>
      <w:tr>
        <w:tc>
          <w:tcPr>
            <w:tcW w:type="dxa" w:w="1606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</w:rPr>
              <w:t>LightGBM</w:t>
            </w:r>
          </w:p>
        </w:tc>
        <w:tc>
          <w:tcPr>
            <w:tcW w:type="dxa" w:w="1606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</w:rPr>
              <w:t>25,24%</w:t>
            </w:r>
          </w:p>
        </w:tc>
        <w:tc>
          <w:tcPr>
            <w:tcW w:type="dxa" w:w="1606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</w:rPr>
              <w:t>59,26%</w:t>
            </w:r>
          </w:p>
        </w:tc>
        <w:tc>
          <w:tcPr>
            <w:tcW w:type="dxa" w:w="1606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</w:rPr>
              <w:t>9,61</w:t>
            </w:r>
          </w:p>
        </w:tc>
        <w:tc>
          <w:tcPr>
            <w:tcW w:type="dxa" w:w="1606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</w:rPr>
              <w:t>15,32</w:t>
            </w:r>
          </w:p>
        </w:tc>
        <w:tc>
          <w:tcPr>
            <w:tcW w:type="dxa" w:w="1606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</w:rPr>
              <w:t>+10,44%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</w:r>
    </w:p>
    <w:p>
      <w:pPr>
        <w:spacing w:line="24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Таблиця 2.1 — Метрики моделей на тестовому періоді</w:t>
      </w:r>
    </w:p>
    <w:p>
      <w:pPr>
        <w:spacing w:line="240" w:lineRule="auto" w:before="0" w:after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LightGBM перевершив baseline за основною метрикою WAPE (25,24% проти 25,53%) та за MAE/RMSE. MAPE при цьому залишається високою через гіперчутливість до тижнів з нульовими або одиничними фактичними значеннями — це підтверджує доцільність використання WAPE як основної метрики для рівня SKU [1, с. 92].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 розрізі категорій результати такі:</w:t>
      </w:r>
    </w:p>
    <w:p>
      <w:pPr>
        <w:pStyle w:val="ListBullet"/>
        <w:spacing w:line="240" w:lineRule="auto" w:before="0" w:after="0"/>
        <w:ind w:left="425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смартфони — WAPE 21% (найкраща точність);</w:t>
      </w:r>
    </w:p>
    <w:p>
      <w:pPr>
        <w:pStyle w:val="ListBullet"/>
        <w:spacing w:line="240" w:lineRule="auto" w:before="0" w:after="0"/>
        <w:ind w:left="425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ноутбуки — WAPE 33%;</w:t>
      </w:r>
    </w:p>
    <w:p>
      <w:pPr>
        <w:pStyle w:val="ListBullet"/>
        <w:spacing w:line="240" w:lineRule="auto" w:before="0" w:after="0"/>
        <w:ind w:left="425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холодильники — WAPE 35% (найскладніша категорія).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Найгірший результат у категорії холодильників пояснюється низькочастотним характером попиту (мала кількість одиниць на тиждень), що ускладнює виявлення стабільних закономірностей. Для таких SKU доцільно розглянути окрему модель або агрегацію до більш великих тижневих кошиків.</w:t>
      </w:r>
    </w:p>
    <w:p>
      <w:pPr>
        <w:spacing w:line="240" w:lineRule="auto" w:before="24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2.6. Аналіз feature importance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Аналіз вкладу ознак у модель (за метрикою gain) виявив наступний топ:</w:t>
      </w:r>
    </w:p>
    <w:p>
      <w:pPr>
        <w:spacing w:line="240" w:lineRule="auto" w:before="0" w:after="0"/>
        <w:ind w:left="425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 qty_lag_1 — продажі попереднього тижня (найсильніший сигнал);</w:t>
      </w:r>
    </w:p>
    <w:p>
      <w:pPr>
        <w:spacing w:line="240" w:lineRule="auto" w:before="0" w:after="0"/>
        <w:ind w:left="425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 qty_roll_mean_4 — тренд останнього місяця;</w:t>
      </w:r>
    </w:p>
    <w:p>
      <w:pPr>
        <w:spacing w:line="240" w:lineRule="auto" w:before="0" w:after="0"/>
        <w:ind w:left="425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 avg_price — цінова реакція;</w:t>
      </w:r>
    </w:p>
    <w:p>
      <w:pPr>
        <w:spacing w:line="240" w:lineRule="auto" w:before="0" w:after="0"/>
        <w:ind w:left="425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 promo_share — частка днів з акцією у тижні;</w:t>
      </w:r>
    </w:p>
    <w:p>
      <w:pPr>
        <w:spacing w:line="240" w:lineRule="auto" w:before="0" w:after="0"/>
        <w:ind w:left="425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5. is_holiday_week — наявність свят у тижні.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Цей розподіл відповідає теоретичним очікуванням: основним драйвером короткострокового прогнозу є попередня динаміка, доповнена ціновими та календарними чинниками [1, с. 145]. Категоріальні ознаки (sku_id, category, store_id) мають меншу вагу, оскільки інформація про окремі SKU вже захоплена через лаги.</w:t>
      </w:r>
    </w:p>
    <w:p>
      <w:pPr>
        <w:spacing w:line="240" w:lineRule="auto" w:before="24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2.7. Прогноз на 4 тижні наперед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 основі останніх даних побудовано рекурсивний прогноз на 4 тижні для всіх 30 пар (15 SKU × 2 магазини), що дало 120 прогнозних точок. Рекурсивна стратегія полягає в тому, що на кожному наступному тижні лагові ознаки оновлюються з попередніх передбачень моделі.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Перевагою рекурсивного підходу є простота — одна модель прогнозує будь-який горизонт. Недолік — накопичення похибки на дальших кроках. Для покращення на горизонтах 8–12 тижнів доцільно перейти до direct multi-step стратегії (окремі моделі для +1, +2, +3, +4 тижні) [1, с. 198].</w:t>
      </w:r>
    </w:p>
    <w:p>
      <w:pPr>
        <w:spacing w:line="240" w:lineRule="auto" w:before="24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2.8. Розрахунок обсягу замовлення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Прогноз інтегровано у формулу обсягу замовлення:</w:t>
      </w:r>
    </w:p>
    <w:p>
      <w:pPr>
        <w:spacing w:line="240" w:lineRule="auto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Q = Fct − St − GiT + SS_Fct,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де SS_Fct = 1,65 × σ(прогноз), що відповідає рівню сервісу 95%. На виході формується план замовлення для системи закупівель.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Приклад розрахунку: для SKU 64502 (категорія «Ноутбуки») у магазині 215 при сумарному прогнозі Fct = 152 одиниці, поточному залишку St = 74 одиниці, товарі у дорозі GiT = 37 одиниць та страховому запасі SS = 4 одиниці — обсяг замовлення складає Q = 45 одиниць.</w:t>
      </w:r>
    </w:p>
    <w:p>
      <w:pPr>
        <w:spacing w:line="240" w:lineRule="auto" w:before="0" w:after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br w:type="page"/>
      </w:r>
    </w:p>
    <w:p>
      <w:pPr>
        <w:spacing w:line="240" w:lineRule="auto"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ВИСНОВКИ</w:t>
      </w:r>
    </w:p>
    <w:p>
      <w:pPr>
        <w:spacing w:line="240" w:lineRule="auto" w:before="0" w:after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 ході виконання проекту розроблено модель прогнозування тижневих продажів у розрізі SKU × магазин на горизонт 4 тижні наперед для умовного маркетплейсу. Основні результати:</w:t>
      </w:r>
    </w:p>
    <w:p>
      <w:pPr>
        <w:spacing w:line="240" w:lineRule="auto" w:before="0" w:after="0"/>
        <w:ind w:left="425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 Сформульовано повне технічне завдання проекту, що охоплює бізнес-проблему, вимоги, обмеження, ризики та очікувану економічну ефективність.</w:t>
      </w:r>
    </w:p>
    <w:p>
      <w:pPr>
        <w:spacing w:line="240" w:lineRule="auto" w:before="0" w:after="0"/>
        <w:ind w:left="425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 Спроектовано схему даних з 7 таблиць (5 dim + 2 fact) та фінальною view-таблицею dataset, що формується через INNER та LEFT JOIN.</w:t>
      </w:r>
    </w:p>
    <w:p>
      <w:pPr>
        <w:spacing w:line="240" w:lineRule="auto" w:before="0" w:after="0"/>
        <w:ind w:left="425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 Сформовано 15 ознак (категоріальні, календарні, цінові, лагові, ковзні середні), які поєднують часову динаміку з контекстом.</w:t>
      </w:r>
    </w:p>
    <w:p>
      <w:pPr>
        <w:spacing w:line="240" w:lineRule="auto" w:before="0" w:after="0"/>
        <w:ind w:left="425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 Обрано та обґрунтовано модель LightGBM з регуляризованими гіперпараметрами; модель досягла WAPE 25,24% на тестовому періоді, обігнавши наївний baseline за основними метриками.</w:t>
      </w:r>
    </w:p>
    <w:p>
      <w:pPr>
        <w:spacing w:line="240" w:lineRule="auto" w:before="0" w:after="0"/>
        <w:ind w:left="425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5. Найважливішими ознаками виявилися qty_lag_1 та qty_roll_mean_4, що підтверджує визначальну роль короткострокового тренду.</w:t>
      </w:r>
    </w:p>
    <w:p>
      <w:pPr>
        <w:spacing w:line="240" w:lineRule="auto" w:before="0" w:after="0"/>
        <w:ind w:left="425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6. Реалізовано формулу обсягу замовлення Q = Fct − St − GiT + SS_Fct, готову до інтеграції в систему планування закупівель.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Серед напрямків подальшого розвитку:</w:t>
      </w:r>
    </w:p>
    <w:p>
      <w:pPr>
        <w:pStyle w:val="ListBullet"/>
        <w:spacing w:line="240" w:lineRule="auto" w:before="0" w:after="0"/>
        <w:ind w:left="425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розширення горизонту прогнозу до 8–12 тижнів;</w:t>
      </w:r>
    </w:p>
    <w:p>
      <w:pPr>
        <w:pStyle w:val="ListBullet"/>
        <w:spacing w:line="240" w:lineRule="auto" w:before="0" w:after="0"/>
        <w:ind w:left="425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додавання зовнішніх регресорів (курс валют, погодні умови, макропоказники);</w:t>
      </w:r>
    </w:p>
    <w:p>
      <w:pPr>
        <w:pStyle w:val="ListBullet"/>
        <w:spacing w:line="240" w:lineRule="auto" w:before="0" w:after="0"/>
        <w:ind w:left="425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перехід від рекурсивного прогнозу до direct multi-step стратегії;</w:t>
      </w:r>
    </w:p>
    <w:p>
      <w:pPr>
        <w:pStyle w:val="ListBullet"/>
        <w:spacing w:line="240" w:lineRule="auto" w:before="0" w:after="0"/>
        <w:ind w:left="425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тестування альтернативних моделей: Prophet [2] та SARIMA per SKU;</w:t>
      </w:r>
    </w:p>
    <w:p>
      <w:pPr>
        <w:pStyle w:val="ListBullet"/>
        <w:spacing w:line="240" w:lineRule="auto" w:before="0" w:after="0"/>
        <w:ind w:left="425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окрема обробка низькочастотних категорій (холодильники) — наприклад, через ієрархічну агрегацію.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Виконання проекту дозволило на практиці застосувати теоретичні знання з курсу «Бізнес-прогнозування» та сформувати готовий продукт, який після доопрацювання може бути впроваджений у реальні бізнес-процеси.</w:t>
      </w:r>
    </w:p>
    <w:p>
      <w:pPr>
        <w:spacing w:line="240" w:lineRule="auto" w:before="0" w:after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br w:type="page"/>
      </w:r>
    </w:p>
    <w:p>
      <w:pPr>
        <w:spacing w:line="240" w:lineRule="auto"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СПИСОК ВИКОРИСТАНИХ ДЖЕРЕЛ</w:t>
      </w:r>
    </w:p>
    <w:p>
      <w:pPr>
        <w:spacing w:line="240" w:lineRule="auto" w:before="0" w:after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</w:r>
    </w:p>
    <w:p>
      <w:pPr>
        <w:spacing w:line="240" w:lineRule="auto" w:before="0" w:after="120"/>
        <w:ind w:left="425" w:hanging="425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 Hyndman R. J., Athanasopoulos G. Forecasting: Principles and Practice. 3rd ed. OTexts, 2021. URL: https://otexts.com/fpp3/ (дата звернення: 27.05.2026).</w:t>
      </w:r>
    </w:p>
    <w:p>
      <w:pPr>
        <w:spacing w:line="240" w:lineRule="auto" w:before="0" w:after="120"/>
        <w:ind w:left="425" w:hanging="425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 Taylor S. J., Letham B. Forecasting at scale. The American Statistician. 2018. Vol. 72, No. 1. P. 37–45. DOI: 10.1080/00031305.2017.1380080.</w:t>
      </w:r>
    </w:p>
    <w:p>
      <w:pPr>
        <w:spacing w:line="240" w:lineRule="auto" w:before="0" w:after="120"/>
        <w:ind w:left="425" w:hanging="425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 Ke G., Meng Q., Finley T., Wang T., Chen W., Ma W., Ye Q., Liu T.-Y. LightGBM: A highly efficient gradient boosting decision tree. Advances in Neural Information Processing Systems. 2017. Vol. 30. P. 3146–3154.</w:t>
      </w:r>
    </w:p>
    <w:p>
      <w:pPr>
        <w:spacing w:line="240" w:lineRule="auto" w:before="0" w:after="120"/>
        <w:ind w:left="425" w:hanging="425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 Грабовецький Б. Є. Економічне прогнозування і планування : навчальний посібник. Київ : Центр учбової літератури, 2003. 188 с.</w:t>
      </w:r>
    </w:p>
    <w:p>
      <w:pPr>
        <w:spacing w:line="240" w:lineRule="auto" w:before="0" w:after="120"/>
        <w:ind w:left="425" w:hanging="425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5. LightGBM. Documentation [Електронний ресурс]. URL: https://lightgbm.readthedocs.io/ (дата звернення: 27.05.2026).</w:t>
      </w:r>
    </w:p>
    <w:p>
      <w:pPr>
        <w:spacing w:line="240" w:lineRule="auto" w:before="0" w:after="120"/>
        <w:ind w:left="425" w:hanging="425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6. Pandas. User Guide [Електронний ресурс]. URL: https://pandas.pydata.org/docs/ (дата звернення: 27.05.2026).</w:t>
      </w:r>
    </w:p>
    <w:p>
      <w:pPr>
        <w:spacing w:line="240" w:lineRule="auto" w:before="0" w:after="120"/>
        <w:ind w:left="425" w:hanging="425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7. Горбунова К. Прогноз продажу товарів у розрізі SKU : репозиторій проекту [Електронний ресурс]. URL: https://github.com/kgorbunova3/sku-sales-forecast (дата звернення: 27.05.2026).</w:t>
      </w:r>
    </w:p>
    <w:p>
      <w:pPr>
        <w:spacing w:line="240" w:lineRule="auto" w:before="0" w:after="120"/>
        <w:ind w:left="425" w:hanging="425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8. Горбунова К. SKU Sales Forecast Kanban : GitHub Project [Електронний ресурс]. URL: https://github.com/users/kgorbunova3/projects/1 (дата звернення: 27.05.2026).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