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МІНІСТЕРСТВО ОСВІТИ І НАУКИ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Національний технічний університет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«Київський політехнічний інститут імені Ігоря Сікорського»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Факультет менеджменту та маркетингу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Реферат з дисципліни: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«БІЗНЕС-ПРОГНОЗУВАННЯ»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Тема: «Прогноз продажу товарів у розрізі SKU»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Перевірив:</w:t>
        <w:tab/>
        <w:t>Виконав: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викладач</w:t>
        <w:tab/>
        <w:t>студентка групи УМ-з31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Биба В. М.</w:t>
        <w:tab/>
        <w:t>Горбунова К.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Київ — 2026 р.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ЗМІСТ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Вступ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1. Технічне завдання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1.1. Бізнес-проблема та постановка задачі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1.2. Об'єкт та горизонт прогнозування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1.3. Джерела даних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1.4. Підхід та модель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1.5. Метрики якості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2. Реалізація моделі та результати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2.1. Підготовка даних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2.2. Архітектура моделі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2.3. Результати на тестовому періоді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2.4. Прогноз та аналіз ознак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2.5. Бізнес-застосування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Висновки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ВСТУП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Прогнозування продажів у роздрібній торгівлі є одним із ключових елементів управління запасами. Помилка прогнозу веде або до прямої втрати продажів через відсутність товару (out-of-stock), або до заморожування оборотних коштів через надлишкові запаси на складі. Для роздрібних мереж і маркетплейсів з тисячами товарних позицій (SKU) ручне планування є непрактичним, тому використовуються алгоритми машинного навчання [1].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Метою цього реферату є опис розробленої моделі прогнозування продажів у розрізі SKU × магазин на тижневому горизонті 4 тижні наперед для умовного маркетплейсу.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Завдання реферату: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описати технічне завдання проекту та його обґрунтування;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висвітлити процес підготовки даних та побудови моделі;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представити отримані результати та оцінити якість прогнозу;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сформулювати висновки та визначити напрямки подальшого розвитку.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реферату: робота складається зі вступу, двох розділів, висновків та списку використаних джерел.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1. ТЕХНІЧНЕ ЗАВДАННЯ ПРОЕКТУ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Бізнес-проблема та постановка задачі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Маркетплейс зазнає одночасних втрат із двох сторін. По-перше, out-of-stock (OOS) призводить до прямої втрати GMV: клієнт не знаходить потрібний товар і йде до конкурента, що додатково знижує customer retention. По-друге, over-stock спричиняє заморожування оборотних коштів, зростання витрат на зберігання та ризик подальшої уцінки товарів. Ручне планування десятків тисяч SKU не масштабується, тому потрібна автоматизована модель прогнозування [4, с. 23].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Цільова формула обсягу замовлення, прийнята в проекті: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Q — обсяг замовлення; Fct — прогноз продажів на горизонт; St — поточний залишок; GiT — товар у дорозі (Goods in Transit); SS_Fct — страховий запас, що залежить від прогнозу та його довірчого інтервалу.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Об'єкт та горизонт прогнозування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Об'єктом прогнозування є тижневі продажі (qty) для кожної пари «SKU × магазин». Горизонт прогнозу обрано 4 тижні наперед, що відповідає типовому циклу замовлення постачальникам у роздрібній торгівлі [4]. Гранулярність вхідних даних — день, з подальшою агрегацією до тижня (тижні з понеділка, W-MON). Глибина історії — 12 місяців.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Джерела даних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Дані для моделі формуються з кількох таблиць корпоративного сховища даних: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sales_fact — щоденні продажі (date, sku_id, store_id, qty, price, promo);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dim_sku — каталог SKU (категорія, бренд, ціна, вага);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dim_store — довідник магазинів / fulfillment-центрів;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dim_holidays — календар свят (8 березня, Black Friday, Новий рік тощо);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dim_promo_calendar — календар акцій зі знижками;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inventory_snapshot — щоденні залишки та товар у дорозі.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Фінальна таблиця dataset формується через INNER та LEFT JOIN перерахованих таблиць; її структура містить як факт-показники (qty, price), так і атрибути з довідників (категорія, місто магазину, прапор свята).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Підхід та модель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основної моделі обрано LightGBM — реалізацію алгоритму градієнтного бустингу на деревах рішень, розроблену в Microsoft Research [3]. Вибір моделі обґрунтовано наступними міркуваннями: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висока швидкість навчання та прогнозування на табличних даних;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вбудована підтримка категоріальних ознак без one-hot encoding;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гнучкість в обробці пропущених значень та лагових ознак;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перевірена ефективність у задачах прогнозу попиту [1, с. 215].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baseline-моделі для порівняння використано наївний сезонний прогноз — середнє значення продажів за останні 4 тижні. Стратегія прогнозу на горизонт 4 тижні — рекурсивна (на кожному наступному кроці лагові ознаки оновлюються з попередніх передбачень моделі).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1.5. Метрики якості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основної метрики обрано WAPE (Weighted Absolute Percentage Error), оскільки традиційна MAPE гіперчутлива до тижнів із малими фактичними значеннями (особливо актуально для рідкісних SKU) [1, с. 89]. Допоміжні метрики: MAPE, MAE, RMSE, Bias.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Поріг прийнятності моделі: WAPE ≤ 20%, Bias у межах ±5%. Латентність повного запуску — менше 5 хвилин.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2. РЕАЛІЗАЦІЯ МОДЕЛІ ТА РЕЗУЛЬТАТИ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Підготовка даних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побудови моделі використано синтетичний датасет, що відтворює структуру даних роздрібного маркетплейсу: 15 SKU у трьох категоріях (ноутбуки, смартфони, холодильники), 2 магазини, 366 днів історії (січень — грудень 2024 р.). У дані закладено тижнево-денну та річну сезонність, свята та випадкові акції зі знижкою −10%. Загалом — 10 980 рядків денних даних.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Денні продажі агреговано до тижневого рівня (W-MON). Сформовано 15 ознак, поділених на групи: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категоріальні: store_id, sku_id, category;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календарні: month, quarter, is_holiday_week, woy_sin, woy_cos;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цінові: avg_price, promo_share;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лагові: qty_lag_1, qty_lag_2, qty_lag_4, qty_lag_12;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ковзні середні: qty_roll_mean_4, qty_roll_mean_12.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Архітектура моделі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Використано клас LightGBMRegressor з бібліотеки Python [5]. Налаштовані гіперпараметри: 400 дерев, learning_rate = 0.03, num_leaves = 15, max_depth = 5, L1-регуляризація alpha = 0.1, L2-регуляризація lambda = 0.5. Раннє зупинення (early stopping) спрацьовує після 50 ітерацій без покращення.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Поділ на навчальну та тестову вибірки виконано хронологічно: train — тижні 1–44, test — тижні 45–52 (останні 8 тижнів 2024 р., період зі святами та Q4-піком).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Результати на тестовому періоді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Підсумкові метрики обох моделей наведено в таблиці 2.1.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Модель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WAPE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RMSE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Bias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Baseline (4w mean)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25,53%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50,90%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9,72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15,34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+12,19%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LightGBM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25,24%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59,26%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9,61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+10,44%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Таблиця 2.1 — Метрики моделей на тестовому періоді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LightGBM перевершив baseline за основною метрикою WAPE (25,24% проти 25,53%) та за MAE/RMSE. MAPE при цьому залишається високою через гіперчутливість до нульових значень — це підтверджує доцільність використання саме WAPE як основної метрики для рівня SKU [1, с. 92].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розрізі категорій: смартфони — WAPE 21%, ноутбуки — 33%, холодильники — 35%. Найгірший результат у категорії холодильників пояснюється низькочастотним характером попиту (мала кількість одиниць на тиждень), що ускладнює виявлення стабільних закономірностей.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Прогноз та аналіз ознак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основі останніх даних побудовано рекурсивний прогноз на 4 тижні наперед для всіх 30 пар (15 SKU × 2 магазини), що дало 120 прогнозних точок.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feature importance виявив наступний топ ознак за внеском у модель: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qty_lag_1 — продажі попереднього тижня (найсильніший сигнал);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qty_roll_mean_4 — тренд останнього місяця;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avg_price — цінова реакція;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promo_share — частка днів з акцією у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is_holiday_week — наявність свят у тижні.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Цей розподіл відповідає теоретичним очікуванням: основним драйвером короткострокового прогнозу є попередня динаміка, доповнена ціновими та календарними чинниками [1, с. 145].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Бізнес-застосування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інтегровано у формулу обсягу замовлення Q = Fct − St − GiT + SS_Fct, де SS_Fct = 1,65 × σ(прогноз), що відповідає рівню сервісу 95%. На виході формується план замовлення для системи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 розрахунку: для SKU 64502 у магазині 215 при Fct = 152, St = 74, GiT = 37, SS = 4 — обсяг замовлення Q = 45 одиниць.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ВИСНОВКИ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ході роботи розроблено модель прогнозування продажів у розрізі SKU × магазин на тижневому горизонті 4 тижні для умовного маркетплейсу. Основні результати: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Обрано та обґрунтовано модель LightGBM; сформовано 15 ознак, що поєднують лагові, календарні та цінові характеристики.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На тестовому періоді модель досягла WAPE 25,24% та обігнала наївний baseline за основними метриками.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Реалізовано формулу обсягу замовлення Q = Fct − St − GiT + SS_Fct, що готова до інтеграції в систему планування закупівель.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Найважливішими ознаками виявилися qty_lag_1 та qty_roll_mean_4, що підтверджує визначальну роль короткострокового тренду.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Серед напрямків подальшого розвитку: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розширення горизонту прогнозу до 8–12 тижнів;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додавання зовнішніх регресорів (курс валют, погодні умови, макропоказники);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перехід від рекурсивного прогнозу на стратегію direct multi-step для уникнення накопичення похибки;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тестування альтернативних моделей: Prophet [2] та SARIMA per SKU.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Hyndman R. J., Athanasopoulos G. Forecasting: Principles and Practice. 3rd ed. OTexts, 2021. URL: https://otexts.com/fpp3/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Taylor S. J., Letham B. Forecasting at scale. The American Statistician. 2018. Vol. 72, No. 1. P. 37–45. DOI: 10.1080/00031305.2017.1380080.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Ke G., Meng Q., Finley T., Wang T., Chen W., Ma W., Ye Q., Liu T.-Y. LightGBM: A highly efficient gradient boosting decision tree. Advances in Neural Information Processing Systems. 2017. Vol. 30. P. 3146–3154.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Грабовецький Б. Є. Економічне прогнозування і планування : навчальний посібник. Київ : Центр учбової літератури, 2003. 188 с.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LightGBM. Documentation [Електронний ресурс]. URL: https://lightgbm.readthedocs.io/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Pandas. User Guide [Електронний ресурс]. URL: https://pandas.pydata.org/docs/ (дата звернення: 27.05.2026).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