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22667" w14:textId="77777777" w:rsidR="00A76C49" w:rsidRPr="00DD1285" w:rsidRDefault="00A76C49" w:rsidP="00A76C49">
      <w:pPr>
        <w:pStyle w:val="Heading1"/>
        <w:spacing w:line="240" w:lineRule="auto"/>
      </w:pPr>
      <w:r w:rsidRPr="00DD1285">
        <w:t>Methods</w:t>
      </w:r>
    </w:p>
    <w:p w14:paraId="1B07F35E" w14:textId="77777777" w:rsidR="00A76C49" w:rsidRPr="00DD1285" w:rsidRDefault="00A76C49" w:rsidP="00A76C49">
      <w:pPr>
        <w:pStyle w:val="Heading2"/>
        <w:spacing w:line="240" w:lineRule="auto"/>
        <w:rPr>
          <w:rFonts w:ascii="Arial" w:hAnsi="Arial" w:cs="Arial"/>
        </w:rPr>
      </w:pPr>
      <w:r w:rsidRPr="00DD1285">
        <w:rPr>
          <w:rFonts w:ascii="Arial" w:hAnsi="Arial" w:cs="Arial"/>
        </w:rPr>
        <w:t>Overview of modeling strategy</w:t>
      </w:r>
    </w:p>
    <w:p w14:paraId="1B102E99" w14:textId="6D1524C5" w:rsidR="00A76C49" w:rsidRPr="00DD1285" w:rsidRDefault="00A76C49" w:rsidP="00A76C49">
      <w:pPr>
        <w:spacing w:line="240" w:lineRule="auto"/>
        <w:rPr>
          <w:rFonts w:ascii="Arial" w:hAnsi="Arial" w:cs="Arial"/>
        </w:rPr>
      </w:pPr>
      <w:r w:rsidRPr="00DD1285">
        <w:rPr>
          <w:rFonts w:ascii="Arial" w:hAnsi="Arial" w:cs="Arial"/>
        </w:rPr>
        <w:tab/>
        <w:t xml:space="preserve">We reconstructed patterns of childhood imprinting in the human population using models that considered the first childhood IAV exposure only (one-hit model), the first and second exposures (two-hit model), or the first second and third exposures (three-hit model). These reconstructions allowed us to estimate the fraction of each birth year with a specific sequence of matched or mismatched childhood exposures. Matched exposures are defined as childhood exposures to a seasonal IAV in the same HA group as a future avian </w:t>
      </w:r>
      <w:proofErr w:type="gramStart"/>
      <w:r w:rsidRPr="00DD1285">
        <w:rPr>
          <w:rFonts w:ascii="Arial" w:hAnsi="Arial" w:cs="Arial"/>
        </w:rPr>
        <w:t>challenge, and</w:t>
      </w:r>
      <w:proofErr w:type="gramEnd"/>
      <w:r w:rsidRPr="00DD1285">
        <w:rPr>
          <w:rFonts w:ascii="Arial" w:hAnsi="Arial" w:cs="Arial"/>
        </w:rPr>
        <w:t xml:space="preserve"> are assumed to contribute to imprinting protection. Mismatched exposures </w:t>
      </w:r>
      <w:r>
        <w:rPr>
          <w:rFonts w:ascii="Arial" w:hAnsi="Arial" w:cs="Arial"/>
        </w:rPr>
        <w:t>(</w:t>
      </w:r>
      <w:r w:rsidRPr="00DD1285">
        <w:rPr>
          <w:rFonts w:ascii="Arial" w:hAnsi="Arial" w:cs="Arial"/>
        </w:rPr>
        <w:t>to the other</w:t>
      </w:r>
      <w:r>
        <w:rPr>
          <w:rFonts w:ascii="Arial" w:hAnsi="Arial" w:cs="Arial"/>
        </w:rPr>
        <w:t xml:space="preserve"> HA</w:t>
      </w:r>
      <w:r w:rsidRPr="00DD1285">
        <w:rPr>
          <w:rFonts w:ascii="Arial" w:hAnsi="Arial" w:cs="Arial"/>
        </w:rPr>
        <w:t xml:space="preserve"> group</w:t>
      </w:r>
      <w:r>
        <w:rPr>
          <w:rFonts w:ascii="Arial" w:hAnsi="Arial" w:cs="Arial"/>
        </w:rPr>
        <w:t>)</w:t>
      </w:r>
      <w:r w:rsidRPr="00DD1285">
        <w:rPr>
          <w:rFonts w:ascii="Arial" w:hAnsi="Arial" w:cs="Arial"/>
        </w:rPr>
        <w:t xml:space="preserve"> do not provide protection. Throughout the manuscript, subscript m signifies a matched exposure while subscript o signifies a mismatch. In children too young to have had three exposures at the time of data observation, an o is also used to signify the absence of any exposure.</w:t>
      </w:r>
    </w:p>
    <w:p w14:paraId="56D86811" w14:textId="77777777" w:rsidR="00A76C49" w:rsidRPr="00DD1285" w:rsidRDefault="00A76C49" w:rsidP="00A76C49">
      <w:pPr>
        <w:spacing w:line="240" w:lineRule="auto"/>
        <w:ind w:firstLine="720"/>
        <w:rPr>
          <w:rFonts w:ascii="Arial" w:hAnsi="Arial" w:cs="Arial"/>
        </w:rPr>
      </w:pPr>
      <w:r w:rsidRPr="00DD1285">
        <w:rPr>
          <w:rFonts w:ascii="Arial" w:hAnsi="Arial" w:cs="Arial"/>
        </w:rPr>
        <w:t xml:space="preserve">The one-hit model yielded only two possible imprinting outcomes against a group 1 or group 2 avian challenge: {m, o}. The two-hit model yielded four </w:t>
      </w:r>
      <w:proofErr w:type="gramStart"/>
      <w:r w:rsidRPr="00DD1285">
        <w:rPr>
          <w:rFonts w:ascii="Arial" w:hAnsi="Arial" w:cs="Arial"/>
        </w:rPr>
        <w:t>possible outcomes</w:t>
      </w:r>
      <w:proofErr w:type="gramEnd"/>
      <w:r w:rsidRPr="00DD1285">
        <w:rPr>
          <w:rFonts w:ascii="Arial" w:hAnsi="Arial" w:cs="Arial"/>
        </w:rPr>
        <w:t xml:space="preserve">, {mm, </w:t>
      </w:r>
      <w:proofErr w:type="spellStart"/>
      <w:r w:rsidRPr="00DD1285">
        <w:rPr>
          <w:rFonts w:ascii="Arial" w:hAnsi="Arial" w:cs="Arial"/>
        </w:rPr>
        <w:t>mo</w:t>
      </w:r>
      <w:proofErr w:type="spellEnd"/>
      <w:r w:rsidRPr="00DD1285">
        <w:rPr>
          <w:rFonts w:ascii="Arial" w:hAnsi="Arial" w:cs="Arial"/>
        </w:rPr>
        <w:t xml:space="preserve">, om, </w:t>
      </w:r>
      <w:proofErr w:type="spellStart"/>
      <w:r w:rsidRPr="00DD1285">
        <w:rPr>
          <w:rFonts w:ascii="Arial" w:hAnsi="Arial" w:cs="Arial"/>
        </w:rPr>
        <w:t>oo</w:t>
      </w:r>
      <w:proofErr w:type="spellEnd"/>
      <w:r w:rsidRPr="00DD1285">
        <w:rPr>
          <w:rFonts w:ascii="Arial" w:hAnsi="Arial" w:cs="Arial"/>
        </w:rPr>
        <w:t xml:space="preserve">}, and the three-hit model yielded eight possible outcomes, {mmm, </w:t>
      </w:r>
      <w:proofErr w:type="spellStart"/>
      <w:r w:rsidRPr="00DD1285">
        <w:rPr>
          <w:rFonts w:ascii="Arial" w:hAnsi="Arial" w:cs="Arial"/>
        </w:rPr>
        <w:t>mmo</w:t>
      </w:r>
      <w:proofErr w:type="spellEnd"/>
      <w:r w:rsidRPr="00DD1285">
        <w:rPr>
          <w:rFonts w:ascii="Arial" w:hAnsi="Arial" w:cs="Arial"/>
        </w:rPr>
        <w:t xml:space="preserve">, mom, </w:t>
      </w:r>
      <w:proofErr w:type="spellStart"/>
      <w:r w:rsidRPr="00DD1285">
        <w:rPr>
          <w:rFonts w:ascii="Arial" w:hAnsi="Arial" w:cs="Arial"/>
        </w:rPr>
        <w:t>omm</w:t>
      </w:r>
      <w:proofErr w:type="spellEnd"/>
      <w:r w:rsidRPr="00DD1285">
        <w:rPr>
          <w:rFonts w:ascii="Arial" w:hAnsi="Arial" w:cs="Arial"/>
        </w:rPr>
        <w:t xml:space="preserve">, moo, </w:t>
      </w:r>
      <w:proofErr w:type="spellStart"/>
      <w:r w:rsidRPr="00DD1285">
        <w:rPr>
          <w:rFonts w:ascii="Arial" w:hAnsi="Arial" w:cs="Arial"/>
        </w:rPr>
        <w:t>omo</w:t>
      </w:r>
      <w:proofErr w:type="spellEnd"/>
      <w:r w:rsidRPr="00DD1285">
        <w:rPr>
          <w:rFonts w:ascii="Arial" w:hAnsi="Arial" w:cs="Arial"/>
        </w:rPr>
        <w:t xml:space="preserve">, </w:t>
      </w:r>
      <w:proofErr w:type="spellStart"/>
      <w:r w:rsidRPr="00DD1285">
        <w:rPr>
          <w:rFonts w:ascii="Arial" w:hAnsi="Arial" w:cs="Arial"/>
        </w:rPr>
        <w:t>oom</w:t>
      </w:r>
      <w:proofErr w:type="spellEnd"/>
      <w:r w:rsidRPr="00DD1285">
        <w:rPr>
          <w:rFonts w:ascii="Arial" w:hAnsi="Arial" w:cs="Arial"/>
        </w:rPr>
        <w:t xml:space="preserve">, </w:t>
      </w:r>
      <w:proofErr w:type="spellStart"/>
      <w:r w:rsidRPr="00DD1285">
        <w:rPr>
          <w:rFonts w:ascii="Arial" w:hAnsi="Arial" w:cs="Arial"/>
        </w:rPr>
        <w:t>ooo</w:t>
      </w:r>
      <w:proofErr w:type="spellEnd"/>
      <w:r w:rsidRPr="00DD1285">
        <w:rPr>
          <w:rFonts w:ascii="Arial" w:hAnsi="Arial" w:cs="Arial"/>
        </w:rPr>
        <w:t xml:space="preserve">}. We assumed the realized strength of imprinting protection against H5N1 or H7N9 would depend on both the order and number of matched childhood exposures. We fit multinomial models to a combined dataset of H5N1 and H7N9 cases to estimate the relative risk of severe, detectable avian influenzas infection for each imprinting outcome in each of the three tested models. </w:t>
      </w:r>
    </w:p>
    <w:p w14:paraId="471D2EC4" w14:textId="77777777" w:rsidR="00A76C49" w:rsidRPr="00DD1285" w:rsidRDefault="00A76C49" w:rsidP="00A76C49">
      <w:pPr>
        <w:spacing w:line="240" w:lineRule="auto"/>
        <w:ind w:firstLine="720"/>
        <w:rPr>
          <w:rFonts w:ascii="Arial" w:hAnsi="Arial" w:cs="Arial"/>
        </w:rPr>
      </w:pPr>
    </w:p>
    <w:p w14:paraId="4597DFD5" w14:textId="77777777" w:rsidR="00A76C49" w:rsidRPr="00DD1285" w:rsidRDefault="00A76C49" w:rsidP="00A76C49">
      <w:pPr>
        <w:pStyle w:val="Heading3"/>
        <w:spacing w:before="0" w:line="240" w:lineRule="auto"/>
        <w:rPr>
          <w:rFonts w:ascii="Arial" w:hAnsi="Arial" w:cs="Arial"/>
        </w:rPr>
      </w:pPr>
      <w:r w:rsidRPr="00DD1285">
        <w:rPr>
          <w:rFonts w:ascii="Arial" w:hAnsi="Arial" w:cs="Arial"/>
        </w:rPr>
        <w:t>Reconstruction of childhood imprinting patterns</w:t>
      </w:r>
    </w:p>
    <w:p w14:paraId="6E72C4EB" w14:textId="734D86C2" w:rsidR="00A76C49" w:rsidRPr="00DD1285" w:rsidRDefault="00A76C49" w:rsidP="00A76C49">
      <w:pPr>
        <w:spacing w:line="240" w:lineRule="auto"/>
        <w:rPr>
          <w:rFonts w:ascii="Arial" w:eastAsiaTheme="minorEastAsia" w:hAnsi="Arial" w:cs="Arial"/>
        </w:rPr>
      </w:pPr>
      <w:r w:rsidRPr="00DD1285">
        <w:rPr>
          <w:rFonts w:ascii="Arial" w:hAnsi="Arial" w:cs="Arial"/>
        </w:rPr>
        <w:tab/>
        <w:t xml:space="preserve">To reconstruct population-level imprinting patterns, we expanded on methods developed in Gostic et al., 2016. Briefly, we first estimated </w:t>
      </w:r>
      <m:oMath>
        <m:r>
          <w:rPr>
            <w:rFonts w:ascii="Cambria Math" w:hAnsi="Cambria Math" w:cs="Arial"/>
          </w:rPr>
          <m:t>P(a1, a2, a3)</m:t>
        </m:r>
      </m:oMath>
      <w:r w:rsidRPr="00DD1285">
        <w:rPr>
          <w:rFonts w:ascii="Arial" w:hAnsi="Arial" w:cs="Arial"/>
        </w:rPr>
        <w:t xml:space="preserve">, or the probability that an individual would have had their first, second and third IAV exposures at ages </w:t>
      </w:r>
      <w:r w:rsidRPr="00DD1285">
        <w:rPr>
          <w:rFonts w:ascii="Arial" w:hAnsi="Arial" w:cs="Arial"/>
          <w:i/>
        </w:rPr>
        <w:t xml:space="preserve">a1, a2 </w:t>
      </w:r>
      <w:r w:rsidRPr="00DD1285">
        <w:rPr>
          <w:rFonts w:ascii="Arial" w:hAnsi="Arial" w:cs="Arial"/>
        </w:rPr>
        <w:t xml:space="preserve">and </w:t>
      </w:r>
      <w:r w:rsidRPr="00DD1285">
        <w:rPr>
          <w:rFonts w:ascii="Arial" w:hAnsi="Arial" w:cs="Arial"/>
          <w:i/>
        </w:rPr>
        <w:t xml:space="preserve">a3. </w:t>
      </w:r>
      <w:r w:rsidRPr="00DD1285">
        <w:rPr>
          <w:rFonts w:ascii="Arial" w:hAnsi="Arial" w:cs="Arial"/>
        </w:rPr>
        <w:t xml:space="preserve">We assumed only one exposure occurred per year, which imposed the constraint </w:t>
      </w:r>
      <w:r w:rsidRPr="00DD1285">
        <w:rPr>
          <w:rFonts w:ascii="Arial" w:hAnsi="Arial" w:cs="Arial"/>
          <w:i/>
        </w:rPr>
        <w:t xml:space="preserve">a1 &lt; a2 &lt; a3. </w:t>
      </w:r>
      <w:r w:rsidRPr="00DD1285">
        <w:rPr>
          <w:rFonts w:ascii="Arial" w:hAnsi="Arial" w:cs="Arial"/>
        </w:rPr>
        <w:t xml:space="preserve">Two immunologically significant exposures in the same year are unlikely, as cellular immunity remains up-regulated for weeks to months after an influenza virus infection (CITE), which is thought to dramatically reduce the probability of a second influenza infection in the same season (CITE). We also assumed infants under 12 months (age 0) could have immunologically significant exposures. </w:t>
      </w:r>
      <w:r>
        <w:rPr>
          <w:rFonts w:ascii="Arial" w:hAnsi="Arial" w:cs="Arial"/>
        </w:rPr>
        <w:t>This imposed the constraint</w:t>
      </w:r>
      <w:r w:rsidRPr="00DD1285">
        <w:rPr>
          <w:rFonts w:ascii="Arial" w:hAnsi="Arial" w:cs="Arial"/>
        </w:rPr>
        <w:t xml:space="preserve">, </w:t>
      </w:r>
      <w:r w:rsidRPr="00DD1285">
        <w:rPr>
          <w:rFonts w:ascii="Arial" w:hAnsi="Arial" w:cs="Arial"/>
          <w:i/>
        </w:rPr>
        <w:t xml:space="preserve">a1 </w:t>
      </w:r>
      <w:r w:rsidRPr="00DD1285">
        <w:rPr>
          <w:rFonts w:ascii="Arial" w:hAnsi="Arial" w:cs="Arial"/>
          <w:i/>
        </w:rPr>
        <w:sym w:font="Symbol" w:char="F0B3"/>
      </w:r>
      <w:r w:rsidRPr="00DD1285">
        <w:rPr>
          <w:rFonts w:ascii="Arial" w:hAnsi="Arial" w:cs="Arial"/>
          <w:i/>
        </w:rPr>
        <w:t xml:space="preserve">  </w:t>
      </w:r>
      <w:r w:rsidRPr="00DD1285">
        <w:rPr>
          <w:rFonts w:ascii="Arial" w:hAnsi="Arial" w:cs="Arial"/>
        </w:rPr>
        <w:t xml:space="preserve">0, </w:t>
      </w:r>
      <w:r>
        <w:rPr>
          <w:rFonts w:ascii="Arial" w:hAnsi="Arial" w:cs="Arial"/>
        </w:rPr>
        <w:t>where</w:t>
      </w:r>
      <w:r w:rsidRPr="00DD1285">
        <w:rPr>
          <w:rFonts w:ascii="Arial" w:hAnsi="Arial" w:cs="Arial"/>
        </w:rPr>
        <w:t xml:space="preserve"> </w:t>
      </w:r>
      <w:r w:rsidRPr="00DD1285">
        <w:rPr>
          <w:rFonts w:ascii="Arial" w:hAnsi="Arial" w:cs="Arial"/>
          <w:i/>
        </w:rPr>
        <w:t xml:space="preserve">a1 = </w:t>
      </w:r>
      <w:r w:rsidRPr="00DD1285">
        <w:rPr>
          <w:rFonts w:ascii="Arial" w:hAnsi="Arial" w:cs="Arial"/>
        </w:rPr>
        <w:t xml:space="preserve">0 implies the first exposure occurred in the year of birth, </w:t>
      </w:r>
      <w:r w:rsidRPr="00DD1285">
        <w:rPr>
          <w:rFonts w:ascii="Arial" w:hAnsi="Arial" w:cs="Arial"/>
          <w:i/>
        </w:rPr>
        <w:t xml:space="preserve">b. </w:t>
      </w:r>
      <w:r w:rsidRPr="00DD1285">
        <w:rPr>
          <w:rFonts w:ascii="Arial" w:hAnsi="Arial" w:cs="Arial"/>
        </w:rPr>
        <w:t xml:space="preserve">Finally, we assumed the maximum possible age of third exposure was 25, and for cohorts over age 25 in the year of data observation, we normalized so that </w:t>
      </w:r>
      <m:oMath>
        <m:nary>
          <m:naryPr>
            <m:chr m:val="∑"/>
            <m:limLoc m:val="undOvr"/>
            <m:supHide m:val="1"/>
            <m:ctrlPr>
              <w:rPr>
                <w:rFonts w:ascii="Cambria Math" w:hAnsi="Cambria Math" w:cs="Arial"/>
                <w:i/>
              </w:rPr>
            </m:ctrlPr>
          </m:naryPr>
          <m:sub>
            <m:r>
              <w:rPr>
                <w:rFonts w:ascii="Cambria Math" w:hAnsi="Cambria Math" w:cs="Arial"/>
              </w:rPr>
              <m:t>0≤a1&lt;a2&lt;a3≤25</m:t>
            </m:r>
          </m:sub>
          <m:sup/>
          <m:e>
            <m:r>
              <w:rPr>
                <w:rFonts w:ascii="Cambria Math" w:hAnsi="Cambria Math" w:cs="Arial"/>
              </w:rPr>
              <m:t>P(a1, a2, a3)</m:t>
            </m:r>
          </m:e>
        </m:nary>
        <m:r>
          <w:rPr>
            <w:rFonts w:ascii="Cambria Math" w:hAnsi="Cambria Math" w:cs="Arial"/>
          </w:rPr>
          <m:t>=1</m:t>
        </m:r>
      </m:oMath>
      <w:r w:rsidRPr="00DD1285">
        <w:rPr>
          <w:rFonts w:ascii="Arial" w:eastAsiaTheme="minorEastAsia" w:hAnsi="Arial" w:cs="Arial"/>
        </w:rPr>
        <w:t xml:space="preserve"> (</w:t>
      </w:r>
      <w:r>
        <w:rPr>
          <w:rFonts w:ascii="Arial" w:eastAsiaTheme="minorEastAsia" w:hAnsi="Arial" w:cs="Arial"/>
        </w:rPr>
        <w:t>similar to</w:t>
      </w:r>
      <w:r w:rsidRPr="00DD1285">
        <w:rPr>
          <w:rFonts w:ascii="Arial" w:eastAsiaTheme="minorEastAsia" w:hAnsi="Arial" w:cs="Arial"/>
        </w:rPr>
        <w:t xml:space="preserve"> methods in Gostic et al., 2016).</w:t>
      </w:r>
    </w:p>
    <w:p w14:paraId="43F963B5" w14:textId="6C3B0ABB" w:rsidR="00A76C49" w:rsidRPr="00DD1285" w:rsidRDefault="00A76C49" w:rsidP="00A76C49">
      <w:pPr>
        <w:spacing w:line="240" w:lineRule="auto"/>
        <w:rPr>
          <w:rFonts w:ascii="Arial" w:eastAsiaTheme="minorEastAsia" w:hAnsi="Arial" w:cs="Arial"/>
        </w:rPr>
      </w:pPr>
      <w:r w:rsidRPr="00DD1285">
        <w:rPr>
          <w:rFonts w:ascii="Arial" w:eastAsiaTheme="minorEastAsia" w:hAnsi="Arial" w:cs="Arial"/>
        </w:rPr>
        <w:tab/>
        <w:t xml:space="preserve">We modeled childhood influenza exposures as independent events with exponentially distributed waiting times. In other words, we assumed that previous exposures do not impact the probability of additional immunologically significant exposures in the future. Crucially, we define immunologically significant exposures as any viral challenge that stimulates an anamnestic response, but that may or may not lead to active, symptomatic infection.  Although immunity from previous exposures would clearly impact the probability of future influenza </w:t>
      </w:r>
      <w:r w:rsidRPr="00DD1285">
        <w:rPr>
          <w:rFonts w:ascii="Arial" w:eastAsiaTheme="minorEastAsia" w:hAnsi="Arial" w:cs="Arial"/>
          <w:i/>
        </w:rPr>
        <w:t>infections</w:t>
      </w:r>
      <w:r w:rsidRPr="00DD1285">
        <w:rPr>
          <w:rFonts w:ascii="Arial" w:eastAsiaTheme="minorEastAsia" w:hAnsi="Arial" w:cs="Arial"/>
        </w:rPr>
        <w:t xml:space="preserve"> (which we define as symptomatic disease accompanied by within-host viral replication), we assume </w:t>
      </w:r>
      <w:r w:rsidRPr="00DD1285">
        <w:rPr>
          <w:rFonts w:ascii="Arial" w:eastAsiaTheme="minorEastAsia" w:hAnsi="Arial" w:cs="Arial"/>
        </w:rPr>
        <w:lastRenderedPageBreak/>
        <w:t xml:space="preserve">probabilities of </w:t>
      </w:r>
      <w:r w:rsidRPr="00DD1285">
        <w:rPr>
          <w:rFonts w:ascii="Arial" w:eastAsiaTheme="minorEastAsia" w:hAnsi="Arial" w:cs="Arial"/>
          <w:i/>
        </w:rPr>
        <w:t xml:space="preserve">exposure </w:t>
      </w:r>
      <w:r w:rsidRPr="00DD1285">
        <w:rPr>
          <w:rFonts w:ascii="Arial" w:eastAsiaTheme="minorEastAsia" w:hAnsi="Arial" w:cs="Arial"/>
        </w:rPr>
        <w:t>(which may or may not culminate in active, symptomatic infection) are stochastic and memoryless. In other words, we assume that immunity from an influenza infection last year won’t prevent classmates from sneezing on your child and stimulating your child’s immune system</w:t>
      </w:r>
      <w:r>
        <w:rPr>
          <w:rFonts w:ascii="Arial" w:eastAsiaTheme="minorEastAsia" w:hAnsi="Arial" w:cs="Arial"/>
        </w:rPr>
        <w:t>. A</w:t>
      </w:r>
      <w:r w:rsidRPr="00DD1285">
        <w:rPr>
          <w:rFonts w:ascii="Arial" w:eastAsiaTheme="minorEastAsia" w:hAnsi="Arial" w:cs="Arial"/>
        </w:rPr>
        <w:t>lthough we acknowledge that immunity from last year may prevent your child from getting sick</w:t>
      </w:r>
      <w:r>
        <w:rPr>
          <w:rFonts w:ascii="Arial" w:eastAsiaTheme="minorEastAsia" w:hAnsi="Arial" w:cs="Arial"/>
        </w:rPr>
        <w:t>, our models consider only probabilities of exposure, not disease outcomes</w:t>
      </w:r>
      <w:r w:rsidRPr="00DD1285">
        <w:rPr>
          <w:rFonts w:ascii="Arial" w:eastAsiaTheme="minorEastAsia" w:hAnsi="Arial" w:cs="Arial"/>
        </w:rPr>
        <w:t xml:space="preserve">. </w:t>
      </w:r>
    </w:p>
    <w:p w14:paraId="5172E5CD" w14:textId="65412D5B" w:rsidR="00A76C49" w:rsidRPr="00DD1285" w:rsidRDefault="00A76C49" w:rsidP="00A76C49">
      <w:pPr>
        <w:spacing w:line="240" w:lineRule="auto"/>
        <w:ind w:firstLine="720"/>
        <w:rPr>
          <w:rFonts w:ascii="Arial" w:eastAsiaTheme="minorEastAsia" w:hAnsi="Arial" w:cs="Arial"/>
        </w:rPr>
      </w:pPr>
      <w:commentRangeStart w:id="0"/>
      <w:r w:rsidRPr="00DD1285">
        <w:rPr>
          <w:rFonts w:ascii="Arial" w:eastAsiaTheme="minorEastAsia" w:hAnsi="Arial" w:cs="Arial"/>
        </w:rPr>
        <w:t xml:space="preserve">Granted, active infections would </w:t>
      </w:r>
      <w:proofErr w:type="gramStart"/>
      <w:r w:rsidRPr="00DD1285">
        <w:rPr>
          <w:rFonts w:ascii="Arial" w:eastAsiaTheme="minorEastAsia" w:hAnsi="Arial" w:cs="Arial"/>
        </w:rPr>
        <w:t>most likely stimulate</w:t>
      </w:r>
      <w:proofErr w:type="gramEnd"/>
      <w:r w:rsidRPr="00DD1285">
        <w:rPr>
          <w:rFonts w:ascii="Arial" w:eastAsiaTheme="minorEastAsia" w:hAnsi="Arial" w:cs="Arial"/>
        </w:rPr>
        <w:t xml:space="preserve"> a more robust immune response and stronger boosting than asymptomatic exposures, but </w:t>
      </w:r>
      <w:r>
        <w:rPr>
          <w:rFonts w:ascii="Arial" w:eastAsiaTheme="minorEastAsia" w:hAnsi="Arial" w:cs="Arial"/>
        </w:rPr>
        <w:t>the mapping between past exposures and current immunity remains poorly understood for influenza. Thus,</w:t>
      </w:r>
      <w:r w:rsidRPr="00DD1285">
        <w:rPr>
          <w:rFonts w:ascii="Arial" w:eastAsiaTheme="minorEastAsia" w:hAnsi="Arial" w:cs="Arial"/>
        </w:rPr>
        <w:t xml:space="preserve"> </w:t>
      </w:r>
      <w:r>
        <w:rPr>
          <w:rFonts w:ascii="Arial" w:eastAsiaTheme="minorEastAsia" w:hAnsi="Arial" w:cs="Arial"/>
        </w:rPr>
        <w:t>quantifying</w:t>
      </w:r>
      <w:r w:rsidRPr="00DD1285">
        <w:rPr>
          <w:rFonts w:ascii="Arial" w:eastAsiaTheme="minorEastAsia" w:hAnsi="Arial" w:cs="Arial"/>
        </w:rPr>
        <w:t xml:space="preserve"> dependencies between past and future infections into our modeling framework would require strong </w:t>
      </w:r>
      <w:r w:rsidRPr="00DD1285">
        <w:rPr>
          <w:rFonts w:ascii="Arial" w:eastAsiaTheme="minorEastAsia" w:hAnsi="Arial" w:cs="Arial"/>
          <w:i/>
        </w:rPr>
        <w:t xml:space="preserve">a priori </w:t>
      </w:r>
      <w:r w:rsidRPr="00DD1285">
        <w:rPr>
          <w:rFonts w:ascii="Arial" w:eastAsiaTheme="minorEastAsia" w:hAnsi="Arial" w:cs="Arial"/>
        </w:rPr>
        <w:t>assumptions</w:t>
      </w:r>
      <w:r>
        <w:rPr>
          <w:rFonts w:ascii="Arial" w:eastAsiaTheme="minorEastAsia" w:hAnsi="Arial" w:cs="Arial"/>
        </w:rPr>
        <w:t>, which themselves could strongly shape imprinting reconstructions</w:t>
      </w:r>
      <w:r w:rsidRPr="00DD1285">
        <w:rPr>
          <w:rFonts w:ascii="Arial" w:eastAsiaTheme="minorEastAsia" w:hAnsi="Arial" w:cs="Arial"/>
        </w:rPr>
        <w:t>. Instead, we have opted for a more parsimonious approach</w:t>
      </w:r>
      <w:r>
        <w:rPr>
          <w:rFonts w:ascii="Arial" w:eastAsiaTheme="minorEastAsia" w:hAnsi="Arial" w:cs="Arial"/>
        </w:rPr>
        <w:t>, which assumes all exposures (i.e. boosting events) are functionally equal</w:t>
      </w:r>
      <w:r w:rsidRPr="00DD1285">
        <w:rPr>
          <w:rFonts w:ascii="Arial" w:eastAsiaTheme="minorEastAsia" w:hAnsi="Arial" w:cs="Arial"/>
        </w:rPr>
        <w:t>.</w:t>
      </w:r>
      <w:commentRangeEnd w:id="0"/>
      <w:r w:rsidRPr="00DD1285">
        <w:rPr>
          <w:rStyle w:val="CommentReference"/>
          <w:rFonts w:ascii="Arial" w:hAnsi="Arial"/>
        </w:rPr>
        <w:commentReference w:id="0"/>
      </w:r>
    </w:p>
    <w:p w14:paraId="3FE6DB84" w14:textId="77777777" w:rsidR="00A76C49" w:rsidRPr="00DD1285" w:rsidRDefault="00A76C49" w:rsidP="00A76C49">
      <w:pPr>
        <w:spacing w:line="240" w:lineRule="auto"/>
        <w:rPr>
          <w:rFonts w:ascii="Arial" w:hAnsi="Arial" w:cs="Arial"/>
        </w:rPr>
      </w:pPr>
      <w:r w:rsidRPr="00DD1285">
        <w:rPr>
          <w:rFonts w:ascii="Arial" w:eastAsiaTheme="minorEastAsia" w:hAnsi="Arial" w:cs="Arial"/>
        </w:rPr>
        <w:tab/>
      </w:r>
      <w:r w:rsidRPr="00DD1285">
        <w:rPr>
          <w:rFonts w:ascii="Arial" w:hAnsi="Arial" w:cs="Arial"/>
        </w:rPr>
        <w:t>If influenza attack rates (annual probabilities of exposure, denoted</w:t>
      </w:r>
      <w:r>
        <w:rPr>
          <w:rFonts w:ascii="Arial" w:hAnsi="Arial" w:cs="Arial"/>
        </w:rPr>
        <w:t xml:space="preserve"> </w:t>
      </w:r>
      <m:oMath>
        <m:r>
          <w:rPr>
            <w:rFonts w:ascii="Cambria Math" w:hAnsi="Cambria Math" w:cs="Arial"/>
          </w:rPr>
          <m:t>θ</m:t>
        </m:r>
      </m:oMath>
      <w:r w:rsidRPr="00DD1285">
        <w:rPr>
          <w:rFonts w:ascii="Arial" w:hAnsi="Arial" w:cs="Arial"/>
          <w:i/>
        </w:rPr>
        <w:t xml:space="preserve">) </w:t>
      </w:r>
      <w:r w:rsidRPr="00DD1285">
        <w:rPr>
          <w:rFonts w:ascii="Arial" w:hAnsi="Arial" w:cs="Arial"/>
        </w:rPr>
        <w:t>did not vary from year-to-year, the following equation could be used to estimate the probability that an individual’s first and second exposures occur at ages (</w:t>
      </w:r>
      <w:r w:rsidRPr="00DD1285">
        <w:rPr>
          <w:rFonts w:ascii="Arial" w:hAnsi="Arial" w:cs="Arial"/>
          <w:i/>
        </w:rPr>
        <w:t>a1, a2</w:t>
      </w:r>
      <w:r w:rsidRPr="00DD1285">
        <w:rPr>
          <w:rFonts w:ascii="Arial" w:hAnsi="Arial" w:cs="Arial"/>
        </w:rPr>
        <w:t>).</w:t>
      </w:r>
    </w:p>
    <w:p w14:paraId="16801BF7" w14:textId="77777777" w:rsidR="00A76C49" w:rsidRPr="00DD1285" w:rsidRDefault="00A76C49" w:rsidP="00A76C49">
      <w:pPr>
        <w:spacing w:line="240" w:lineRule="auto"/>
        <w:rPr>
          <w:rFonts w:ascii="Arial" w:hAnsi="Arial" w:cs="Arial"/>
        </w:rPr>
      </w:pPr>
    </w:p>
    <w:p w14:paraId="4BBD915F" w14:textId="77777777" w:rsidR="00A76C49" w:rsidRPr="00DD1285" w:rsidRDefault="00A76C49" w:rsidP="00A76C49">
      <w:pPr>
        <w:spacing w:line="240" w:lineRule="auto"/>
        <w:ind w:left="720" w:firstLine="720"/>
        <w:rPr>
          <w:rFonts w:ascii="Arial" w:eastAsiaTheme="minorEastAsia"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a1, a2</m:t>
            </m:r>
          </m:e>
        </m:d>
        <m:r>
          <w:rPr>
            <w:rFonts w:ascii="Cambria Math" w:hAnsi="Cambria Math" w:cs="Arial"/>
          </w:rPr>
          <m:t>=</m:t>
        </m:r>
        <m:sSup>
          <m:sSupPr>
            <m:ctrlPr>
              <w:rPr>
                <w:rFonts w:ascii="Cambria Math" w:hAnsi="Cambria Math" w:cs="Arial"/>
                <w:i/>
              </w:rPr>
            </m:ctrlPr>
          </m:sSupPr>
          <m:e>
            <m:r>
              <w:rPr>
                <w:rFonts w:ascii="Cambria Math" w:hAnsi="Cambria Math" w:cs="Arial"/>
              </w:rPr>
              <m:t xml:space="preserve"> [(1-θ)</m:t>
            </m:r>
          </m:e>
          <m:sup>
            <m:d>
              <m:dPr>
                <m:ctrlPr>
                  <w:rPr>
                    <w:rFonts w:ascii="Cambria Math" w:hAnsi="Cambria Math" w:cs="Arial"/>
                    <w:i/>
                  </w:rPr>
                </m:ctrlPr>
              </m:dPr>
              <m:e>
                <m:r>
                  <w:rPr>
                    <w:rFonts w:ascii="Cambria Math" w:hAnsi="Cambria Math" w:cs="Arial"/>
                  </w:rPr>
                  <m:t>a1</m:t>
                </m:r>
              </m:e>
            </m:d>
          </m:sup>
        </m:sSup>
        <m:r>
          <w:rPr>
            <w:rFonts w:ascii="Cambria Math" w:hAnsi="Cambria Math" w:cs="Arial"/>
          </w:rPr>
          <m:t>θ] [</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1-θ</m:t>
                </m:r>
              </m:e>
            </m:d>
          </m:e>
          <m:sup>
            <m:d>
              <m:dPr>
                <m:ctrlPr>
                  <w:rPr>
                    <w:rFonts w:ascii="Cambria Math" w:hAnsi="Cambria Math" w:cs="Arial"/>
                    <w:i/>
                  </w:rPr>
                </m:ctrlPr>
              </m:dPr>
              <m:e>
                <m:r>
                  <w:rPr>
                    <w:rFonts w:ascii="Cambria Math" w:hAnsi="Cambria Math" w:cs="Arial"/>
                  </w:rPr>
                  <m:t>a2-a1-1</m:t>
                </m:r>
              </m:e>
            </m:d>
          </m:sup>
        </m:sSup>
        <m:r>
          <w:rPr>
            <w:rFonts w:ascii="Cambria Math" w:hAnsi="Cambria Math" w:cs="Arial"/>
          </w:rPr>
          <m:t>θ]</m:t>
        </m:r>
      </m:oMath>
      <w:r w:rsidRPr="00DD1285">
        <w:rPr>
          <w:rFonts w:ascii="Arial" w:eastAsiaTheme="minorEastAsia" w:hAnsi="Arial" w:cs="Arial"/>
        </w:rPr>
        <w:tab/>
      </w:r>
      <w:r w:rsidRPr="00DD1285">
        <w:rPr>
          <w:rFonts w:ascii="Arial" w:eastAsiaTheme="minorEastAsia" w:hAnsi="Arial" w:cs="Arial"/>
        </w:rPr>
        <w:tab/>
      </w:r>
      <w:r>
        <w:rPr>
          <w:rFonts w:ascii="Arial" w:eastAsiaTheme="minorEastAsia" w:hAnsi="Arial" w:cs="Arial"/>
        </w:rPr>
        <w:tab/>
      </w:r>
      <w:r w:rsidRPr="00DD1285">
        <w:rPr>
          <w:rFonts w:ascii="Arial" w:eastAsiaTheme="minorEastAsia" w:hAnsi="Arial" w:cs="Arial"/>
        </w:rPr>
        <w:t>(1)</w:t>
      </w:r>
    </w:p>
    <w:p w14:paraId="427EBDA8" w14:textId="77777777" w:rsidR="00A76C49" w:rsidRPr="00DD1285" w:rsidRDefault="00A76C49" w:rsidP="00A76C49">
      <w:pPr>
        <w:spacing w:line="240" w:lineRule="auto"/>
        <w:jc w:val="center"/>
        <w:rPr>
          <w:rFonts w:ascii="Arial" w:eastAsiaTheme="minorEastAsia" w:hAnsi="Arial" w:cs="Arial"/>
        </w:rPr>
      </w:pPr>
    </w:p>
    <w:p w14:paraId="133EAF33" w14:textId="77777777" w:rsidR="00A76C49" w:rsidRPr="00DD1285" w:rsidRDefault="00A76C49" w:rsidP="00A76C49">
      <w:pPr>
        <w:spacing w:line="240" w:lineRule="auto"/>
        <w:rPr>
          <w:rFonts w:ascii="Arial" w:eastAsiaTheme="minorEastAsia" w:hAnsi="Arial" w:cs="Arial"/>
        </w:rPr>
      </w:pPr>
      <w:r w:rsidRPr="00DD1285">
        <w:rPr>
          <w:rFonts w:ascii="Arial" w:eastAsiaTheme="minorEastAsia" w:hAnsi="Arial" w:cs="Arial"/>
        </w:rPr>
        <w:t xml:space="preserve">Here, the first bracketed factor describes the probability of waiting a1 years between birth and the year of first exposure, and the second bracketed factor describes the probability of waiting an additional </w:t>
      </w:r>
      <w:r w:rsidRPr="00DD1285">
        <w:rPr>
          <w:rFonts w:ascii="Arial" w:eastAsiaTheme="minorEastAsia" w:hAnsi="Arial" w:cs="Arial"/>
          <w:i/>
        </w:rPr>
        <w:t>a2-(a1+1)</w:t>
      </w:r>
      <w:r w:rsidRPr="00DD1285">
        <w:rPr>
          <w:rFonts w:ascii="Arial" w:eastAsiaTheme="minorEastAsia" w:hAnsi="Arial" w:cs="Arial"/>
        </w:rPr>
        <w:t xml:space="preserve"> years between the first and second exposure.</w:t>
      </w:r>
    </w:p>
    <w:p w14:paraId="66D3F0D8" w14:textId="77777777" w:rsidR="00A76C49" w:rsidRPr="00DD1285" w:rsidRDefault="00A76C49" w:rsidP="00A76C49">
      <w:pPr>
        <w:spacing w:line="240" w:lineRule="auto"/>
        <w:rPr>
          <w:rFonts w:ascii="Arial" w:eastAsiaTheme="minorEastAsia" w:hAnsi="Arial" w:cs="Arial"/>
        </w:rPr>
      </w:pPr>
      <w:r w:rsidRPr="00DD1285">
        <w:rPr>
          <w:rFonts w:ascii="Arial" w:eastAsiaTheme="minorEastAsia" w:hAnsi="Arial" w:cs="Arial"/>
        </w:rPr>
        <w:tab/>
        <w:t xml:space="preserve">In reality, influenza attack rates vary from year-to-year, so </w:t>
      </w:r>
      <m:oMath>
        <m:r>
          <w:rPr>
            <w:rFonts w:ascii="Cambria Math" w:hAnsi="Cambria Math" w:cs="Arial"/>
          </w:rPr>
          <m:t>θ</m:t>
        </m:r>
      </m:oMath>
      <w:r w:rsidRPr="00DD1285">
        <w:rPr>
          <w:rFonts w:ascii="Arial" w:eastAsiaTheme="minorEastAsia" w:hAnsi="Arial" w:cs="Arial"/>
          <w:i/>
        </w:rPr>
        <w:t xml:space="preserve"> </w:t>
      </w:r>
      <w:r w:rsidRPr="00DD1285">
        <w:rPr>
          <w:rFonts w:ascii="Arial" w:eastAsiaTheme="minorEastAsia" w:hAnsi="Arial" w:cs="Arial"/>
        </w:rPr>
        <w:t>is not constant. Using methods described previously (Gostic et al., 2016), we estimated annual attack rates for all years from 1918 until the present using data on the historical intensity of seasonal influenza circulation. We then modified equation 1 to incorporate variable annual attack rates:</w:t>
      </w:r>
    </w:p>
    <w:p w14:paraId="6BCB8CF2" w14:textId="77777777" w:rsidR="00A76C49" w:rsidRPr="00DD1285" w:rsidRDefault="00A76C49" w:rsidP="00A76C49">
      <w:pPr>
        <w:spacing w:line="240" w:lineRule="auto"/>
        <w:rPr>
          <w:rFonts w:ascii="Arial" w:eastAsiaTheme="minorEastAsia" w:hAnsi="Arial" w:cs="Arial"/>
        </w:rPr>
      </w:pPr>
    </w:p>
    <w:p w14:paraId="7AEB1121" w14:textId="77777777" w:rsidR="00A76C49" w:rsidRPr="00DD1285" w:rsidRDefault="00A76C49" w:rsidP="00A76C49">
      <w:pPr>
        <w:tabs>
          <w:tab w:val="left" w:pos="1440"/>
          <w:tab w:val="left" w:pos="7920"/>
        </w:tabs>
        <w:spacing w:line="240" w:lineRule="auto"/>
        <w:rPr>
          <w:rStyle w:val="IntenseEmphasis"/>
          <w:rFonts w:ascii="Arial" w:hAnsi="Arial"/>
        </w:rPr>
      </w:pPr>
      <w:r>
        <w:rPr>
          <w:rStyle w:val="IntenseEmphasis"/>
          <w:rFonts w:ascii="Arial" w:hAnsi="Arial"/>
        </w:rPr>
        <w:tab/>
      </w:r>
      <m:oMath>
        <m:r>
          <m:rPr>
            <m:sty m:val="p"/>
          </m:rPr>
          <w:rPr>
            <w:rStyle w:val="IntenseEmphasis"/>
          </w:rPr>
          <m:t>P</m:t>
        </m:r>
        <m:d>
          <m:dPr>
            <m:ctrlPr>
              <w:rPr>
                <w:rStyle w:val="IntenseEmphasis"/>
                <w:i w:val="0"/>
              </w:rPr>
            </m:ctrlPr>
          </m:dPr>
          <m:e>
            <m:r>
              <m:rPr>
                <m:sty m:val="p"/>
              </m:rPr>
              <w:rPr>
                <w:rStyle w:val="IntenseEmphasis"/>
              </w:rPr>
              <m:t>a1, a2</m:t>
            </m:r>
          </m:e>
        </m:d>
        <m:r>
          <m:rPr>
            <m:sty m:val="p"/>
          </m:rPr>
          <w:rPr>
            <w:rStyle w:val="IntenseEmphasis"/>
          </w:rPr>
          <m:t>=</m:t>
        </m:r>
        <m:d>
          <m:dPr>
            <m:begChr m:val="["/>
            <m:endChr m:val="]"/>
            <m:ctrlPr>
              <w:rPr>
                <w:rStyle w:val="IntenseEmphasis"/>
                <w:i w:val="0"/>
              </w:rPr>
            </m:ctrlPr>
          </m:dPr>
          <m:e>
            <m:sSub>
              <m:sSubPr>
                <m:ctrlPr>
                  <w:rPr>
                    <w:rStyle w:val="IntenseEmphasis"/>
                    <w:i w:val="0"/>
                  </w:rPr>
                </m:ctrlPr>
              </m:sSubPr>
              <m:e>
                <m:r>
                  <m:rPr>
                    <m:sty m:val="p"/>
                  </m:rPr>
                  <w:rPr>
                    <w:rStyle w:val="IntenseEmphasis"/>
                  </w:rPr>
                  <m:t>θ</m:t>
                </m:r>
              </m:e>
              <m:sub>
                <m:r>
                  <m:rPr>
                    <m:sty m:val="p"/>
                  </m:rPr>
                  <w:rPr>
                    <w:rStyle w:val="IntenseEmphasis"/>
                  </w:rPr>
                  <m:t>a1</m:t>
                </m:r>
              </m:sub>
            </m:sSub>
            <m:nary>
              <m:naryPr>
                <m:chr m:val="∏"/>
                <m:limLoc m:val="subSup"/>
                <m:ctrlPr>
                  <w:rPr>
                    <w:rStyle w:val="IntenseEmphasis"/>
                    <w:i w:val="0"/>
                  </w:rPr>
                </m:ctrlPr>
              </m:naryPr>
              <m:sub>
                <m:r>
                  <m:rPr>
                    <m:sty m:val="p"/>
                  </m:rPr>
                  <w:rPr>
                    <w:rStyle w:val="IntenseEmphasis"/>
                  </w:rPr>
                  <m:t>i=0</m:t>
                </m:r>
              </m:sub>
              <m:sup>
                <m:r>
                  <m:rPr>
                    <m:sty m:val="p"/>
                  </m:rPr>
                  <w:rPr>
                    <w:rStyle w:val="IntenseEmphasis"/>
                  </w:rPr>
                  <m:t>a1-1</m:t>
                </m:r>
              </m:sup>
              <m:e>
                <m:sSub>
                  <m:sSubPr>
                    <m:ctrlPr>
                      <w:rPr>
                        <w:rStyle w:val="IntenseEmphasis"/>
                        <w:i w:val="0"/>
                      </w:rPr>
                    </m:ctrlPr>
                  </m:sSubPr>
                  <m:e>
                    <m:r>
                      <m:rPr>
                        <m:sty m:val="p"/>
                      </m:rPr>
                      <w:rPr>
                        <w:rStyle w:val="IntenseEmphasis"/>
                      </w:rPr>
                      <m:t>(1-θ</m:t>
                    </m:r>
                  </m:e>
                  <m:sub>
                    <m:r>
                      <m:rPr>
                        <m:sty m:val="p"/>
                      </m:rPr>
                      <w:rPr>
                        <w:rStyle w:val="IntenseEmphasis"/>
                      </w:rPr>
                      <m:t>i</m:t>
                    </m:r>
                  </m:sub>
                </m:sSub>
                <m:r>
                  <m:rPr>
                    <m:sty m:val="p"/>
                  </m:rPr>
                  <w:rPr>
                    <w:rStyle w:val="IntenseEmphasis"/>
                  </w:rPr>
                  <m:t>)</m:t>
                </m:r>
              </m:e>
            </m:nary>
          </m:e>
        </m:d>
        <m:r>
          <m:rPr>
            <m:sty m:val="p"/>
          </m:rPr>
          <w:rPr>
            <w:rStyle w:val="IntenseEmphasis"/>
          </w:rPr>
          <m:t>[</m:t>
        </m:r>
        <m:sSub>
          <m:sSubPr>
            <m:ctrlPr>
              <w:rPr>
                <w:rStyle w:val="IntenseEmphasis"/>
                <w:i w:val="0"/>
              </w:rPr>
            </m:ctrlPr>
          </m:sSubPr>
          <m:e>
            <m:r>
              <m:rPr>
                <m:sty m:val="p"/>
              </m:rPr>
              <w:rPr>
                <w:rStyle w:val="IntenseEmphasis"/>
              </w:rPr>
              <m:t>θ</m:t>
            </m:r>
          </m:e>
          <m:sub>
            <m:r>
              <m:rPr>
                <m:sty m:val="p"/>
              </m:rPr>
              <w:rPr>
                <w:rStyle w:val="IntenseEmphasis"/>
              </w:rPr>
              <m:t>a2</m:t>
            </m:r>
          </m:sub>
        </m:sSub>
        <m:nary>
          <m:naryPr>
            <m:chr m:val="∏"/>
            <m:limLoc m:val="subSup"/>
            <m:ctrlPr>
              <w:rPr>
                <w:rStyle w:val="IntenseEmphasis"/>
                <w:i w:val="0"/>
              </w:rPr>
            </m:ctrlPr>
          </m:naryPr>
          <m:sub>
            <m:r>
              <m:rPr>
                <m:sty m:val="p"/>
              </m:rPr>
              <w:rPr>
                <w:rStyle w:val="IntenseEmphasis"/>
              </w:rPr>
              <m:t>j=a1+1</m:t>
            </m:r>
          </m:sub>
          <m:sup>
            <m:r>
              <m:rPr>
                <m:sty m:val="p"/>
              </m:rPr>
              <w:rPr>
                <w:rStyle w:val="IntenseEmphasis"/>
              </w:rPr>
              <m:t>a2-1</m:t>
            </m:r>
          </m:sup>
          <m:e>
            <m:sSub>
              <m:sSubPr>
                <m:ctrlPr>
                  <w:rPr>
                    <w:rStyle w:val="IntenseEmphasis"/>
                    <w:i w:val="0"/>
                  </w:rPr>
                </m:ctrlPr>
              </m:sSubPr>
              <m:e>
                <m:r>
                  <m:rPr>
                    <m:sty m:val="p"/>
                  </m:rPr>
                  <w:rPr>
                    <w:rStyle w:val="IntenseEmphasis"/>
                  </w:rPr>
                  <m:t>(1-θ</m:t>
                </m:r>
              </m:e>
              <m:sub>
                <m:r>
                  <m:rPr>
                    <m:sty m:val="p"/>
                  </m:rPr>
                  <w:rPr>
                    <w:rStyle w:val="IntenseEmphasis"/>
                  </w:rPr>
                  <m:t>j</m:t>
                </m:r>
              </m:sub>
            </m:sSub>
            <m:r>
              <m:rPr>
                <m:sty m:val="p"/>
              </m:rPr>
              <w:rPr>
                <w:rStyle w:val="IntenseEmphasis"/>
              </w:rPr>
              <m:t>)</m:t>
            </m:r>
          </m:e>
        </m:nary>
        <m:r>
          <m:rPr>
            <m:sty m:val="p"/>
          </m:rPr>
          <w:rPr>
            <w:rStyle w:val="IntenseEmphasis"/>
          </w:rPr>
          <m:t>]</m:t>
        </m:r>
      </m:oMath>
      <w:r>
        <w:rPr>
          <w:rStyle w:val="IntenseEmphasis"/>
          <w:rFonts w:ascii="Arial" w:hAnsi="Arial"/>
        </w:rPr>
        <w:tab/>
      </w:r>
      <w:r w:rsidRPr="00DD1285">
        <w:rPr>
          <w:rStyle w:val="IntenseEmphasis"/>
          <w:rFonts w:ascii="Arial" w:hAnsi="Arial"/>
        </w:rPr>
        <w:t>(2)</w:t>
      </w:r>
    </w:p>
    <w:p w14:paraId="26FD0A83" w14:textId="77777777" w:rsidR="00A76C49" w:rsidRPr="00DD1285" w:rsidRDefault="00A76C49" w:rsidP="00A76C49">
      <w:pPr>
        <w:spacing w:line="240" w:lineRule="auto"/>
        <w:jc w:val="center"/>
        <w:rPr>
          <w:rFonts w:ascii="Arial" w:eastAsiaTheme="minorEastAsia" w:hAnsi="Arial" w:cs="Arial"/>
        </w:rPr>
      </w:pPr>
    </w:p>
    <w:p w14:paraId="5489103E" w14:textId="18923111" w:rsidR="00A76C49" w:rsidRPr="00DD1285" w:rsidRDefault="00A76C49" w:rsidP="00A76C49">
      <w:pPr>
        <w:spacing w:line="240" w:lineRule="auto"/>
        <w:ind w:firstLine="720"/>
        <w:rPr>
          <w:rFonts w:ascii="Arial" w:hAnsi="Arial" w:cs="Arial"/>
        </w:rPr>
      </w:pPr>
      <w:r w:rsidRPr="00DD1285">
        <w:rPr>
          <w:rFonts w:ascii="Arial" w:hAnsi="Arial" w:cs="Arial"/>
        </w:rPr>
        <w:t xml:space="preserve">It is conceptually straightforward to generalize this approach to account for three exposures </w:t>
      </w:r>
      <w:r>
        <w:rPr>
          <w:rFonts w:ascii="Arial" w:hAnsi="Arial" w:cs="Arial"/>
        </w:rPr>
        <w:t>(</w:t>
      </w:r>
      <w:r w:rsidRPr="00DD1285">
        <w:rPr>
          <w:rFonts w:ascii="Arial" w:hAnsi="Arial" w:cs="Arial"/>
        </w:rPr>
        <w:t>or more</w:t>
      </w:r>
      <w:r>
        <w:rPr>
          <w:rFonts w:ascii="Arial" w:hAnsi="Arial" w:cs="Arial"/>
        </w:rPr>
        <w:t>)</w:t>
      </w:r>
      <w:r w:rsidRPr="00DD1285">
        <w:rPr>
          <w:rFonts w:ascii="Arial" w:hAnsi="Arial" w:cs="Arial"/>
        </w:rPr>
        <w:t>:</w:t>
      </w:r>
    </w:p>
    <w:p w14:paraId="2940ED65" w14:textId="77777777" w:rsidR="00A76C49" w:rsidRPr="00DD1285" w:rsidRDefault="00A76C49" w:rsidP="00A76C49">
      <w:pPr>
        <w:spacing w:line="240" w:lineRule="auto"/>
        <w:ind w:firstLine="720"/>
        <w:rPr>
          <w:rFonts w:ascii="Arial" w:hAnsi="Arial" w:cs="Arial"/>
        </w:rPr>
      </w:pPr>
    </w:p>
    <w:p w14:paraId="3AE0117C" w14:textId="77777777" w:rsidR="00A76C49" w:rsidRPr="00DD1285" w:rsidRDefault="00A76C49" w:rsidP="00A76C49">
      <w:pPr>
        <w:spacing w:line="240" w:lineRule="auto"/>
        <w:ind w:left="720" w:firstLine="720"/>
        <w:rPr>
          <w:rStyle w:val="IntenseEmphasis"/>
          <w:rFonts w:ascii="Arial" w:hAnsi="Arial"/>
        </w:rPr>
      </w:pPr>
      <m:oMath>
        <m:r>
          <m:rPr>
            <m:sty m:val="p"/>
          </m:rPr>
          <w:rPr>
            <w:rStyle w:val="IntenseEmphasis"/>
          </w:rPr>
          <m:t>P</m:t>
        </m:r>
        <m:d>
          <m:dPr>
            <m:ctrlPr>
              <w:rPr>
                <w:rStyle w:val="IntenseEmphasis"/>
                <w:i w:val="0"/>
              </w:rPr>
            </m:ctrlPr>
          </m:dPr>
          <m:e>
            <m:r>
              <m:rPr>
                <m:sty m:val="p"/>
              </m:rPr>
              <w:rPr>
                <w:rStyle w:val="IntenseEmphasis"/>
              </w:rPr>
              <m:t>a1, a2, a3</m:t>
            </m:r>
          </m:e>
        </m:d>
        <m:r>
          <m:rPr>
            <m:sty m:val="p"/>
          </m:rPr>
          <w:rPr>
            <w:rStyle w:val="IntenseEmphasis"/>
          </w:rPr>
          <m:t>=[</m:t>
        </m:r>
        <m:sSub>
          <m:sSubPr>
            <m:ctrlPr>
              <w:rPr>
                <w:rStyle w:val="IntenseEmphasis"/>
                <w:i w:val="0"/>
              </w:rPr>
            </m:ctrlPr>
          </m:sSubPr>
          <m:e>
            <m:r>
              <m:rPr>
                <m:sty m:val="p"/>
              </m:rPr>
              <w:rPr>
                <w:rStyle w:val="IntenseEmphasis"/>
              </w:rPr>
              <m:t>θ</m:t>
            </m:r>
          </m:e>
          <m:sub>
            <m:r>
              <m:rPr>
                <m:sty m:val="p"/>
              </m:rPr>
              <w:rPr>
                <w:rStyle w:val="IntenseEmphasis"/>
              </w:rPr>
              <m:t>a1</m:t>
            </m:r>
          </m:sub>
        </m:sSub>
        <m:nary>
          <m:naryPr>
            <m:chr m:val="∏"/>
            <m:limLoc m:val="subSup"/>
            <m:ctrlPr>
              <w:rPr>
                <w:rStyle w:val="IntenseEmphasis"/>
                <w:i w:val="0"/>
              </w:rPr>
            </m:ctrlPr>
          </m:naryPr>
          <m:sub>
            <m:r>
              <m:rPr>
                <m:sty m:val="p"/>
              </m:rPr>
              <w:rPr>
                <w:rStyle w:val="IntenseEmphasis"/>
              </w:rPr>
              <m:t>i=1</m:t>
            </m:r>
          </m:sub>
          <m:sup>
            <m:r>
              <m:rPr>
                <m:sty m:val="p"/>
              </m:rPr>
              <w:rPr>
                <w:rStyle w:val="IntenseEmphasis"/>
              </w:rPr>
              <m:t>a1-1</m:t>
            </m:r>
          </m:sup>
          <m:e>
            <m:sSub>
              <m:sSubPr>
                <m:ctrlPr>
                  <w:rPr>
                    <w:rStyle w:val="IntenseEmphasis"/>
                    <w:i w:val="0"/>
                  </w:rPr>
                </m:ctrlPr>
              </m:sSubPr>
              <m:e>
                <m:r>
                  <m:rPr>
                    <m:sty m:val="p"/>
                  </m:rPr>
                  <w:rPr>
                    <w:rStyle w:val="IntenseEmphasis"/>
                  </w:rPr>
                  <m:t>(1-θ</m:t>
                </m:r>
              </m:e>
              <m:sub>
                <m:r>
                  <m:rPr>
                    <m:sty m:val="p"/>
                  </m:rPr>
                  <w:rPr>
                    <w:rStyle w:val="IntenseEmphasis"/>
                  </w:rPr>
                  <m:t>i</m:t>
                </m:r>
              </m:sub>
            </m:sSub>
            <m:r>
              <m:rPr>
                <m:sty m:val="p"/>
              </m:rPr>
              <w:rPr>
                <w:rStyle w:val="IntenseEmphasis"/>
              </w:rPr>
              <m:t>)</m:t>
            </m:r>
          </m:e>
        </m:nary>
        <m:r>
          <m:rPr>
            <m:sty m:val="p"/>
          </m:rPr>
          <w:rPr>
            <w:rStyle w:val="IntenseEmphasis"/>
          </w:rPr>
          <m:t>][</m:t>
        </m:r>
        <m:sSub>
          <m:sSubPr>
            <m:ctrlPr>
              <w:rPr>
                <w:rStyle w:val="IntenseEmphasis"/>
                <w:i w:val="0"/>
              </w:rPr>
            </m:ctrlPr>
          </m:sSubPr>
          <m:e>
            <m:r>
              <m:rPr>
                <m:sty m:val="p"/>
              </m:rPr>
              <w:rPr>
                <w:rStyle w:val="IntenseEmphasis"/>
              </w:rPr>
              <m:t>θ</m:t>
            </m:r>
          </m:e>
          <m:sub>
            <m:r>
              <m:rPr>
                <m:sty m:val="p"/>
              </m:rPr>
              <w:rPr>
                <w:rStyle w:val="IntenseEmphasis"/>
              </w:rPr>
              <m:t>a2</m:t>
            </m:r>
          </m:sub>
        </m:sSub>
        <m:nary>
          <m:naryPr>
            <m:chr m:val="∏"/>
            <m:limLoc m:val="subSup"/>
            <m:ctrlPr>
              <w:rPr>
                <w:rStyle w:val="IntenseEmphasis"/>
                <w:i w:val="0"/>
              </w:rPr>
            </m:ctrlPr>
          </m:naryPr>
          <m:sub>
            <m:r>
              <m:rPr>
                <m:sty m:val="p"/>
              </m:rPr>
              <w:rPr>
                <w:rStyle w:val="IntenseEmphasis"/>
              </w:rPr>
              <m:t>j=a1+1</m:t>
            </m:r>
          </m:sub>
          <m:sup>
            <m:r>
              <m:rPr>
                <m:sty m:val="p"/>
              </m:rPr>
              <w:rPr>
                <w:rStyle w:val="IntenseEmphasis"/>
              </w:rPr>
              <m:t>a2-1</m:t>
            </m:r>
          </m:sup>
          <m:e>
            <m:sSub>
              <m:sSubPr>
                <m:ctrlPr>
                  <w:rPr>
                    <w:rStyle w:val="IntenseEmphasis"/>
                    <w:i w:val="0"/>
                  </w:rPr>
                </m:ctrlPr>
              </m:sSubPr>
              <m:e>
                <m:r>
                  <m:rPr>
                    <m:sty m:val="p"/>
                  </m:rPr>
                  <w:rPr>
                    <w:rStyle w:val="IntenseEmphasis"/>
                  </w:rPr>
                  <m:t>(1-θ</m:t>
                </m:r>
              </m:e>
              <m:sub>
                <m:r>
                  <m:rPr>
                    <m:sty m:val="p"/>
                  </m:rPr>
                  <w:rPr>
                    <w:rStyle w:val="IntenseEmphasis"/>
                  </w:rPr>
                  <m:t>j</m:t>
                </m:r>
              </m:sub>
            </m:sSub>
            <m:r>
              <m:rPr>
                <m:sty m:val="p"/>
              </m:rPr>
              <w:rPr>
                <w:rStyle w:val="IntenseEmphasis"/>
              </w:rPr>
              <m:t>)</m:t>
            </m:r>
          </m:e>
        </m:nary>
        <m:r>
          <m:rPr>
            <m:sty m:val="p"/>
          </m:rPr>
          <w:rPr>
            <w:rStyle w:val="IntenseEmphasis"/>
          </w:rPr>
          <m:t>][</m:t>
        </m:r>
        <m:sSub>
          <m:sSubPr>
            <m:ctrlPr>
              <w:rPr>
                <w:rStyle w:val="IntenseEmphasis"/>
                <w:i w:val="0"/>
              </w:rPr>
            </m:ctrlPr>
          </m:sSubPr>
          <m:e>
            <m:r>
              <m:rPr>
                <m:sty m:val="p"/>
              </m:rPr>
              <w:rPr>
                <w:rStyle w:val="IntenseEmphasis"/>
              </w:rPr>
              <m:t>θ</m:t>
            </m:r>
          </m:e>
          <m:sub>
            <m:r>
              <m:rPr>
                <m:sty m:val="p"/>
              </m:rPr>
              <w:rPr>
                <w:rStyle w:val="IntenseEmphasis"/>
              </w:rPr>
              <m:t>a3</m:t>
            </m:r>
          </m:sub>
        </m:sSub>
        <m:nary>
          <m:naryPr>
            <m:chr m:val="∏"/>
            <m:limLoc m:val="subSup"/>
            <m:ctrlPr>
              <w:rPr>
                <w:rStyle w:val="IntenseEmphasis"/>
                <w:i w:val="0"/>
              </w:rPr>
            </m:ctrlPr>
          </m:naryPr>
          <m:sub>
            <m:r>
              <m:rPr>
                <m:sty m:val="p"/>
              </m:rPr>
              <w:rPr>
                <w:rStyle w:val="IntenseEmphasis"/>
              </w:rPr>
              <m:t>k=a2+1</m:t>
            </m:r>
          </m:sub>
          <m:sup>
            <m:r>
              <m:rPr>
                <m:sty m:val="p"/>
              </m:rPr>
              <w:rPr>
                <w:rStyle w:val="IntenseEmphasis"/>
              </w:rPr>
              <m:t>a3-1</m:t>
            </m:r>
          </m:sup>
          <m:e>
            <m:sSub>
              <m:sSubPr>
                <m:ctrlPr>
                  <w:rPr>
                    <w:rStyle w:val="IntenseEmphasis"/>
                    <w:i w:val="0"/>
                  </w:rPr>
                </m:ctrlPr>
              </m:sSubPr>
              <m:e>
                <m:r>
                  <m:rPr>
                    <m:sty m:val="p"/>
                  </m:rPr>
                  <w:rPr>
                    <w:rStyle w:val="IntenseEmphasis"/>
                  </w:rPr>
                  <m:t>(1-θ</m:t>
                </m:r>
              </m:e>
              <m:sub>
                <m:r>
                  <m:rPr>
                    <m:sty m:val="p"/>
                  </m:rPr>
                  <w:rPr>
                    <w:rStyle w:val="IntenseEmphasis"/>
                  </w:rPr>
                  <m:t>k</m:t>
                </m:r>
              </m:sub>
            </m:sSub>
            <m:r>
              <m:rPr>
                <m:sty m:val="p"/>
              </m:rPr>
              <w:rPr>
                <w:rStyle w:val="IntenseEmphasis"/>
              </w:rPr>
              <m:t>)</m:t>
            </m:r>
          </m:e>
        </m:nary>
      </m:oMath>
      <w:r w:rsidRPr="00DD1285">
        <w:rPr>
          <w:rStyle w:val="IntenseEmphasis"/>
          <w:rFonts w:ascii="Arial" w:hAnsi="Arial"/>
        </w:rPr>
        <w:t xml:space="preserve">] </w:t>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sidRPr="00DD1285">
        <w:rPr>
          <w:rStyle w:val="IntenseEmphasis"/>
          <w:rFonts w:ascii="Arial" w:hAnsi="Arial"/>
        </w:rPr>
        <w:t>(3)</w:t>
      </w:r>
    </w:p>
    <w:p w14:paraId="410B9B10" w14:textId="77777777" w:rsidR="00A76C49" w:rsidRPr="00DD1285" w:rsidRDefault="00A76C49" w:rsidP="00A76C49">
      <w:pPr>
        <w:spacing w:line="240" w:lineRule="auto"/>
        <w:rPr>
          <w:rFonts w:ascii="Arial" w:hAnsi="Arial" w:cs="Arial"/>
        </w:rPr>
      </w:pPr>
    </w:p>
    <w:p w14:paraId="7548868E" w14:textId="77777777" w:rsidR="00A76C49" w:rsidRPr="00DD1285" w:rsidRDefault="00A76C49" w:rsidP="00A76C49">
      <w:pPr>
        <w:spacing w:line="240" w:lineRule="auto"/>
        <w:rPr>
          <w:rFonts w:ascii="Arial" w:eastAsiaTheme="minorEastAsia" w:hAnsi="Arial" w:cs="Arial"/>
        </w:rPr>
      </w:pPr>
    </w:p>
    <w:p w14:paraId="7A5EFC4E" w14:textId="77777777" w:rsidR="00A76C49" w:rsidRPr="00DD1285" w:rsidRDefault="00A76C49" w:rsidP="00A76C49">
      <w:pPr>
        <w:spacing w:line="240" w:lineRule="auto"/>
        <w:rPr>
          <w:rFonts w:ascii="Arial" w:hAnsi="Arial" w:cs="Arial"/>
        </w:rPr>
      </w:pPr>
      <w:r w:rsidRPr="00DD1285">
        <w:rPr>
          <w:rFonts w:ascii="Arial" w:hAnsi="Arial" w:cs="Arial"/>
        </w:rPr>
        <w:tab/>
        <w:t>Next, for each possible year of birth (b), we cross-referenced virologic data on which strains circulated in the years corresponding to all possible (</w:t>
      </w:r>
      <w:r w:rsidRPr="00DD1285">
        <w:rPr>
          <w:rFonts w:ascii="Arial" w:hAnsi="Arial" w:cs="Arial"/>
          <w:i/>
        </w:rPr>
        <w:t>a1, a2, a3</w:t>
      </w:r>
      <w:r w:rsidRPr="00DD1285">
        <w:rPr>
          <w:rFonts w:ascii="Arial" w:hAnsi="Arial" w:cs="Arial"/>
        </w:rPr>
        <w:t>)</w:t>
      </w:r>
      <w:r w:rsidRPr="00DD1285">
        <w:rPr>
          <w:rFonts w:ascii="Arial" w:hAnsi="Arial" w:cs="Arial"/>
          <w:i/>
        </w:rPr>
        <w:t xml:space="preserve"> </w:t>
      </w:r>
      <w:r w:rsidRPr="00DD1285">
        <w:rPr>
          <w:rFonts w:ascii="Arial" w:hAnsi="Arial" w:cs="Arial"/>
        </w:rPr>
        <w:t xml:space="preserve">combinations, to obtain probabilities that the first, second and third exposure was to H1, H2, or H3, i.e. </w:t>
      </w:r>
      <m:oMath>
        <m:r>
          <w:rPr>
            <w:rFonts w:ascii="Cambria Math" w:hAnsi="Cambria Math" w:cs="Arial"/>
          </w:rPr>
          <m:t>P(Hx, Hy, Hz|b,a1, a2, a3)</m:t>
        </m:r>
      </m:oMath>
      <w:r w:rsidRPr="00DD1285">
        <w:rPr>
          <w:rFonts w:ascii="Arial" w:hAnsi="Arial" w:cs="Arial"/>
        </w:rPr>
        <w:t>. Then, we aggregated across all possible (a1, a2, a3) combinations to obtain the overall probability of each subtype-specific imprinting outcome, for a given birth year:</w:t>
      </w:r>
    </w:p>
    <w:p w14:paraId="29022CF4" w14:textId="77777777" w:rsidR="00A76C49" w:rsidRPr="00DD1285" w:rsidRDefault="00A76C49" w:rsidP="00A76C49">
      <w:pPr>
        <w:spacing w:line="240" w:lineRule="auto"/>
        <w:ind w:left="720" w:firstLine="720"/>
        <w:jc w:val="center"/>
        <w:rPr>
          <w:rStyle w:val="IntenseEmphasis"/>
          <w:rFonts w:ascii="Arial" w:hAnsi="Arial"/>
        </w:rPr>
      </w:pPr>
      <m:oMath>
        <m:r>
          <m:rPr>
            <m:sty m:val="p"/>
          </m:rPr>
          <w:rPr>
            <w:rStyle w:val="IntenseEmphasis"/>
          </w:rPr>
          <m:t>P</m:t>
        </m:r>
        <m:d>
          <m:dPr>
            <m:ctrlPr>
              <w:rPr>
                <w:rStyle w:val="IntenseEmphasis"/>
                <w:i w:val="0"/>
              </w:rPr>
            </m:ctrlPr>
          </m:dPr>
          <m:e>
            <m:r>
              <m:rPr>
                <m:sty m:val="p"/>
              </m:rPr>
              <w:rPr>
                <w:rStyle w:val="IntenseEmphasis"/>
              </w:rPr>
              <m:t>Hx, Hy, Hz</m:t>
            </m:r>
          </m:e>
          <m:e>
            <m:r>
              <m:rPr>
                <m:sty m:val="p"/>
              </m:rPr>
              <w:rPr>
                <w:rStyle w:val="IntenseEmphasis"/>
              </w:rPr>
              <m:t>b</m:t>
            </m:r>
          </m:e>
        </m:d>
        <m:r>
          <m:rPr>
            <m:sty m:val="p"/>
          </m:rPr>
          <w:rPr>
            <w:rStyle w:val="IntenseEmphasis"/>
          </w:rPr>
          <m:t xml:space="preserve">= </m:t>
        </m:r>
        <m:nary>
          <m:naryPr>
            <m:chr m:val="∑"/>
            <m:limLoc m:val="undOvr"/>
            <m:supHide m:val="1"/>
            <m:ctrlPr>
              <w:rPr>
                <w:rStyle w:val="IntenseEmphasis"/>
                <w:i w:val="0"/>
              </w:rPr>
            </m:ctrlPr>
          </m:naryPr>
          <m:sub>
            <m:r>
              <m:rPr>
                <m:sty m:val="p"/>
              </m:rPr>
              <w:rPr>
                <w:rStyle w:val="IntenseEmphasis"/>
              </w:rPr>
              <m:t>a1, a2, a3</m:t>
            </m:r>
          </m:sub>
          <m:sup/>
          <m:e>
            <m:r>
              <m:rPr>
                <m:sty m:val="p"/>
              </m:rPr>
              <w:rPr>
                <w:rStyle w:val="IntenseEmphasis"/>
              </w:rPr>
              <m:t>P(a1, a2, a3)P(Hx, Hy, Hz|b,a1, a2, a3)</m:t>
            </m:r>
          </m:e>
        </m:nary>
      </m:oMath>
      <w:r w:rsidRPr="00DD1285">
        <w:rPr>
          <w:rStyle w:val="IntenseEmphasis"/>
          <w:rFonts w:ascii="Arial" w:hAnsi="Arial"/>
        </w:rPr>
        <w:tab/>
      </w:r>
      <w:r w:rsidRPr="00DD1285">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Pr>
          <w:rStyle w:val="IntenseEmphasis"/>
          <w:rFonts w:ascii="Arial" w:hAnsi="Arial"/>
        </w:rPr>
        <w:tab/>
      </w:r>
      <w:r w:rsidRPr="00DD1285">
        <w:rPr>
          <w:rStyle w:val="IntenseEmphasis"/>
          <w:rFonts w:ascii="Arial" w:hAnsi="Arial"/>
        </w:rPr>
        <w:t>(4)</w:t>
      </w:r>
    </w:p>
    <w:p w14:paraId="538366C7" w14:textId="77777777" w:rsidR="00A76C49" w:rsidRPr="00DD1285" w:rsidRDefault="00A76C49" w:rsidP="00A76C49">
      <w:pPr>
        <w:spacing w:line="240" w:lineRule="auto"/>
        <w:rPr>
          <w:rFonts w:ascii="Arial" w:eastAsiaTheme="minorEastAsia" w:hAnsi="Arial" w:cs="Arial"/>
        </w:rPr>
      </w:pPr>
    </w:p>
    <w:p w14:paraId="730ACDD6" w14:textId="77777777" w:rsidR="00A76C49" w:rsidRPr="00DD1285" w:rsidRDefault="00A76C49" w:rsidP="00A76C49">
      <w:pPr>
        <w:spacing w:line="240" w:lineRule="auto"/>
        <w:rPr>
          <w:rFonts w:ascii="Arial" w:hAnsi="Arial" w:cs="Arial"/>
        </w:rPr>
      </w:pPr>
      <w:r w:rsidRPr="00DD1285">
        <w:rPr>
          <w:rFonts w:ascii="Arial" w:eastAsiaTheme="minorEastAsia" w:hAnsi="Arial" w:cs="Arial"/>
        </w:rPr>
        <w:tab/>
        <w:t>Finally, we re-aggregated from subtype-specific imprinting patterns, to group-specific imprinting patterns. HA group 1 contains seasonal H1, and H2, as well as avian H5, while group 2 contains seasonal H3 and avian H7. Aggregation was performed by summing relevant subtype-specific probabilities.</w:t>
      </w:r>
      <w:r w:rsidRPr="00DD1285">
        <w:rPr>
          <w:rFonts w:ascii="Arial" w:hAnsi="Arial" w:cs="Arial"/>
        </w:rPr>
        <w:t xml:space="preserve"> For example, to obtain the birth year-specific probability of two consecutive matches to group 1, followed by a mismatch to group 1, the following summation was performed, with the subtype-specific imprinting probabilities on the right-hand side given by the right-hand side of equation I.</w:t>
      </w:r>
    </w:p>
    <w:p w14:paraId="00877A04" w14:textId="77777777" w:rsidR="00A76C49" w:rsidRPr="00DD1285" w:rsidRDefault="00A76C49" w:rsidP="00A76C49">
      <w:pPr>
        <w:spacing w:line="240" w:lineRule="auto"/>
        <w:rPr>
          <w:rFonts w:ascii="Arial" w:hAnsi="Arial" w:cs="Arial"/>
        </w:rPr>
      </w:pPr>
    </w:p>
    <w:p w14:paraId="686094E3" w14:textId="77777777" w:rsidR="00A76C49" w:rsidRPr="00DD1285" w:rsidRDefault="00A76C49" w:rsidP="00A76C49">
      <w:pPr>
        <w:spacing w:line="240" w:lineRule="auto"/>
        <w:ind w:left="1440"/>
        <w:rPr>
          <w:rStyle w:val="IntenseEmphasis"/>
          <w:rFonts w:ascii="Arial" w:hAnsi="Arial"/>
        </w:rPr>
      </w:pPr>
      <m:oMath>
        <m:sSub>
          <m:sSubPr>
            <m:ctrlPr>
              <w:rPr>
                <w:rStyle w:val="IntenseEmphasis"/>
                <w:i w:val="0"/>
              </w:rPr>
            </m:ctrlPr>
          </m:sSubPr>
          <m:e>
            <m:r>
              <m:rPr>
                <m:sty m:val="p"/>
              </m:rPr>
              <w:rPr>
                <w:rStyle w:val="IntenseEmphasis"/>
              </w:rPr>
              <m:t>P</m:t>
            </m:r>
          </m:e>
          <m:sub>
            <m:r>
              <m:rPr>
                <m:sty m:val="p"/>
              </m:rPr>
              <w:rPr>
                <w:rStyle w:val="IntenseEmphasis"/>
              </w:rPr>
              <m:t>g1</m:t>
            </m:r>
          </m:sub>
        </m:sSub>
        <m:d>
          <m:dPr>
            <m:ctrlPr>
              <w:rPr>
                <w:rStyle w:val="IntenseEmphasis"/>
                <w:i w:val="0"/>
              </w:rPr>
            </m:ctrlPr>
          </m:dPr>
          <m:e>
            <m:r>
              <m:rPr>
                <m:sty m:val="p"/>
              </m:rPr>
              <w:rPr>
                <w:rStyle w:val="IntenseEmphasis"/>
              </w:rPr>
              <m:t>m,m,o|b</m:t>
            </m:r>
          </m:e>
        </m:d>
        <m:r>
          <m:rPr>
            <m:sty m:val="p"/>
          </m:rPr>
          <w:rPr>
            <w:rStyle w:val="IntenseEmphasis"/>
          </w:rPr>
          <m:t xml:space="preserve">= </m:t>
        </m:r>
        <m:nary>
          <m:naryPr>
            <m:chr m:val="∑"/>
            <m:limLoc m:val="undOvr"/>
            <m:supHide m:val="1"/>
            <m:ctrlPr>
              <w:rPr>
                <w:rStyle w:val="IntenseEmphasis"/>
                <w:i w:val="0"/>
              </w:rPr>
            </m:ctrlPr>
          </m:naryPr>
          <m:sub>
            <m:eqArr>
              <m:eqArrPr>
                <m:ctrlPr>
                  <w:rPr>
                    <w:rStyle w:val="IntenseEmphasis"/>
                    <w:i w:val="0"/>
                  </w:rPr>
                </m:ctrlPr>
              </m:eqArrPr>
              <m:e>
                <m:r>
                  <m:rPr>
                    <m:sty m:val="p"/>
                  </m:rPr>
                  <w:rPr>
                    <w:rStyle w:val="IntenseEmphasis"/>
                  </w:rPr>
                  <m:t>i∈H1, H2</m:t>
                </m:r>
              </m:e>
              <m:e>
                <m:r>
                  <m:rPr>
                    <m:sty m:val="p"/>
                  </m:rPr>
                  <w:rPr>
                    <w:rStyle w:val="IntenseEmphasis"/>
                  </w:rPr>
                  <m:t>j∈H3, naive</m:t>
                </m:r>
              </m:e>
            </m:eqArr>
          </m:sub>
          <m:sup/>
          <m:e>
            <m:r>
              <m:rPr>
                <m:sty m:val="p"/>
              </m:rPr>
              <w:rPr>
                <w:rStyle w:val="IntenseEmphasis"/>
              </w:rPr>
              <m:t>P</m:t>
            </m:r>
            <m:d>
              <m:dPr>
                <m:ctrlPr>
                  <w:rPr>
                    <w:rStyle w:val="IntenseEmphasis"/>
                    <w:i w:val="0"/>
                  </w:rPr>
                </m:ctrlPr>
              </m:dPr>
              <m:e>
                <m:r>
                  <m:rPr>
                    <m:sty m:val="p"/>
                  </m:rPr>
                  <w:rPr>
                    <w:rStyle w:val="IntenseEmphasis"/>
                  </w:rPr>
                  <m:t>i,i,j</m:t>
                </m:r>
              </m:e>
              <m:e>
                <m:r>
                  <m:rPr>
                    <m:sty m:val="p"/>
                  </m:rPr>
                  <w:rPr>
                    <w:rStyle w:val="IntenseEmphasis"/>
                  </w:rPr>
                  <m:t>b</m:t>
                </m:r>
              </m:e>
            </m:d>
          </m:e>
        </m:nary>
      </m:oMath>
      <w:r>
        <w:rPr>
          <w:rStyle w:val="IntenseEmphasis"/>
          <w:rFonts w:ascii="Arial" w:hAnsi="Arial"/>
        </w:rPr>
        <w:tab/>
      </w:r>
      <w:r>
        <w:rPr>
          <w:rStyle w:val="IntenseEmphasis"/>
          <w:rFonts w:ascii="Arial" w:hAnsi="Arial"/>
        </w:rPr>
        <w:tab/>
      </w:r>
      <w:r w:rsidRPr="00DD1285">
        <w:rPr>
          <w:rStyle w:val="IntenseEmphasis"/>
          <w:rFonts w:ascii="Arial" w:hAnsi="Arial"/>
        </w:rPr>
        <w:tab/>
        <w:t>(5)</w:t>
      </w:r>
    </w:p>
    <w:p w14:paraId="5C3CB376" w14:textId="77777777" w:rsidR="00A76C49" w:rsidRPr="00DD1285" w:rsidRDefault="00A76C49" w:rsidP="00A76C49">
      <w:pPr>
        <w:spacing w:line="240" w:lineRule="auto"/>
        <w:ind w:left="1440"/>
        <w:rPr>
          <w:rFonts w:ascii="Arial" w:eastAsiaTheme="minorEastAsia" w:hAnsi="Arial" w:cs="Arial"/>
        </w:rPr>
      </w:pPr>
    </w:p>
    <w:p w14:paraId="1FBDA9DC" w14:textId="7980A916" w:rsidR="00A76C49" w:rsidRPr="00DD1285" w:rsidRDefault="00A76C49" w:rsidP="00A76C49">
      <w:pPr>
        <w:spacing w:line="240" w:lineRule="auto"/>
        <w:rPr>
          <w:rFonts w:ascii="Arial" w:hAnsi="Arial" w:cs="Arial"/>
          <w:iCs/>
        </w:rPr>
      </w:pPr>
      <w:r w:rsidRPr="00DD1285">
        <w:rPr>
          <w:rFonts w:ascii="Arial" w:eastAsiaTheme="minorEastAsia" w:hAnsi="Arial" w:cs="Arial"/>
        </w:rPr>
        <w:tab/>
        <w:t>Using the s</w:t>
      </w:r>
      <w:r>
        <w:rPr>
          <w:rFonts w:ascii="Arial" w:eastAsiaTheme="minorEastAsia" w:hAnsi="Arial" w:cs="Arial"/>
        </w:rPr>
        <w:t>trategy described in equation 5</w:t>
      </w:r>
      <w:r w:rsidRPr="00DD1285">
        <w:rPr>
          <w:rFonts w:ascii="Arial" w:eastAsiaTheme="minorEastAsia" w:hAnsi="Arial" w:cs="Arial"/>
        </w:rPr>
        <w:t xml:space="preserve">, we calculated probabilities of all </w:t>
      </w:r>
      <w:proofErr w:type="gramStart"/>
      <w:r w:rsidRPr="00DD1285">
        <w:rPr>
          <w:rFonts w:ascii="Arial" w:eastAsiaTheme="minorEastAsia" w:hAnsi="Arial" w:cs="Arial"/>
        </w:rPr>
        <w:t>possible group</w:t>
      </w:r>
      <w:proofErr w:type="gramEnd"/>
      <w:r w:rsidRPr="00DD1285">
        <w:rPr>
          <w:rFonts w:ascii="Arial" w:eastAsiaTheme="minorEastAsia" w:hAnsi="Arial" w:cs="Arial"/>
        </w:rPr>
        <w:t xml:space="preserve"> 1 and group 2 imprinting outcomes in the three-hit model, {mmm, </w:t>
      </w:r>
      <w:proofErr w:type="spellStart"/>
      <w:r w:rsidRPr="00DD1285">
        <w:rPr>
          <w:rFonts w:ascii="Arial" w:eastAsiaTheme="minorEastAsia" w:hAnsi="Arial" w:cs="Arial"/>
        </w:rPr>
        <w:t>mmo</w:t>
      </w:r>
      <w:proofErr w:type="spellEnd"/>
      <w:r w:rsidRPr="00DD1285">
        <w:rPr>
          <w:rFonts w:ascii="Arial" w:eastAsiaTheme="minorEastAsia" w:hAnsi="Arial" w:cs="Arial"/>
        </w:rPr>
        <w:t xml:space="preserve">, mom, </w:t>
      </w:r>
      <w:proofErr w:type="spellStart"/>
      <w:r w:rsidRPr="00DD1285">
        <w:rPr>
          <w:rFonts w:ascii="Arial" w:eastAsiaTheme="minorEastAsia" w:hAnsi="Arial" w:cs="Arial"/>
        </w:rPr>
        <w:t>omm</w:t>
      </w:r>
      <w:proofErr w:type="spellEnd"/>
      <w:r w:rsidRPr="00DD1285">
        <w:rPr>
          <w:rFonts w:ascii="Arial" w:eastAsiaTheme="minorEastAsia" w:hAnsi="Arial" w:cs="Arial"/>
        </w:rPr>
        <w:t xml:space="preserve">, moo, </w:t>
      </w:r>
      <w:proofErr w:type="spellStart"/>
      <w:r w:rsidRPr="00DD1285">
        <w:rPr>
          <w:rFonts w:ascii="Arial" w:eastAsiaTheme="minorEastAsia" w:hAnsi="Arial" w:cs="Arial"/>
        </w:rPr>
        <w:t>omo</w:t>
      </w:r>
      <w:proofErr w:type="spellEnd"/>
      <w:r w:rsidRPr="00DD1285">
        <w:rPr>
          <w:rFonts w:ascii="Arial" w:eastAsiaTheme="minorEastAsia" w:hAnsi="Arial" w:cs="Arial"/>
        </w:rPr>
        <w:t xml:space="preserve">, </w:t>
      </w:r>
      <w:proofErr w:type="spellStart"/>
      <w:r w:rsidRPr="00DD1285">
        <w:rPr>
          <w:rFonts w:ascii="Arial" w:eastAsiaTheme="minorEastAsia" w:hAnsi="Arial" w:cs="Arial"/>
        </w:rPr>
        <w:t>oom</w:t>
      </w:r>
      <w:proofErr w:type="spellEnd"/>
      <w:r w:rsidRPr="00DD1285">
        <w:rPr>
          <w:rFonts w:ascii="Arial" w:eastAsiaTheme="minorEastAsia" w:hAnsi="Arial" w:cs="Arial"/>
        </w:rPr>
        <w:t xml:space="preserve">, </w:t>
      </w:r>
      <w:proofErr w:type="spellStart"/>
      <w:r w:rsidRPr="00DD1285">
        <w:rPr>
          <w:rFonts w:ascii="Arial" w:eastAsiaTheme="minorEastAsia" w:hAnsi="Arial" w:cs="Arial"/>
        </w:rPr>
        <w:t>ooo</w:t>
      </w:r>
      <w:proofErr w:type="spellEnd"/>
      <w:r w:rsidRPr="00DD1285">
        <w:rPr>
          <w:rFonts w:ascii="Arial" w:eastAsiaTheme="minorEastAsia" w:hAnsi="Arial" w:cs="Arial"/>
        </w:rPr>
        <w:t>}</w:t>
      </w:r>
      <w:r w:rsidRPr="00DD1285">
        <w:rPr>
          <w:rFonts w:ascii="Arial" w:eastAsiaTheme="minorEastAsia" w:hAnsi="Arial" w:cs="Arial"/>
          <w:vertAlign w:val="subscript"/>
        </w:rPr>
        <w:t>g1</w:t>
      </w:r>
      <w:r w:rsidRPr="00DD1285">
        <w:rPr>
          <w:rFonts w:ascii="Arial" w:eastAsiaTheme="minorEastAsia" w:hAnsi="Arial" w:cs="Arial"/>
        </w:rPr>
        <w:t xml:space="preserve">, and {mmm, </w:t>
      </w:r>
      <w:proofErr w:type="spellStart"/>
      <w:r w:rsidRPr="00DD1285">
        <w:rPr>
          <w:rFonts w:ascii="Arial" w:eastAsiaTheme="minorEastAsia" w:hAnsi="Arial" w:cs="Arial"/>
        </w:rPr>
        <w:t>mmo</w:t>
      </w:r>
      <w:proofErr w:type="spellEnd"/>
      <w:r w:rsidRPr="00DD1285">
        <w:rPr>
          <w:rFonts w:ascii="Arial" w:eastAsiaTheme="minorEastAsia" w:hAnsi="Arial" w:cs="Arial"/>
        </w:rPr>
        <w:t xml:space="preserve">, mom, </w:t>
      </w:r>
      <w:proofErr w:type="spellStart"/>
      <w:r w:rsidRPr="00DD1285">
        <w:rPr>
          <w:rFonts w:ascii="Arial" w:eastAsiaTheme="minorEastAsia" w:hAnsi="Arial" w:cs="Arial"/>
        </w:rPr>
        <w:t>omm</w:t>
      </w:r>
      <w:proofErr w:type="spellEnd"/>
      <w:r w:rsidRPr="00DD1285">
        <w:rPr>
          <w:rFonts w:ascii="Arial" w:eastAsiaTheme="minorEastAsia" w:hAnsi="Arial" w:cs="Arial"/>
        </w:rPr>
        <w:t xml:space="preserve">, moo, </w:t>
      </w:r>
      <w:proofErr w:type="spellStart"/>
      <w:r w:rsidRPr="00DD1285">
        <w:rPr>
          <w:rFonts w:ascii="Arial" w:eastAsiaTheme="minorEastAsia" w:hAnsi="Arial" w:cs="Arial"/>
        </w:rPr>
        <w:t>omo</w:t>
      </w:r>
      <w:proofErr w:type="spellEnd"/>
      <w:r w:rsidRPr="00DD1285">
        <w:rPr>
          <w:rFonts w:ascii="Arial" w:eastAsiaTheme="minorEastAsia" w:hAnsi="Arial" w:cs="Arial"/>
        </w:rPr>
        <w:t xml:space="preserve">, </w:t>
      </w:r>
      <w:proofErr w:type="spellStart"/>
      <w:r w:rsidRPr="00DD1285">
        <w:rPr>
          <w:rFonts w:ascii="Arial" w:eastAsiaTheme="minorEastAsia" w:hAnsi="Arial" w:cs="Arial"/>
        </w:rPr>
        <w:t>oom</w:t>
      </w:r>
      <w:proofErr w:type="spellEnd"/>
      <w:r w:rsidRPr="00DD1285">
        <w:rPr>
          <w:rFonts w:ascii="Arial" w:eastAsiaTheme="minorEastAsia" w:hAnsi="Arial" w:cs="Arial"/>
        </w:rPr>
        <w:t xml:space="preserve">, </w:t>
      </w:r>
      <w:proofErr w:type="spellStart"/>
      <w:r w:rsidRPr="00DD1285">
        <w:rPr>
          <w:rFonts w:ascii="Arial" w:eastAsiaTheme="minorEastAsia" w:hAnsi="Arial" w:cs="Arial"/>
        </w:rPr>
        <w:t>ooo</w:t>
      </w:r>
      <w:proofErr w:type="spellEnd"/>
      <w:r w:rsidRPr="00DD1285">
        <w:rPr>
          <w:rFonts w:ascii="Arial" w:eastAsiaTheme="minorEastAsia" w:hAnsi="Arial" w:cs="Arial"/>
        </w:rPr>
        <w:t>}</w:t>
      </w:r>
      <w:r w:rsidRPr="00DD1285">
        <w:rPr>
          <w:rFonts w:ascii="Arial" w:eastAsiaTheme="minorEastAsia" w:hAnsi="Arial" w:cs="Arial"/>
          <w:vertAlign w:val="subscript"/>
        </w:rPr>
        <w:t>g2</w:t>
      </w:r>
      <w:r w:rsidRPr="00DD1285">
        <w:rPr>
          <w:rFonts w:ascii="Arial" w:eastAsiaTheme="minorEastAsia" w:hAnsi="Arial" w:cs="Arial"/>
        </w:rPr>
        <w:t xml:space="preserve">,and for each individual year of birth from 1918 to 2017. Each probability was entered into vector </w:t>
      </w:r>
      <w:proofErr w:type="spellStart"/>
      <w:r w:rsidRPr="00DD1285">
        <w:rPr>
          <w:rFonts w:ascii="Arial" w:hAnsi="Arial" w:cs="Arial"/>
        </w:rPr>
        <w:t>w</w:t>
      </w:r>
      <w:r w:rsidRPr="00DD1285">
        <w:rPr>
          <w:rFonts w:ascii="Arial" w:hAnsi="Arial" w:cs="Arial"/>
          <w:i/>
          <w:vertAlign w:val="subscript"/>
        </w:rPr>
        <w:t>xxx</w:t>
      </w:r>
      <w:proofErr w:type="spellEnd"/>
      <w:r w:rsidRPr="00DD1285">
        <w:rPr>
          <w:rFonts w:ascii="Arial" w:hAnsi="Arial" w:cs="Arial"/>
          <w:iCs/>
        </w:rPr>
        <w:t>, whose entries</w:t>
      </w:r>
      <w:r>
        <w:rPr>
          <w:rFonts w:ascii="Arial" w:hAnsi="Arial" w:cs="Arial"/>
          <w:iCs/>
        </w:rPr>
        <w:t xml:space="preserve">, </w:t>
      </w:r>
      <w:proofErr w:type="spellStart"/>
      <w:r w:rsidRPr="00DD1285">
        <w:rPr>
          <w:rFonts w:ascii="Arial" w:hAnsi="Arial" w:cs="Arial"/>
        </w:rPr>
        <w:t>w</w:t>
      </w:r>
      <w:r w:rsidRPr="00A76C49">
        <w:rPr>
          <w:rFonts w:ascii="Arial" w:hAnsi="Arial" w:cs="Arial"/>
          <w:vertAlign w:val="subscript"/>
        </w:rPr>
        <w:t>b,</w:t>
      </w:r>
      <w:r w:rsidRPr="00DD1285">
        <w:rPr>
          <w:rFonts w:ascii="Arial" w:hAnsi="Arial" w:cs="Arial"/>
          <w:i/>
          <w:vertAlign w:val="subscript"/>
        </w:rPr>
        <w:t>xxx</w:t>
      </w:r>
      <w:proofErr w:type="spellEnd"/>
      <w:r>
        <w:rPr>
          <w:rFonts w:ascii="Arial" w:hAnsi="Arial" w:cs="Arial"/>
          <w:iCs/>
        </w:rPr>
        <w:t xml:space="preserve">, </w:t>
      </w:r>
      <w:r w:rsidRPr="00DD1285">
        <w:rPr>
          <w:rFonts w:ascii="Arial" w:hAnsi="Arial" w:cs="Arial"/>
          <w:iCs/>
        </w:rPr>
        <w:t xml:space="preserve">described the expected fraction of individuals of imprinting status </w:t>
      </w:r>
      <w:r w:rsidRPr="00DD1285">
        <w:rPr>
          <w:rFonts w:ascii="Arial" w:hAnsi="Arial" w:cs="Arial"/>
          <w:i/>
          <w:iCs/>
        </w:rPr>
        <w:t xml:space="preserve">xxx </w:t>
      </w:r>
      <w:r w:rsidRPr="00DD1285">
        <w:rPr>
          <w:rFonts w:ascii="Arial" w:hAnsi="Arial" w:cs="Arial"/>
          <w:iCs/>
        </w:rPr>
        <w:t xml:space="preserve">within </w:t>
      </w:r>
      <w:r>
        <w:rPr>
          <w:rFonts w:ascii="Arial" w:hAnsi="Arial" w:cs="Arial"/>
          <w:iCs/>
        </w:rPr>
        <w:t>a given birth year</w:t>
      </w:r>
      <w:r w:rsidRPr="00DD1285">
        <w:rPr>
          <w:rFonts w:ascii="Arial" w:hAnsi="Arial" w:cs="Arial"/>
          <w:iCs/>
        </w:rPr>
        <w:t xml:space="preserve">. Note that </w:t>
      </w:r>
      <m:oMath>
        <m:nary>
          <m:naryPr>
            <m:chr m:val="∑"/>
            <m:limLoc m:val="undOvr"/>
            <m:subHide m:val="1"/>
            <m:supHide m:val="1"/>
            <m:ctrlPr>
              <w:rPr>
                <w:rFonts w:ascii="Cambria Math" w:hAnsi="Cambria Math" w:cs="Arial"/>
                <w:i/>
                <w:vertAlign w:val="subscript"/>
              </w:rPr>
            </m:ctrlPr>
          </m:naryPr>
          <m:sub/>
          <m:sup/>
          <m:e>
            <m:sSub>
              <m:sSubPr>
                <m:ctrlPr>
                  <w:rPr>
                    <w:rFonts w:ascii="Cambria Math" w:hAnsi="Cambria Math" w:cs="Arial"/>
                    <w:i/>
                    <w:vertAlign w:val="subscript"/>
                  </w:rPr>
                </m:ctrlPr>
              </m:sSubPr>
              <m:e>
                <m:r>
                  <w:rPr>
                    <w:rFonts w:ascii="Cambria Math" w:hAnsi="Cambria Math" w:cs="Arial"/>
                    <w:vertAlign w:val="subscript"/>
                  </w:rPr>
                  <m:t>w</m:t>
                </m:r>
              </m:e>
              <m:sub>
                <m:r>
                  <w:rPr>
                    <w:rFonts w:ascii="Cambria Math" w:hAnsi="Cambria Math" w:cs="Arial"/>
                    <w:vertAlign w:val="subscript"/>
                  </w:rPr>
                  <m:t>xxx</m:t>
                </m:r>
              </m:sub>
            </m:sSub>
          </m:e>
        </m:nary>
        <m:r>
          <w:rPr>
            <w:rFonts w:ascii="Cambria Math" w:hAnsi="Cambria Math" w:cs="Arial"/>
          </w:rPr>
          <m:t xml:space="preserve">= </m:t>
        </m:r>
        <m:acc>
          <m:accPr>
            <m:chr m:val="⃑"/>
            <m:ctrlPr>
              <w:rPr>
                <w:rFonts w:ascii="Cambria Math" w:hAnsi="Cambria Math" w:cs="Arial"/>
                <w:i/>
                <w:iCs/>
              </w:rPr>
            </m:ctrlPr>
          </m:accPr>
          <m:e>
            <m:r>
              <w:rPr>
                <w:rFonts w:ascii="Cambria Math" w:hAnsi="Cambria Math" w:cs="Arial"/>
              </w:rPr>
              <m:t>1</m:t>
            </m:r>
          </m:e>
        </m:acc>
      </m:oMath>
      <w:r w:rsidRPr="00DD1285">
        <w:rPr>
          <w:rFonts w:ascii="Arial" w:hAnsi="Arial" w:cs="Arial"/>
          <w:i/>
          <w:iCs/>
        </w:rPr>
        <w:t xml:space="preserve">, </w:t>
      </w:r>
      <w:r w:rsidRPr="00DD1285">
        <w:rPr>
          <w:rFonts w:ascii="Arial" w:hAnsi="Arial" w:cs="Arial"/>
          <w:iCs/>
        </w:rPr>
        <w:t>as 100% of the population falls into one of the 8 possible imprinting classifications listed above upon challenge with a given HA group.</w:t>
      </w:r>
    </w:p>
    <w:p w14:paraId="4A2A174A" w14:textId="34361B5C" w:rsidR="00A76C49" w:rsidRPr="00DD1285" w:rsidRDefault="00A76C49" w:rsidP="00A76C49">
      <w:pPr>
        <w:spacing w:line="240" w:lineRule="auto"/>
        <w:rPr>
          <w:rFonts w:ascii="Arial" w:hAnsi="Arial" w:cs="Arial"/>
        </w:rPr>
      </w:pPr>
      <w:r w:rsidRPr="00DD1285">
        <w:rPr>
          <w:rFonts w:ascii="Arial" w:hAnsi="Arial" w:cs="Arial"/>
          <w:iCs/>
        </w:rPr>
        <w:tab/>
        <w:t xml:space="preserve">To obtain imprinting probabilities in simpler models, we summed across all </w:t>
      </w:r>
      <w:proofErr w:type="gramStart"/>
      <w:r w:rsidRPr="00DD1285">
        <w:rPr>
          <w:rFonts w:ascii="Arial" w:hAnsi="Arial" w:cs="Arial"/>
          <w:iCs/>
        </w:rPr>
        <w:t>possible outcomes</w:t>
      </w:r>
      <w:proofErr w:type="gramEnd"/>
      <w:r w:rsidRPr="00DD1285">
        <w:rPr>
          <w:rFonts w:ascii="Arial" w:hAnsi="Arial" w:cs="Arial"/>
          <w:iCs/>
        </w:rPr>
        <w:t xml:space="preserve"> at later, unmodeled exposures. For example,</w:t>
      </w:r>
      <w:r>
        <w:rPr>
          <w:rFonts w:ascii="Arial" w:hAnsi="Arial" w:cs="Arial"/>
          <w:iCs/>
        </w:rPr>
        <w:t xml:space="preserve"> in the two-hit model,</w:t>
      </w:r>
      <w:r w:rsidRPr="00DD1285">
        <w:rPr>
          <w:rFonts w:ascii="Arial" w:hAnsi="Arial" w:cs="Arial"/>
          <w:iCs/>
        </w:rPr>
        <w:t xml:space="preserve"> </w:t>
      </w:r>
      <m:oMath>
        <m:sSub>
          <m:sSubPr>
            <m:ctrlPr>
              <w:rPr>
                <w:rFonts w:ascii="Cambria Math" w:hAnsi="Cambria Math" w:cs="Arial"/>
                <w:i/>
                <w:iCs/>
              </w:rPr>
            </m:ctrlPr>
          </m:sSubPr>
          <m:e>
            <m:r>
              <w:rPr>
                <w:rFonts w:ascii="Cambria Math" w:hAnsi="Cambria Math" w:cs="Arial"/>
              </w:rPr>
              <m:t>w</m:t>
            </m:r>
          </m:e>
          <m:sub>
            <m:r>
              <w:rPr>
                <w:rFonts w:ascii="Cambria Math" w:hAnsi="Cambria Math" w:cs="Arial"/>
              </w:rPr>
              <m:t>mm</m:t>
            </m:r>
          </m:sub>
        </m:sSub>
        <m:r>
          <w:rPr>
            <w:rFonts w:ascii="Cambria Math" w:hAnsi="Cambria Math" w:cs="Arial"/>
          </w:rPr>
          <m:t>=</m:t>
        </m:r>
        <m:sSub>
          <m:sSubPr>
            <m:ctrlPr>
              <w:rPr>
                <w:rFonts w:ascii="Cambria Math" w:hAnsi="Cambria Math" w:cs="Arial"/>
                <w:i/>
                <w:iCs/>
              </w:rPr>
            </m:ctrlPr>
          </m:sSubPr>
          <m:e>
            <m:r>
              <w:rPr>
                <w:rFonts w:ascii="Cambria Math" w:hAnsi="Cambria Math" w:cs="Arial"/>
              </w:rPr>
              <m:t>w</m:t>
            </m:r>
          </m:e>
          <m:sub>
            <m:r>
              <w:rPr>
                <w:rFonts w:ascii="Cambria Math" w:hAnsi="Cambria Math" w:cs="Arial"/>
              </w:rPr>
              <m:t>mmm</m:t>
            </m:r>
          </m:sub>
        </m:sSub>
        <m:r>
          <w:rPr>
            <w:rFonts w:ascii="Cambria Math" w:hAnsi="Cambria Math" w:cs="Arial"/>
          </w:rPr>
          <m:t>+</m:t>
        </m:r>
        <m:sSub>
          <m:sSubPr>
            <m:ctrlPr>
              <w:rPr>
                <w:rFonts w:ascii="Cambria Math" w:hAnsi="Cambria Math" w:cs="Arial"/>
                <w:i/>
                <w:iCs/>
              </w:rPr>
            </m:ctrlPr>
          </m:sSubPr>
          <m:e>
            <m:r>
              <w:rPr>
                <w:rFonts w:ascii="Cambria Math" w:hAnsi="Cambria Math" w:cs="Arial"/>
              </w:rPr>
              <m:t>w</m:t>
            </m:r>
          </m:e>
          <m:sub>
            <m:r>
              <w:rPr>
                <w:rFonts w:ascii="Cambria Math" w:hAnsi="Cambria Math" w:cs="Arial"/>
              </w:rPr>
              <m:t>mmo</m:t>
            </m:r>
          </m:sub>
        </m:sSub>
      </m:oMath>
      <w:r>
        <w:rPr>
          <w:rFonts w:ascii="Arial" w:eastAsiaTheme="minorEastAsia" w:hAnsi="Arial" w:cs="Arial"/>
          <w:iCs/>
        </w:rPr>
        <w:t xml:space="preserve">. The </w:t>
      </w:r>
      <w:r w:rsidRPr="00DD1285">
        <w:rPr>
          <w:rFonts w:ascii="Arial" w:eastAsiaTheme="minorEastAsia" w:hAnsi="Arial" w:cs="Arial"/>
          <w:iCs/>
        </w:rPr>
        <w:t xml:space="preserve">outcome at the third exposure is </w:t>
      </w:r>
      <w:r>
        <w:rPr>
          <w:rFonts w:ascii="Arial" w:eastAsiaTheme="minorEastAsia" w:hAnsi="Arial" w:cs="Arial"/>
          <w:iCs/>
        </w:rPr>
        <w:t>irrelevant in the two-hit model, so we can simply sum across all three-hit outcomes in which the first two exposures align with the desired two-hit outcome.</w:t>
      </w:r>
      <w:bookmarkStart w:id="1" w:name="_GoBack"/>
      <w:bookmarkEnd w:id="1"/>
    </w:p>
    <w:p w14:paraId="089B6A38" w14:textId="77777777" w:rsidR="00047A8E" w:rsidRDefault="003B41D9"/>
    <w:sectPr w:rsidR="00047A8E" w:rsidSect="004840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8-09-25T14:27:00Z" w:initials="KG">
    <w:p w14:paraId="4BCC5ED4" w14:textId="77777777" w:rsidR="00A76C49" w:rsidRDefault="00A76C49" w:rsidP="00A76C49">
      <w:pPr>
        <w:pStyle w:val="CommentText"/>
      </w:pPr>
      <w:r>
        <w:rPr>
          <w:rStyle w:val="CommentReference"/>
        </w:rPr>
        <w:annotationRef/>
      </w:r>
      <w:r>
        <w:t>TMI?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CC5E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C5ED4" w16cid:durableId="1F54C4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Windows Live" w15:userId="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49"/>
    <w:rsid w:val="00044271"/>
    <w:rsid w:val="003175A4"/>
    <w:rsid w:val="003B41D9"/>
    <w:rsid w:val="004840A3"/>
    <w:rsid w:val="00A76C49"/>
    <w:rsid w:val="00C0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F34F3"/>
  <w15:chartTrackingRefBased/>
  <w15:docId w15:val="{D8550A28-0437-A64A-844D-BA45A332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C49"/>
    <w:pPr>
      <w:spacing w:line="480" w:lineRule="auto"/>
    </w:pPr>
  </w:style>
  <w:style w:type="paragraph" w:styleId="Heading1">
    <w:name w:val="heading 1"/>
    <w:basedOn w:val="Normal"/>
    <w:next w:val="Normal"/>
    <w:link w:val="Heading1Char"/>
    <w:uiPriority w:val="9"/>
    <w:qFormat/>
    <w:rsid w:val="00A76C49"/>
    <w:pPr>
      <w:jc w:val="center"/>
      <w:outlineLvl w:val="0"/>
    </w:pPr>
    <w:rPr>
      <w:rFonts w:ascii="Arial" w:hAnsi="Arial" w:cs="Arial"/>
      <w:b/>
      <w:sz w:val="28"/>
    </w:rPr>
  </w:style>
  <w:style w:type="paragraph" w:styleId="Heading2">
    <w:name w:val="heading 2"/>
    <w:basedOn w:val="Normal"/>
    <w:next w:val="Normal"/>
    <w:link w:val="Heading2Char"/>
    <w:uiPriority w:val="9"/>
    <w:unhideWhenUsed/>
    <w:qFormat/>
    <w:rsid w:val="00A76C4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76C49"/>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C49"/>
    <w:rPr>
      <w:rFonts w:ascii="Arial" w:hAnsi="Arial" w:cs="Arial"/>
      <w:b/>
      <w:sz w:val="28"/>
    </w:rPr>
  </w:style>
  <w:style w:type="character" w:customStyle="1" w:styleId="Heading2Char">
    <w:name w:val="Heading 2 Char"/>
    <w:basedOn w:val="DefaultParagraphFont"/>
    <w:link w:val="Heading2"/>
    <w:uiPriority w:val="9"/>
    <w:rsid w:val="00A76C4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76C49"/>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A76C49"/>
    <w:rPr>
      <w:sz w:val="16"/>
      <w:szCs w:val="16"/>
    </w:rPr>
  </w:style>
  <w:style w:type="paragraph" w:styleId="CommentText">
    <w:name w:val="annotation text"/>
    <w:basedOn w:val="Normal"/>
    <w:link w:val="CommentTextChar"/>
    <w:uiPriority w:val="99"/>
    <w:unhideWhenUsed/>
    <w:rsid w:val="00A76C49"/>
    <w:rPr>
      <w:sz w:val="20"/>
      <w:szCs w:val="20"/>
    </w:rPr>
  </w:style>
  <w:style w:type="character" w:customStyle="1" w:styleId="CommentTextChar">
    <w:name w:val="Comment Text Char"/>
    <w:basedOn w:val="DefaultParagraphFont"/>
    <w:link w:val="CommentText"/>
    <w:uiPriority w:val="99"/>
    <w:rsid w:val="00A76C49"/>
    <w:rPr>
      <w:sz w:val="20"/>
      <w:szCs w:val="20"/>
    </w:rPr>
  </w:style>
  <w:style w:type="character" w:styleId="IntenseEmphasis">
    <w:name w:val="Intense Emphasis"/>
    <w:aliases w:val="Equation"/>
    <w:uiPriority w:val="21"/>
    <w:qFormat/>
    <w:rsid w:val="00A76C49"/>
    <w:rPr>
      <w:rFonts w:ascii="Cambria Math" w:hAnsi="Cambria Math" w:cs="Arial"/>
      <w:i/>
    </w:rPr>
  </w:style>
  <w:style w:type="paragraph" w:styleId="BalloonText">
    <w:name w:val="Balloon Text"/>
    <w:basedOn w:val="Normal"/>
    <w:link w:val="BalloonTextChar"/>
    <w:uiPriority w:val="99"/>
    <w:semiHidden/>
    <w:unhideWhenUsed/>
    <w:rsid w:val="00A76C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C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cp:revision>
  <dcterms:created xsi:type="dcterms:W3CDTF">2018-10-26T19:20:00Z</dcterms:created>
  <dcterms:modified xsi:type="dcterms:W3CDTF">2018-10-26T19:20:00Z</dcterms:modified>
</cp:coreProperties>
</file>