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0A1628"/>
          <w:sz w:val="48"/>
          <w:szCs w:val="48"/>
        </w:rPr>
        <w:t xml:space="preserve">Automated Clinical Routing Navigator</w:t>
      </w:r>
    </w:p>
    <w:p>
      <w:pPr>
        <w:spacing w:after="60" w:before="0"/>
      </w:pPr>
      <w:r>
        <w:rPr>
          <w:rFonts w:ascii="Arial" w:cs="Arial" w:eastAsia="Arial" w:hAnsi="Arial"/>
          <w:color w:val="1A5276"/>
          <w:sz w:val="26"/>
          <w:szCs w:val="26"/>
        </w:rPr>
        <w:t xml:space="preserve">Strategic Brief &amp; Technical Rationale</w:t>
      </w:r>
    </w:p>
    <w:p>
      <w:pPr>
        <w:spacing w:after="200" w:before="0"/>
      </w:pPr>
      <w:r>
        <w:rPr>
          <w:rFonts w:ascii="Arial" w:cs="Arial" w:eastAsia="Arial" w:hAnsi="Arial"/>
          <w:color w:val="AEB6BF"/>
          <w:sz w:val="18"/>
          <w:szCs w:val="18"/>
        </w:rPr>
        <w:t>Prepared for Carrum Health  |  April 2026  |  Applied AI PM — Technical Case Study</w:t>
      </w:r>
    </w:p>
    <w:p>
      <w:pPr>
        <w:pBdr>
          <w:bottom w:val="single" w:color="0A1628" w:sz="12" w:space="1"/>
        </w:pBdr>
        <w:spacing w:after="100" w:before="100"/>
      </w:pPr>
    </w:p>
    <w:p>
      <w:pPr>
        <w:pBdr>
          <w:bottom w:val="single" w:color="1A5276" w:sz="4" w:space="2"/>
        </w:pBdr>
        <w:spacing w:after="80" w:before="320"/>
      </w:pPr>
      <w:r>
        <w:rPr>
          <w:rFonts w:ascii="Arial" w:cs="Arial" w:eastAsia="Arial" w:hAnsi="Arial"/>
          <w:b/>
          <w:bCs/>
          <w:color w:val="1A5276"/>
          <w:spacing w:val="40"/>
          <w:sz w:val="18"/>
          <w:szCs w:val="18"/>
        </w:rPr>
        <w:t xml:space="preserve">EXECUTIVE SUMMARY</w:t>
      </w:r>
    </w:p>
    <w:p>
      <w:pPr>
        <w:spacing w:after="80" w:before="80"/>
      </w:pPr>
      <w:r>
        <w:rPr>
          <w:rFonts w:ascii="Arial" w:cs="Arial" w:eastAsia="Arial" w:hAnsi="Arial"/>
          <w:color w:val="1C2833"/>
          <w:sz w:val="21"/>
          <w:szCs w:val="21"/>
        </w:rPr>
        <w:t xml:space="preserve">The Automated Clinical Routing Navigator is a protocol-driven decision-support tool that eliminates manual SOP cross-referencing for the Carrum Care Team. By separating the extraction of clinical facts from the application of deterministic routing rules, the system delivers consistent, auditable, and scalable patient triage at volume — while keeping a human navigator firmly in the loop before any routing decision is committed.</w:t>
      </w:r>
    </w:p>
    <w:p>
      <w:pPr>
        <w:pBdr>
          <w:bottom w:val="single" w:color="1A5276" w:sz="4" w:space="2"/>
        </w:pBdr>
        <w:spacing w:after="80" w:before="320"/>
      </w:pPr>
      <w:r>
        <w:rPr>
          <w:rFonts w:ascii="Arial" w:cs="Arial" w:eastAsia="Arial" w:hAnsi="Arial"/>
          <w:b/>
          <w:bCs/>
          <w:color w:val="1A5276"/>
          <w:spacing w:val="40"/>
          <w:sz w:val="18"/>
          <w:szCs w:val="18"/>
        </w:rPr>
        <w:t xml:space="preserve">PROBLEM STATEMENT</w:t>
      </w:r>
    </w:p>
    <w:p>
      <w:pPr>
        <w:spacing w:after="80" w:before="80"/>
      </w:pPr>
      <w:r>
        <w:rPr>
          <w:rFonts w:ascii="Arial" w:cs="Arial" w:eastAsia="Arial" w:hAnsi="Arial"/>
          <w:color w:val="1C2833"/>
          <w:sz w:val="21"/>
          <w:szCs w:val="21"/>
        </w:rPr>
        <w:t>The Carrum Care Team manually cross-references each patient transcript against a multi-specialty SOP table to determine surgical eligibility and required actions. At volume, this process is slow, inconsistent, and produces no auditable record of which rule drove each routing decision. The table below summarizes the current-state pain points and the outcomes this system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D6EAF8" w:val="clear"/>
            <w:tcMar>
              <w:top w:type="dxa" w:w="120"/>
              <w:left w:type="dxa" w:w="160"/>
              <w:bottom w:type="dxa" w:w="120"/>
              <w:right w:type="dxa" w:w="160"/>
            </w:tcMar>
          </w:tcPr>
          <w:p>
            <w:pPr>
              <w:spacing w:after="60"/>
            </w:pPr>
            <w:r>
              <w:rPr>
                <w:rFonts w:ascii="Arial" w:cs="Arial" w:eastAsia="Arial" w:hAnsi="Arial"/>
                <w:b/>
                <w:bCs/>
                <w:color w:val="0A1628"/>
                <w:sz w:val="20"/>
                <w:szCs w:val="20"/>
              </w:rPr>
              <w:t xml:space="preserve">Current State Pain Points</w:t>
            </w:r>
          </w:p>
          <w:p>
            <w:pPr>
              <w:pStyle w:val="ListParagraph"/>
              <w:numPr>
                <w:ilvl w:val="0"/>
                <w:numId w:val="2"/>
              </w:numPr>
              <w:spacing w:after="30" w:before="40"/>
            </w:pPr>
            <w:r>
              <w:rPr>
                <w:rFonts w:ascii="Arial" w:cs="Arial" w:eastAsia="Arial" w:hAnsi="Arial"/>
                <w:color w:val="1C2833"/>
                <w:sz w:val="19"/>
                <w:szCs w:val="19"/>
              </w:rPr>
              <w:t xml:space="preserve">Unstructured transcript data requires manual review</w:t>
            </w:r>
          </w:p>
          <w:p>
            <w:pPr>
              <w:pStyle w:val="ListParagraph"/>
              <w:numPr>
                <w:ilvl w:val="0"/>
                <w:numId w:val="2"/>
              </w:numPr>
              <w:spacing w:after="30" w:before="30"/>
            </w:pPr>
            <w:r>
              <w:rPr>
                <w:rFonts w:ascii="Arial" w:cs="Arial" w:eastAsia="Arial" w:hAnsi="Arial"/>
                <w:color w:val="1C2833"/>
                <w:sz w:val="19"/>
                <w:szCs w:val="19"/>
              </w:rPr>
              <w:t xml:space="preserve">SOP matching is error-prone at scale</w:t>
            </w:r>
          </w:p>
          <w:p>
            <w:pPr>
              <w:pStyle w:val="ListParagraph"/>
              <w:numPr>
                <w:ilvl w:val="0"/>
                <w:numId w:val="2"/>
              </w:numPr>
              <w:spacing w:after="30" w:before="30"/>
            </w:pPr>
            <w:r>
              <w:rPr>
                <w:rFonts w:ascii="Arial" w:cs="Arial" w:eastAsia="Arial" w:hAnsi="Arial"/>
                <w:color w:val="1C2833"/>
                <w:sz w:val="19"/>
                <w:szCs w:val="19"/>
              </w:rPr>
              <w:t xml:space="preserve">Bottlenecks delay patient throughput</w:t>
            </w:r>
          </w:p>
          <w:p>
            <w:pPr>
              <w:pStyle w:val="ListParagraph"/>
              <w:numPr>
                <w:ilvl w:val="0"/>
                <w:numId w:val="2"/>
              </w:numPr>
              <w:spacing w:after="30" w:before="30"/>
            </w:pPr>
            <w:r>
              <w:rPr>
                <w:rFonts w:ascii="Arial" w:cs="Arial" w:eastAsia="Arial" w:hAnsi="Arial"/>
                <w:color w:val="1C2833"/>
                <w:sz w:val="19"/>
                <w:szCs w:val="19"/>
              </w:rPr>
              <w:t xml:space="preserve">No consistent audit trail per routing decision</w:t>
            </w:r>
          </w:p>
        </w:tc>
        <w:tc>
          <w:tcPr>
            <w:tcW w:type="dxa" w:w="4680"/>
            <w:tcBorders>
              <w:top w:val="single" w:color="D5D8DC" w:sz="1"/>
              <w:left w:val="single" w:color="D5D8DC" w:sz="1"/>
              <w:bottom w:val="single" w:color="D5D8DC" w:sz="1"/>
              <w:right w:val="single" w:color="D5D8DC" w:sz="1"/>
            </w:tcBorders>
            <w:shd w:fill="F2F3F4" w:val="clear"/>
            <w:tcMar>
              <w:top w:type="dxa" w:w="120"/>
              <w:left w:type="dxa" w:w="160"/>
              <w:bottom w:type="dxa" w:w="120"/>
              <w:right w:type="dxa" w:w="160"/>
            </w:tcMar>
          </w:tcPr>
          <w:p>
            <w:pPr>
              <w:spacing w:after="60"/>
            </w:pPr>
            <w:r>
              <w:rPr>
                <w:rFonts w:ascii="Arial" w:cs="Arial" w:eastAsia="Arial" w:hAnsi="Arial"/>
                <w:b/>
                <w:bCs/>
                <w:color w:val="0A1628"/>
                <w:sz w:val="20"/>
                <w:szCs w:val="20"/>
              </w:rPr>
              <w:t xml:space="preserve">Solution Outcomes</w:t>
            </w:r>
          </w:p>
          <w:p>
            <w:pPr>
              <w:pStyle w:val="ListParagraph"/>
              <w:numPr>
                <w:ilvl w:val="0"/>
                <w:numId w:val="2"/>
              </w:numPr>
              <w:spacing w:after="30" w:before="40"/>
            </w:pPr>
            <w:r>
              <w:rPr>
                <w:rFonts w:ascii="Arial" w:cs="Arial" w:eastAsia="Arial" w:hAnsi="Arial"/>
                <w:color w:val="1C2833"/>
                <w:sz w:val="19"/>
                <w:szCs w:val="19"/>
              </w:rPr>
              <w:t xml:space="preserve">Structured JSON from raw transcripts in seconds</w:t>
            </w:r>
          </w:p>
          <w:p>
            <w:pPr>
              <w:pStyle w:val="ListParagraph"/>
              <w:numPr>
                <w:ilvl w:val="0"/>
                <w:numId w:val="2"/>
              </w:numPr>
              <w:spacing w:after="30" w:before="30"/>
            </w:pPr>
            <w:r>
              <w:rPr>
                <w:rFonts w:ascii="Arial" w:cs="Arial" w:eastAsia="Arial" w:hAnsi="Arial"/>
                <w:color w:val="1C2833"/>
                <w:sz w:val="19"/>
                <w:szCs w:val="19"/>
              </w:rPr>
              <w:t xml:space="preserve">100% consistent SOP rule application</w:t>
            </w:r>
          </w:p>
          <w:p>
            <w:pPr>
              <w:pStyle w:val="ListParagraph"/>
              <w:numPr>
                <w:ilvl w:val="0"/>
                <w:numId w:val="2"/>
              </w:numPr>
              <w:spacing w:after="30" w:before="30"/>
            </w:pPr>
            <w:r>
              <w:rPr>
                <w:rFonts w:ascii="Arial" w:cs="Arial" w:eastAsia="Arial" w:hAnsi="Arial"/>
                <w:color w:val="1C2833"/>
                <w:sz w:val="19"/>
                <w:szCs w:val="19"/>
              </w:rPr>
              <w:t xml:space="preserve">Human verification before record commit</w:t>
            </w:r>
          </w:p>
          <w:p>
            <w:pPr>
              <w:pStyle w:val="ListParagraph"/>
              <w:numPr>
                <w:ilvl w:val="0"/>
                <w:numId w:val="2"/>
              </w:numPr>
              <w:spacing w:after="30" w:before="30"/>
            </w:pPr>
            <w:r>
              <w:rPr>
                <w:rFonts w:ascii="Arial" w:cs="Arial" w:eastAsia="Arial" w:hAnsi="Arial"/>
                <w:color w:val="1C2833"/>
                <w:sz w:val="19"/>
                <w:szCs w:val="19"/>
              </w:rPr>
              <w:t xml:space="preserve">Full output log per case for compliance</w:t>
            </w:r>
          </w:p>
        </w:tc>
      </w:tr>
    </w:tbl>
    <w:p>
      <w:pPr>
        <w:pBdr>
          <w:bottom w:val="single" w:color="1A5276" w:sz="4" w:space="2"/>
        </w:pBdr>
        <w:spacing w:after="80" w:before="320"/>
      </w:pPr>
      <w:r>
        <w:rPr>
          <w:rFonts w:ascii="Arial" w:cs="Arial" w:eastAsia="Arial" w:hAnsi="Arial"/>
          <w:b/>
          <w:bCs/>
          <w:color w:val="1A5276"/>
          <w:spacing w:val="40"/>
          <w:sz w:val="18"/>
          <w:szCs w:val="18"/>
        </w:rPr>
        <w:t xml:space="preserve">ARCHITECTURE &amp; TECHNICAL DESIGN</w:t>
      </w:r>
    </w:p>
    <w:p>
      <w:pPr>
        <w:spacing w:after="80" w:before="80"/>
      </w:pPr>
      <w:r>
        <w:rPr>
          <w:rFonts w:ascii="Arial" w:cs="Arial" w:eastAsia="Arial" w:hAnsi="Arial"/>
          <w:color w:val="1C2833"/>
          <w:sz w:val="21"/>
          <w:szCs w:val="21"/>
        </w:rPr>
        <w:t xml:space="preserve">The system is deliberately split into two distinct processing layers:</w:t>
      </w:r>
    </w:p>
    <w:p>
      <w:pPr>
        <w:spacing w:after="60" w:before="120"/>
      </w:pPr>
      <w:r>
        <w:rPr>
          <w:rFonts w:ascii="Arial" w:cs="Arial" w:eastAsia="Arial" w:hAnsi="Arial"/>
          <w:b/>
          <w:bCs/>
          <w:color w:val="1A5276"/>
          <w:sz w:val="22"/>
          <w:szCs w:val="22"/>
        </w:rPr>
        <w:t xml:space="preserve">Layer 1 — Clinical Processor (Extraction)</w:t>
      </w:r>
    </w:p>
    <w:p>
      <w:pPr>
        <w:spacing w:after="80" w:before="80"/>
      </w:pPr>
      <w:r>
        <w:rPr>
          <w:rFonts w:ascii="Arial" w:cs="Arial" w:eastAsia="Arial" w:hAnsi="Arial"/>
          <w:color w:val="1C2833"/>
          <w:sz w:val="21"/>
          <w:szCs w:val="21"/>
        </w:rPr>
        <w:t xml:space="preserve">A large language model handles the ambiguous, conversational nature of patient transcripts. Transcripts may be phone calls, text chats, or typed notes — each with colloquial phrasing, incomplete sentences, and implicit clinical context. The Clinical Processor is prompted to output a strict JSON schema covering all clinically relevant fields. Crucially, this layer does not make routing decisions; it only converts unstructured text into structured, machine-readable facts.</w:t>
      </w:r>
    </w:p>
    <w:p>
      <w:pPr>
        <w:spacing w:after="60" w:before="120"/>
      </w:pPr>
      <w:r>
        <w:rPr>
          <w:rFonts w:ascii="Arial" w:cs="Arial" w:eastAsia="Arial" w:hAnsi="Arial"/>
          <w:b/>
          <w:bCs/>
          <w:color w:val="1A5276"/>
          <w:sz w:val="22"/>
          <w:szCs w:val="22"/>
        </w:rPr>
        <w:t xml:space="preserve">Layer 2 — Deterministic SOP Engine (Routing)</w:t>
      </w:r>
    </w:p>
    <w:p>
      <w:pPr>
        <w:spacing w:after="80" w:before="80"/>
      </w:pPr>
      <w:r>
        <w:rPr>
          <w:rFonts w:ascii="Arial" w:cs="Arial" w:eastAsia="Arial" w:hAnsi="Arial"/>
          <w:color w:val="1C2833"/>
          <w:sz w:val="21"/>
          <w:szCs w:val="21"/>
        </w:rPr>
        <w:t xml:space="preserve">Once facts are extracted, a pure Python rule engine applies each SOP condition as a boolean predicate. This layer contains no probabilistic generation — every routing decision is a direct if/then evaluation of extracted fact values against the SOP table. This design choice is intentional and critical: routing decisions must be explainable, reproducible, and auditable. A clinician must be able to trace any recommendation back to a specific rule and a specific statement in the transcript.</w:t>
      </w:r>
    </w:p>
    <w:p>
      <w:pPr>
        <w:pBdr>
          <w:bottom w:val="single" w:color="1A5276" w:sz="4" w:space="2"/>
        </w:pBdr>
        <w:spacing w:after="80" w:before="320"/>
      </w:pPr>
      <w:r>
        <w:rPr>
          <w:rFonts w:ascii="Arial" w:cs="Arial" w:eastAsia="Arial" w:hAnsi="Arial"/>
          <w:b/>
          <w:bCs/>
          <w:color w:val="1A5276"/>
          <w:spacing w:val="40"/>
          <w:sz w:val="18"/>
          <w:szCs w:val="18"/>
        </w:rPr>
        <w:t xml:space="preserve">DETERMINISTIC LOGIC VS. PROBABILISTIC GENERATION</w:t>
      </w:r>
    </w:p>
    <w:p>
      <w:pPr>
        <w:spacing w:after="80" w:before="80"/>
      </w:pPr>
      <w:r>
        <w:rPr>
          <w:rFonts w:ascii="Arial" w:cs="Arial" w:eastAsia="Arial" w:hAnsi="Arial"/>
          <w:color w:val="1C2833"/>
          <w:sz w:val="21"/>
          <w:szCs w:val="21"/>
        </w:rPr>
        <w:t xml:space="preserve">A purely generative approach — asking the language model to both extract facts and generate routing decisions in a single prompt — introduces unacceptable risk in a clinical context. The model may hallucinate a routing outcome that was never grounded in the transcript, or it may misinterpret a colloquial phrase differently on repeated runs, producing inconsistent decisions for identical inputs.</w:t>
      </w:r>
    </w:p>
    <w:p>
      <w:pPr>
        <w:spacing w:after="80" w:before="80"/>
      </w:pPr>
    </w:p>
    <w:p>
      <w:pPr>
        <w:spacing w:after="60" w:before="120"/>
      </w:pPr>
      <w:r>
        <w:rPr>
          <w:rFonts w:ascii="Arial" w:cs="Arial" w:eastAsia="Arial" w:hAnsi="Arial"/>
          <w:b/>
          <w:bCs/>
          <w:color w:val="1A5276"/>
          <w:sz w:val="22"/>
          <w:szCs w:val="22"/>
        </w:rPr>
        <w:t>The tension is between flexibility and reliability: the LLM excels at interpreting ambiguous language but cannot guarantee the same output on repeated runs, while deterministic code is rigid but perfectly consistent. The following comparison illustrates why the hybrid design is the correct choice for a clinical routing context:</w:t>
      </w:r>
    </w:p>
    <w:p>
      <w:pPr>
        <w:spacing w:after="80" w:before="80"/>
      </w:pPr>
      <w:r>
        <w:rPr>
          <w:rFonts w:ascii="Arial" w:cs="Arial" w:eastAsia="Arial" w:hAnsi="Arial"/>
          <w:color w:val="1C2833"/>
          <w:sz w:val="21"/>
          <w:szCs w:val="21"/>
        </w:rPr>
        <w:t xml:space="preserve">The hybrid architecture resolves this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Concern</w:t>
            </w:r>
          </w:p>
        </w:tc>
        <w:tc>
          <w:tcPr>
            <w:tcW w:type="dxa" w:w="38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Pure Generative Approach</w:t>
            </w:r>
          </w:p>
        </w:tc>
        <w:tc>
          <w:tcPr>
            <w:tcW w:type="dxa" w:w="38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Our Hybrid Approach</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b/>
                <w:bCs/>
                <w:color w:val="1C2833"/>
                <w:sz w:val="18"/>
                <w:szCs w:val="18"/>
              </w:rPr>
              <w:t xml:space="preserve">Consistency</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C2626"/>
                <w:sz w:val="18"/>
                <w:szCs w:val="18"/>
              </w:rPr>
              <w:t xml:space="preserve">Same transcript may yield different routing on re-run</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059669"/>
                <w:sz w:val="18"/>
                <w:szCs w:val="18"/>
              </w:rPr>
              <w:t xml:space="preserve">Deterministic rules guarantee identical output for identical facts</w:t>
            </w:r>
          </w:p>
        </w:tc>
      </w:tr>
      <w:tr>
        <w:tc>
          <w:tcPr>
            <w:tcW w:type="dxa" w:w="160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b/>
                <w:bCs/>
                <w:color w:val="1C2833"/>
                <w:sz w:val="18"/>
                <w:szCs w:val="18"/>
              </w:rPr>
              <w:t xml:space="preserve">Auditability</w:t>
            </w:r>
          </w:p>
        </w:tc>
        <w:tc>
          <w:tcPr>
            <w:tcW w:type="dxa" w:w="38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DC2626"/>
                <w:sz w:val="18"/>
                <w:szCs w:val="18"/>
              </w:rPr>
              <w:t xml:space="preserve">Cannot explain which rule triggered a recommendation</w:t>
            </w:r>
          </w:p>
        </w:tc>
        <w:tc>
          <w:tcPr>
            <w:tcW w:type="dxa" w:w="38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059669"/>
                <w:sz w:val="18"/>
                <w:szCs w:val="18"/>
              </w:rPr>
              <w:t xml:space="preserve">Every action traces to a rule ID and an extracted fact</w:t>
            </w:r>
          </w:p>
        </w:tc>
      </w:tr>
      <w:tr>
        <w:tc>
          <w:tcPr>
            <w:tcW w:type="dxa" w:w="1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b/>
                <w:bCs/>
                <w:color w:val="1C2833"/>
                <w:sz w:val="18"/>
                <w:szCs w:val="18"/>
              </w:rPr>
              <w:t xml:space="preserve">SOP Updates</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C2626"/>
                <w:sz w:val="18"/>
                <w:szCs w:val="18"/>
              </w:rPr>
              <w:t xml:space="preserve">Requires re-prompting and re-validation of the full model</w:t>
            </w:r>
          </w:p>
        </w:tc>
        <w:tc>
          <w:tcPr>
            <w:tcW w:type="dxa" w:w="38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059669"/>
                <w:sz w:val="18"/>
                <w:szCs w:val="18"/>
              </w:rPr>
              <w:t xml:space="preserve">Edit one rule dict entry; extraction layer unchanged</w:t>
            </w:r>
          </w:p>
        </w:tc>
      </w:tr>
    </w:tbl>
    <w:p>
      <w:pPr>
        <w:pBdr>
          <w:bottom w:val="single" w:color="1A5276" w:sz="4" w:space="2"/>
        </w:pBdr>
        <w:spacing w:after="80" w:before="320"/>
      </w:pPr>
      <w:r>
        <w:rPr>
          <w:rFonts w:ascii="Arial" w:cs="Arial" w:eastAsia="Arial" w:hAnsi="Arial"/>
          <w:b/>
          <w:bCs/>
          <w:color w:val="1A5276"/>
          <w:spacing w:val="40"/>
          <w:sz w:val="18"/>
          <w:szCs w:val="18"/>
        </w:rPr>
        <w:t xml:space="preserve">DATA INTEGRITY &amp; HUMAN-IN-THE-LOOP DESIGN</w:t>
      </w:r>
    </w:p>
    <w:p>
      <w:pPr>
        <w:spacing w:after="80" w:before="80"/>
      </w:pPr>
      <w:r>
        <w:rPr>
          <w:rFonts w:ascii="Arial" w:cs="Arial" w:eastAsia="Arial" w:hAnsi="Arial"/>
          <w:color w:val="1C2833"/>
          <w:sz w:val="21"/>
          <w:szCs w:val="21"/>
        </w:rPr>
        <w:t xml:space="preserve">The system enforces a mandatory verification step before any record is finalized. After the Clinical Processor produces extracted facts and the SOP Engine generates recommendations, the Care Team navigator reviews every clinically significant fact through an inline verification form. Each field defaults to the machine-extracted value, but the navigator can override any entry before committing the final JSON record.</w:t>
      </w:r>
    </w:p>
    <w:p>
      <w:pPr>
        <w:spacing w:after="80" w:before="80"/>
      </w:pPr>
    </w:p>
    <w:p>
      <w:pPr>
        <w:spacing w:after="80" w:before="80"/>
      </w:pPr>
      <w:r>
        <w:rPr>
          <w:rFonts w:ascii="Arial" w:cs="Arial" w:eastAsia="Arial" w:hAnsi="Arial"/>
          <w:color w:val="1C2833"/>
          <w:sz w:val="21"/>
          <w:szCs w:val="21"/>
        </w:rPr>
        <w:t xml:space="preserve">This design provides three safeguards:</w:t>
      </w:r>
    </w:p>
    <w:p>
      <w:pPr>
        <w:pStyle w:val="ListParagraph"/>
        <w:numPr>
          <w:ilvl w:val="0"/>
          <w:numId w:val="2"/>
        </w:numPr>
        <w:spacing w:after="40" w:before="40"/>
      </w:pPr>
      <w:r>
        <w:rPr>
          <w:rFonts w:ascii="Arial" w:cs="Arial" w:eastAsia="Arial" w:hAnsi="Arial"/>
          <w:b/>
          <w:bCs/>
          <w:color w:val="1C2833"/>
          <w:sz w:val="21"/>
          <w:szCs w:val="21"/>
        </w:rPr>
        <w:t xml:space="preserve">Separation of concerns: </w:t>
      </w:r>
      <w:r>
        <w:rPr>
          <w:rFonts w:ascii="Arial" w:cs="Arial" w:eastAsia="Arial" w:hAnsi="Arial"/>
          <w:color w:val="1C2833"/>
          <w:sz w:val="21"/>
          <w:szCs w:val="21"/>
        </w:rPr>
        <w:t xml:space="preserve"> The machine handles speed and coverage; the human handles judgment and edge cases.</w:t>
      </w:r>
    </w:p>
    <w:p>
      <w:pPr>
        <w:pStyle w:val="ListParagraph"/>
        <w:numPr>
          <w:ilvl w:val="0"/>
          <w:numId w:val="2"/>
        </w:numPr>
        <w:spacing w:after="40" w:before="40"/>
      </w:pPr>
      <w:r>
        <w:rPr>
          <w:rFonts w:ascii="Arial" w:cs="Arial" w:eastAsia="Arial" w:hAnsi="Arial"/>
          <w:b/>
          <w:bCs/>
          <w:color w:val="1C2833"/>
          <w:sz w:val="21"/>
          <w:szCs w:val="21"/>
        </w:rPr>
        <w:t xml:space="preserve">Verification logging: </w:t>
      </w:r>
      <w:r>
        <w:rPr>
          <w:rFonts w:ascii="Arial" w:cs="Arial" w:eastAsia="Arial" w:hAnsi="Arial"/>
          <w:color w:val="1C2833"/>
          <w:sz w:val="21"/>
          <w:szCs w:val="21"/>
        </w:rPr>
        <w:t xml:space="preserve"> Every finalized record includes both the extracted value and the navigator-confirmed value, creating a full audit trail.</w:t>
      </w:r>
    </w:p>
    <w:p>
      <w:pPr>
        <w:pStyle w:val="ListParagraph"/>
        <w:numPr>
          <w:ilvl w:val="0"/>
          <w:numId w:val="2"/>
        </w:numPr>
        <w:spacing w:after="40" w:before="40"/>
      </w:pPr>
      <w:r>
        <w:rPr>
          <w:rFonts w:ascii="Arial" w:cs="Arial" w:eastAsia="Arial" w:hAnsi="Arial"/>
          <w:b/>
          <w:bCs/>
          <w:color w:val="1C2833"/>
          <w:sz w:val="21"/>
          <w:szCs w:val="21"/>
        </w:rPr>
        <w:t xml:space="preserve">Model calibration feedback: </w:t>
      </w:r>
      <w:r>
        <w:rPr>
          <w:rFonts w:ascii="Arial" w:cs="Arial" w:eastAsia="Arial" w:hAnsi="Arial"/>
          <w:color w:val="1C2833"/>
          <w:sz w:val="21"/>
          <w:szCs w:val="21"/>
        </w:rPr>
        <w:t xml:space="preserve"> Navigators learn to spot systematic extraction errors, feeding a continuous improvement loop.</w:t>
      </w:r>
    </w:p>
    <w:p>
      <w:pPr>
        <w:pBdr>
          <w:bottom w:val="single" w:color="1A5276" w:sz="4" w:space="2"/>
        </w:pBdr>
        <w:spacing w:after="80" w:before="320"/>
      </w:pPr>
      <w:r>
        <w:rPr>
          <w:rFonts w:ascii="Arial" w:cs="Arial" w:eastAsia="Arial" w:hAnsi="Arial"/>
          <w:b/>
          <w:bCs/>
          <w:color w:val="1A5276"/>
          <w:spacing w:val="40"/>
          <w:sz w:val="18"/>
          <w:szCs w:val="18"/>
        </w:rPr>
        <w:t xml:space="preserve">SOP RULE REFERENCE</w:t>
      </w:r>
    </w:p>
    <w:p>
      <w:pPr>
        <w:spacing w:after="60" w:before="120"/>
      </w:pPr>
      <w:r>
        <w:rPr>
          <w:rFonts w:ascii="Arial" w:cs="Arial" w:eastAsia="Arial" w:hAnsi="Arial"/>
          <w:b/>
          <w:bCs/>
          <w:color w:val="1A5276"/>
          <w:sz w:val="22"/>
          <w:szCs w:val="22"/>
        </w:rPr>
        <w:t>The following rules are implemented in the current version of the SOP Engine. Each rule is scoped to a case category (General, Joint, or Bariatric) and maps a single boolean flag to a routing status and required action. Adding or modifying a rule requires editing one dictionary entry in logic_engine.py — no model changes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300"/>
        <w:gridCol w:w="1400"/>
        <w:gridCol w:w="2660"/>
      </w:tblGrid>
      <w:tr>
        <w:trPr>
          <w:tblHeader/>
        </w:trPr>
        <w:tc>
          <w:tcPr>
            <w:tcW w:type="dxa" w:w="8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ID</w:t>
            </w:r>
          </w:p>
        </w:tc>
        <w:tc>
          <w:tcPr>
            <w:tcW w:type="dxa" w:w="12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Category</w:t>
            </w:r>
          </w:p>
        </w:tc>
        <w:tc>
          <w:tcPr>
            <w:tcW w:type="dxa" w:w="23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Finding</w:t>
            </w:r>
          </w:p>
        </w:tc>
        <w:tc>
          <w:tcPr>
            <w:tcW w:type="dxa" w:w="140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Status</w:t>
            </w:r>
          </w:p>
        </w:tc>
        <w:tc>
          <w:tcPr>
            <w:tcW w:type="dxa" w:w="2660"/>
            <w:tcBorders>
              <w:top w:val="single" w:color="D5D8DC" w:sz="1"/>
              <w:left w:val="single" w:color="D5D8DC" w:sz="1"/>
              <w:bottom w:val="single" w:color="D5D8DC" w:sz="1"/>
              <w:right w:val="single" w:color="D5D8DC" w:sz="1"/>
            </w:tcBorders>
            <w:shd w:fill="0A1628" w:val="clear"/>
            <w:tcMar>
              <w:top w:type="dxa" w:w="80"/>
              <w:left w:type="dxa" w:w="120"/>
              <w:bottom w:type="dxa" w:w="80"/>
              <w:right w:type="dxa" w:w="80"/>
            </w:tcMar>
          </w:tcPr>
          <w:p>
            <w:r>
              <w:rPr>
                <w:rFonts w:ascii="Arial" w:cs="Arial" w:eastAsia="Arial" w:hAnsi="Arial"/>
                <w:b/>
                <w:bCs/>
                <w:color w:val="FFFFFF"/>
                <w:sz w:val="17"/>
                <w:szCs w:val="17"/>
              </w:rPr>
              <w:t xml:space="preserve">Required Action</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GEN-001</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General</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Dental visit &gt; 6 months or pending work</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059669"/>
                <w:sz w:val="16"/>
                <w:szCs w:val="16"/>
              </w:rPr>
              <w:t xml:space="preserve">Action Required</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Instruct dental clearance before Consultation.</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JNT-001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Active Smoker (quit &lt; 3 months)</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D97706"/>
                <w:sz w:val="16"/>
                <w:szCs w:val="16"/>
              </w:rPr>
              <w:t xml:space="preserve">Deferred</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Smoking Cessation referral; pause case 3 months.</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JNT-002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No formal PT attempt</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DC2626"/>
                <w:sz w:val="16"/>
                <w:szCs w:val="16"/>
              </w:rPr>
              <w:t xml:space="preserve">Ineligible</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Refer to 6–12 week PT trial.</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JNT-003</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HbA1c &gt; 7.0</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2563EB"/>
                <w:sz w:val="16"/>
                <w:szCs w:val="16"/>
              </w:rPr>
              <w:t xml:space="preserve">Review</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Flag for Clinical MD Review, glucose optimization.</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JNT-004</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Joint</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Daily Opioid use &gt; 3 months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EA580C"/>
                <w:sz w:val="16"/>
                <w:szCs w:val="16"/>
              </w:rPr>
              <w:t xml:space="preserve">High Complexity</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Flag for Anesthesia High Risk Consult.</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BAR-001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Prior weight-loss surgery</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7C3AED"/>
                <w:sz w:val="16"/>
                <w:szCs w:val="16"/>
              </w:rPr>
              <w:t xml:space="preserve">Revision Case</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Flag for specialized surgical review.</w:t>
            </w:r>
          </w:p>
        </w:tc>
      </w:tr>
      <w:tr>
        <w:tc>
          <w:tcPr>
            <w:tcW w:type="dxa" w:w="8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1A5276"/>
                <w:sz w:val="16"/>
                <w:szCs w:val="16"/>
              </w:rPr>
              <w:t xml:space="preserve">BAR-002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No EGD in last 3 months</w:t>
            </w:r>
          </w:p>
        </w:tc>
        <w:tc>
          <w:tcPr>
            <w:tcW w:type="dxa" w:w="140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b/>
                <w:bCs/>
                <w:color w:val="059669"/>
                <w:sz w:val="16"/>
                <w:szCs w:val="16"/>
              </w:rPr>
              <w:t xml:space="preserve">Action Required</w:t>
            </w:r>
          </w:p>
        </w:tc>
        <w:tc>
          <w:tcPr>
            <w:tcW w:type="dxa" w:w="2660"/>
            <w:tcBorders>
              <w:top w:val="single" w:color="D5D8DC" w:sz="1"/>
              <w:left w:val="single" w:color="D5D8DC" w:sz="1"/>
              <w:bottom w:val="single" w:color="D5D8DC" w:sz="1"/>
              <w:right w:val="single" w:color="D5D8DC" w:sz="1"/>
            </w:tcBorders>
            <w:shd w:fill="F2F3F4" w:val="clear"/>
            <w:tcMar>
              <w:top w:type="dxa" w:w="60"/>
              <w:left w:type="dxa" w:w="120"/>
              <w:bottom w:type="dxa" w:w="60"/>
              <w:right w:type="dxa" w:w="80"/>
            </w:tcMar>
          </w:tcPr>
          <w:p>
            <w:r>
              <w:rPr>
                <w:rFonts w:ascii="Arial" w:cs="Arial" w:eastAsia="Arial" w:hAnsi="Arial"/>
                <w:color w:val="1C2833"/>
                <w:sz w:val="16"/>
                <w:szCs w:val="16"/>
              </w:rPr>
              <w:t xml:space="preserve">Schedule EGD after Consultation.</w:t>
            </w:r>
          </w:p>
        </w:tc>
      </w:tr>
      <w:tr>
        <w:tc>
          <w:tcPr>
            <w:tcW w:type="dxa" w:w="8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1A5276"/>
                <w:sz w:val="16"/>
                <w:szCs w:val="16"/>
              </w:rPr>
              <w:t xml:space="preserve">BAR-003</w:t>
            </w:r>
          </w:p>
        </w:tc>
        <w:tc>
          <w:tcPr>
            <w:tcW w:type="dxa" w:w="12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Bariatric</w:t>
            </w:r>
          </w:p>
        </w:tc>
        <w:tc>
          <w:tcPr>
            <w:tcW w:type="dxa" w:w="23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No Registered Dietician identified</w:t>
            </w:r>
          </w:p>
        </w:tc>
        <w:tc>
          <w:tcPr>
            <w:tcW w:type="dxa" w:w="140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b/>
                <w:bCs/>
                <w:color w:val="6B7280"/>
                <w:sz w:val="16"/>
                <w:szCs w:val="16"/>
              </w:rPr>
              <w:t xml:space="preserve">Hold</w:t>
            </w:r>
          </w:p>
        </w:tc>
        <w:tc>
          <w:tcPr>
            <w:tcW w:type="dxa" w:w="2660"/>
            <w:tcBorders>
              <w:top w:val="single" w:color="D5D8DC" w:sz="1"/>
              <w:left w:val="single" w:color="D5D8DC" w:sz="1"/>
              <w:bottom w:val="single" w:color="D5D8DC" w:sz="1"/>
              <w:right w:val="single" w:color="D5D8DC" w:sz="1"/>
            </w:tcBorders>
            <w:shd w:fill="FFFFFF" w:val="clear"/>
            <w:tcMar>
              <w:top w:type="dxa" w:w="60"/>
              <w:left w:type="dxa" w:w="120"/>
              <w:bottom w:type="dxa" w:w="60"/>
              <w:right w:type="dxa" w:w="80"/>
            </w:tcMar>
          </w:tcPr>
          <w:p>
            <w:r>
              <w:rPr>
                <w:rFonts w:ascii="Arial" w:cs="Arial" w:eastAsia="Arial" w:hAnsi="Arial"/>
                <w:color w:val="1C2833"/>
                <w:sz w:val="16"/>
                <w:szCs w:val="16"/>
              </w:rPr>
              <w:t xml:space="preserve">Provide in-network RD list; confirm before referral.</w:t>
            </w:r>
          </w:p>
        </w:tc>
      </w:tr>
    </w:tbl>
    <w:p>
      <w:pPr>
        <w:pBdr>
          <w:bottom w:val="single" w:color="1A5276" w:sz="4" w:space="2"/>
        </w:pBdr>
        <w:spacing w:after="80" w:before="320"/>
      </w:pPr>
      <w:r>
        <w:rPr>
          <w:rFonts w:ascii="Arial" w:cs="Arial" w:eastAsia="Arial" w:hAnsi="Arial"/>
          <w:b/>
          <w:bCs/>
          <w:color w:val="1A5276"/>
          <w:spacing w:val="40"/>
          <w:sz w:val="18"/>
          <w:szCs w:val="18"/>
        </w:rPr>
        <w:t xml:space="preserve">SCALABILITY CONSIDERATIONS</w:t>
      </w:r>
    </w:p>
    <w:p>
      <w:pPr>
        <w:spacing w:after="80" w:before="80"/>
      </w:pPr>
      <w:r>
        <w:rPr>
          <w:rFonts w:ascii="Arial" w:cs="Arial" w:eastAsia="Arial" w:hAnsi="Arial"/>
          <w:color w:val="1C2833"/>
          <w:sz w:val="21"/>
          <w:szCs w:val="21"/>
        </w:rPr>
        <w:t xml:space="preserve">The architecture is designed to scale horizontally without compromising clinical integrity:</w:t>
      </w:r>
    </w:p>
    <w:p>
      <w:pPr>
        <w:spacing w:after="40" w:before="120"/>
      </w:pPr>
      <w:r>
        <w:rPr>
          <w:rFonts w:ascii="Arial" w:cs="Arial" w:eastAsia="Arial" w:hAnsi="Arial"/>
          <w:b/>
          <w:bCs/>
          <w:color w:val="1A5276"/>
          <w:sz w:val="21"/>
          <w:szCs w:val="21"/>
        </w:rPr>
        <w:t xml:space="preserve">Throughput</w:t>
      </w:r>
    </w:p>
    <w:p>
      <w:pPr>
        <w:spacing w:after="80" w:before="80"/>
      </w:pPr>
      <w:r>
        <w:rPr>
          <w:rFonts w:ascii="Arial" w:cs="Arial" w:eastAsia="Arial" w:hAnsi="Arial"/>
          <w:color w:val="1C2833"/>
          <w:sz w:val="21"/>
          <w:szCs w:val="21"/>
        </w:rPr>
        <w:t xml:space="preserve">The extraction call is stateless and parallelizable. At volume, a message queue (e.g., SQS or Pub/Sub) can fan out transcript processing across multiple workers. The SOP engine is CPU-only and adds negligible latency. End-to-end processing time is bounded by the extraction API latency, not by the rule engine.</w:t>
      </w:r>
    </w:p>
    <w:p>
      <w:pPr>
        <w:spacing w:after="40" w:before="120"/>
      </w:pPr>
      <w:r>
        <w:rPr>
          <w:rFonts w:ascii="Arial" w:cs="Arial" w:eastAsia="Arial" w:hAnsi="Arial"/>
          <w:b/>
          <w:bCs/>
          <w:color w:val="1A5276"/>
          <w:sz w:val="21"/>
          <w:szCs w:val="21"/>
        </w:rPr>
        <w:t xml:space="preserve">SOP Maintainability</w:t>
      </w:r>
    </w:p>
    <w:p>
      <w:pPr>
        <w:spacing w:after="80" w:before="80"/>
      </w:pPr>
      <w:r>
        <w:rPr>
          <w:rFonts w:ascii="Arial" w:cs="Arial" w:eastAsia="Arial" w:hAnsi="Arial"/>
          <w:color w:val="1C2833"/>
          <w:sz w:val="21"/>
          <w:szCs w:val="21"/>
        </w:rPr>
        <w:t xml:space="preserve">Each SOP rule is a single dictionary entry in a centrally managed array. Clinical operations teams can add, remove, or modify rules without touching the extraction layer or the UI. Rule changes take effect immediately on next deployment — no model retraining required.</w:t>
      </w:r>
    </w:p>
    <w:p>
      <w:pPr>
        <w:spacing w:after="40" w:before="120"/>
      </w:pPr>
      <w:r>
        <w:rPr>
          <w:rFonts w:ascii="Arial" w:cs="Arial" w:eastAsia="Arial" w:hAnsi="Arial"/>
          <w:b/>
          <w:bCs/>
          <w:color w:val="1A5276"/>
          <w:sz w:val="21"/>
          <w:szCs w:val="21"/>
        </w:rPr>
        <w:t xml:space="preserve">Multi-Specialty Expansion</w:t>
      </w:r>
    </w:p>
    <w:p>
      <w:pPr>
        <w:spacing w:after="80" w:before="80"/>
      </w:pPr>
      <w:r>
        <w:rPr>
          <w:rFonts w:ascii="Arial" w:cs="Arial" w:eastAsia="Arial" w:hAnsi="Arial"/>
          <w:color w:val="1C2833"/>
          <w:sz w:val="21"/>
          <w:szCs w:val="21"/>
        </w:rPr>
        <w:t xml:space="preserve">The case_type field in the fact schema currently supports Joint and Bariatric cases. New specialties (Cardiac, Spine, etc.) are added by defining new SOP rules tagged with the specialty category and extending the extraction prompt to recognize the new clinical signals. The core pipeline requires no architectural changes.</w:t>
      </w:r>
    </w:p>
    <w:p>
      <w:pPr>
        <w:spacing w:after="40" w:before="120"/>
      </w:pPr>
      <w:r>
        <w:rPr>
          <w:rFonts w:ascii="Arial" w:cs="Arial" w:eastAsia="Arial" w:hAnsi="Arial"/>
          <w:b/>
          <w:bCs/>
          <w:color w:val="1A5276"/>
          <w:sz w:val="21"/>
          <w:szCs w:val="21"/>
        </w:rPr>
        <w:t xml:space="preserve">Feedback Loop &amp; Model Improvement</w:t>
      </w:r>
    </w:p>
    <w:p>
      <w:pPr>
        <w:spacing w:after="80" w:before="80"/>
      </w:pPr>
      <w:r>
        <w:rPr>
          <w:rFonts w:ascii="Arial" w:cs="Arial" w:eastAsia="Arial" w:hAnsi="Arial"/>
          <w:color w:val="1C2833"/>
          <w:sz w:val="21"/>
          <w:szCs w:val="21"/>
        </w:rPr>
        <w:t xml:space="preserve">Navigator correction data (cases where the extracted fact was overridden) is captured in the finalized JSON output. Aggregating these corrections over time identifies systematic prompt weaknesses and enables targeted few-shot examples to be added to the extraction prompt — improving accuracy without changing the overall system design.</w:t>
      </w:r>
    </w:p>
    <w:p>
      <w:pPr>
        <w:pBdr>
          <w:bottom w:val="single" w:color="1A5276" w:sz="4" w:space="2"/>
        </w:pBdr>
        <w:spacing w:after="80" w:before="320"/>
      </w:pPr>
      <w:r>
        <w:rPr>
          <w:rFonts w:ascii="Arial" w:cs="Arial" w:eastAsia="Arial" w:hAnsi="Arial"/>
          <w:b/>
          <w:bCs/>
          <w:color w:val="1A5276"/>
          <w:spacing w:val="40"/>
          <w:sz w:val="18"/>
          <w:szCs w:val="18"/>
        </w:rPr>
        <w:t>QUALITY ASSURANCE &amp; TESTING</w:t>
      </w:r>
    </w:p>
    <w:p>
      <w:pPr>
        <w:spacing w:after="80" w:before="80"/>
      </w:pPr>
      <w:r>
        <w:rPr>
          <w:rFonts w:ascii="Arial" w:cs="Arial" w:eastAsia="Arial" w:hAnsi="Arial"/>
          <w:color w:val="1C2833"/>
          <w:sz w:val="21"/>
          <w:szCs w:val="21"/>
        </w:rPr>
        <w:t>The system ships with a two-tier automated test suite that separates concerns in the same way the architecture does: fast, deterministic unit tests verify the rule engine in isolation, and LLM eval tests verify end-to-end extraction accuracy against a hand-authored clinical answer key.</w:t>
      </w:r>
    </w:p>
    <w:p>
      <w:pPr>
        <w:spacing w:after="40" w:before="120"/>
      </w:pPr>
      <w:r>
        <w:rPr>
          <w:rFonts w:ascii="Arial" w:cs="Arial" w:eastAsia="Arial" w:hAnsi="Arial"/>
          <w:b/>
          <w:bCs/>
          <w:color w:val="1A5276"/>
          <w:sz w:val="21"/>
          <w:szCs w:val="21"/>
        </w:rPr>
        <w:t>Unit Tests — Deterministic Coverage</w:t>
      </w:r>
    </w:p>
    <w:p>
      <w:pPr>
        <w:spacing w:after="80" w:before="80"/>
      </w:pPr>
      <w:r>
        <w:rPr>
          <w:rFonts w:ascii="Arial" w:cs="Arial" w:eastAsia="Arial" w:hAnsi="Arial"/>
          <w:color w:val="1C2833"/>
          <w:sz w:val="21"/>
          <w:szCs w:val="21"/>
        </w:rPr>
        <w:t>Forty-five unit tests exercise derive_sop_flags, apply_sop_rules, and determine_overall_status with no API calls. Every boundary condition from the SOP table is covered explicitly: HbA1c = 7.0 must not trigger the Review flag (rule is strictly &gt; 7.0); opioid duration of exactly 3 months must not trigger High Complexity; a quit-smoking date within 3 months must still mark the patient as active for surgical clearance. These tests run in under 2 seconds and are suitable for every commit or CI gate.</w:t>
      </w:r>
    </w:p>
    <w:p>
      <w:pPr>
        <w:spacing w:after="40" w:before="120"/>
      </w:pPr>
      <w:r>
        <w:rPr>
          <w:rFonts w:ascii="Arial" w:cs="Arial" w:eastAsia="Arial" w:hAnsi="Arial"/>
          <w:b/>
          <w:bCs/>
          <w:color w:val="1A5276"/>
          <w:sz w:val="21"/>
          <w:szCs w:val="21"/>
        </w:rPr>
        <w:t>LLM Eval Tests — Extraction Accuracy</w:t>
      </w:r>
    </w:p>
    <w:p>
      <w:pPr>
        <w:spacing w:after="80" w:before="80"/>
      </w:pPr>
      <w:r>
        <w:rPr>
          <w:rFonts w:ascii="Arial" w:cs="Arial" w:eastAsia="Arial" w:hAnsi="Arial"/>
          <w:color w:val="1C2833"/>
          <w:sz w:val="21"/>
          <w:szCs w:val="21"/>
        </w:rPr>
        <w:t>Ten eval tests run the full pipeline against real patient transcripts, each paired with a hand-authored answer key (EVAL_ANSWER_KEY.md). Each test asserts on SOP_Flags and Overall_Case_Status — the stable output surface — rather than raw LLM text, which is non-deterministic by nature. The LLM extraction call uses temperature=0 so results are reproducible across runs. Eval tests are gated behind a --run-evals flag and excluded from the default pytest run to avoid burning API quota on every code change.</w:t>
      </w:r>
    </w:p>
    <w:p>
      <w:pPr>
        <w:spacing w:after="80" w:before="80"/>
      </w:pPr>
      <w:r>
        <w:rPr>
          <w:rFonts w:ascii="Arial" w:cs="Arial" w:eastAsia="Arial" w:hAnsi="Arial"/>
          <w:color w:val="1C2833"/>
          <w:sz w:val="21"/>
          <w:szCs w:val="21"/>
        </w:rPr>
        <w:t>The eval suite is designed to catch the class of extraction errors most likely to produce incorrect routing: confusing a gym personal trainer for a licensed physical therapist, treating a wellness nutritionist as a Registered Dietician, misclassifying a non-opioid anti-inflammatory as a controlled substance, or hallucinating certainty in ambiguous transcripts. On the initial run, the suite immediately identified 3 real extraction gaps — dental urgency framing, PT session count threshold, and a response token limit causing JSON truncation on longer transcripts — all of which were fixed before production use.</w:t>
      </w:r>
    </w:p>
    <w:p>
      <w:pPr>
        <w:spacing w:after="40" w:before="120"/>
      </w:pPr>
      <w:r>
        <w:rPr>
          <w:rFonts w:ascii="Arial" w:cs="Arial" w:eastAsia="Arial" w:hAnsi="Arial"/>
          <w:b/>
          <w:bCs/>
          <w:color w:val="1A5276"/>
          <w:sz w:val="21"/>
          <w:szCs w:val="21"/>
        </w:rPr>
        <w:t>Known Quality Gap — Ambiguous Cases</w:t>
      </w:r>
    </w:p>
    <w:p>
      <w:pPr>
        <w:spacing w:after="80" w:before="80"/>
      </w:pPr>
      <w:r>
        <w:rPr>
          <w:rFonts w:ascii="Arial" w:cs="Arial" w:eastAsia="Arial" w:hAnsi="Arial"/>
          <w:color w:val="1C2833"/>
          <w:sz w:val="21"/>
          <w:szCs w:val="21"/>
        </w:rPr>
        <w:t>The current schema returns Clear when key fields are null (unknown or unmentioned), which can produce false-negative routing for incomplete transcripts. This is documented in the test suite and flagged for a future schema change: adding an Incomplete or Needs Follow-Up overall status that fires when clinically required fields cannot be resolved from the transcript.</w:t>
      </w:r>
    </w:p>
    <w:p>
      <w:pPr>
        <w:pBdr>
          <w:bottom w:val="single" w:color="1A5276" w:sz="4" w:space="2"/>
        </w:pBdr>
        <w:spacing w:after="80" w:before="320"/>
      </w:pPr>
      <w:r>
        <w:rPr>
          <w:rFonts w:ascii="Arial" w:cs="Arial" w:eastAsia="Arial" w:hAnsi="Arial"/>
          <w:b/>
          <w:bCs/>
          <w:color w:val="1A5276"/>
          <w:spacing w:val="40"/>
          <w:sz w:val="18"/>
          <w:szCs w:val="18"/>
        </w:rPr>
        <w:t xml:space="preserve">TECHNOLOGY STACK</w:t>
      </w:r>
    </w:p>
    <w:p>
      <w:pPr>
        <w:spacing w:after="60" w:before="120"/>
      </w:pPr>
      <w:r>
        <w:rPr>
          <w:rFonts w:ascii="Arial" w:cs="Arial" w:eastAsia="Arial" w:hAnsi="Arial"/>
          <w:b/>
          <w:bCs/>
          <w:color w:val="1A5276"/>
          <w:sz w:val="22"/>
          <w:szCs w:val="22"/>
        </w:rPr>
        <w:t>Every component was chosen to minimize operational overhead while keeping the architecture open to production hardening — EMR integration, BAA-covered API endpoints, and role-based access can be layered on without restructuring the core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Component</w:t>
            </w:r>
          </w:p>
        </w:tc>
        <w:tc>
          <w:tcPr>
            <w:tcW w:type="dxa" w:w="686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Choice &amp; Rationale</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UI Framework</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 xml:space="preserve">Streamlit — Fastest path to a functional, shareable prototype for non-developer clinical users.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Backend Language</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Python — Universal in data and clinical tooling; easy for future EMR integration via HL7/FHIR.</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Clinical Processor</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Google Gemini 2.5 Flash — Fast, cost-efficient instruction following for structured JSON extraction from conversational text; free tier available via Google AI Studio.</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SOP Engine</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Pure Python (no external dependency) — Guarantees deterministic, auditable routing with zero latency.</w:t>
            </w:r>
          </w:p>
        </w:tc>
      </w:tr>
      <w:tr>
        <w:tc>
          <w:tcPr>
            <w:tcW w:type="dxa" w:w="250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b/>
                <w:bCs/>
                <w:color w:val="1A5276"/>
                <w:sz w:val="19"/>
                <w:szCs w:val="19"/>
              </w:rPr>
              <w:t xml:space="preserve">Output Format</w:t>
            </w:r>
          </w:p>
        </w:tc>
        <w:tc>
          <w:tcPr>
            <w:tcW w:type="dxa" w:w="6860"/>
            <w:tcBorders>
              <w:top w:val="single" w:color="D5D8DC" w:sz="1"/>
              <w:left w:val="single" w:color="D5D8DC" w:sz="1"/>
              <w:bottom w:val="single" w:color="D5D8DC" w:sz="1"/>
              <w:right w:val="single" w:color="D5D8DC" w:sz="1"/>
            </w:tcBorders>
            <w:shd w:fill="F2F3F4" w:val="clear"/>
            <w:tcMar>
              <w:top w:type="dxa" w:w="80"/>
              <w:left w:type="dxa" w:w="160"/>
              <w:bottom w:type="dxa" w:w="80"/>
              <w:right w:type="dxa" w:w="120"/>
            </w:tcMar>
          </w:tcPr>
          <w:p>
            <w:r>
              <w:rPr>
                <w:rFonts w:ascii="Arial" w:cs="Arial" w:eastAsia="Arial" w:hAnsi="Arial"/>
                <w:color w:val="1C2833"/>
                <w:sz w:val="19"/>
                <w:szCs w:val="19"/>
              </w:rPr>
              <w:t xml:space="preserve">Validated JSON — Machine-readable, EMR-ingestible, and fully portable to downstream systems.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bCs/>
                <w:color w:val="1A5276"/>
                <w:sz w:val="19"/>
                <w:szCs w:val="19"/>
              </w:rPr>
              <w:t xml:space="preserve">Hosting</w:t>
            </w:r>
          </w:p>
        </w:tc>
        <w:tc>
          <w:tcPr>
            <w:tcW w:type="dxa" w:w="68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color w:val="1C2833"/>
                <w:sz w:val="19"/>
                <w:szCs w:val="19"/>
              </w:rPr>
              <w:t xml:space="preserve">Streamlit Community Cloud — Zero-ops deployment; shareable URL for demo and testing.</w:t>
            </w:r>
          </w:p>
        </w:tc>
      </w:tr>
    </w:tbl>
    <w:p>
      <w:pPr>
        <w:pBdr>
          <w:bottom w:val="single" w:color="1A5276" w:sz="4" w:space="2"/>
        </w:pBdr>
        <w:spacing w:after="80" w:before="320"/>
      </w:pPr>
      <w:r>
        <w:rPr>
          <w:rFonts w:ascii="Arial" w:cs="Arial" w:eastAsia="Arial" w:hAnsi="Arial"/>
          <w:b/>
          <w:bCs/>
          <w:color w:val="1A5276"/>
          <w:spacing w:val="40"/>
          <w:sz w:val="18"/>
          <w:szCs w:val="18"/>
        </w:rPr>
        <w:t xml:space="preserve">RISKS &amp; MITIGATIONS</w:t>
      </w:r>
    </w:p>
    <w:p>
      <w:pPr>
        <w:spacing w:after="60" w:before="120"/>
      </w:pPr>
      <w:r>
        <w:rPr>
          <w:rFonts w:ascii="Arial" w:cs="Arial" w:eastAsia="Arial" w:hAnsi="Arial"/>
          <w:b/>
          <w:bCs/>
          <w:color w:val="1A5276"/>
          <w:sz w:val="22"/>
          <w:szCs w:val="22"/>
        </w:rPr>
        <w:t>The following risks were assessed against the current prototype. Mitigations are designed to be layered progressively as the system moves from internal demo to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Risk</w:t>
            </w:r>
          </w:p>
        </w:tc>
        <w:tc>
          <w:tcPr>
            <w:tcW w:type="dxa" w:w="33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Likelihood</w:t>
            </w:r>
          </w:p>
        </w:tc>
        <w:tc>
          <w:tcPr>
            <w:tcW w:type="dxa" w:w="3380"/>
            <w:tcBorders>
              <w:top w:val="single" w:color="D5D8DC" w:sz="1"/>
              <w:left w:val="single" w:color="D5D8DC" w:sz="1"/>
              <w:bottom w:val="single" w:color="D5D8DC" w:sz="1"/>
              <w:right w:val="single" w:color="D5D8DC" w:sz="1"/>
            </w:tcBorders>
            <w:shd w:fill="0A1628" w:val="clear"/>
            <w:tcMar>
              <w:top w:type="dxa" w:w="80"/>
              <w:left w:type="dxa" w:w="160"/>
              <w:bottom w:type="dxa" w:w="80"/>
              <w:right w:type="dxa" w:w="120"/>
            </w:tcMar>
          </w:tcPr>
          <w:p>
            <w:r>
              <w:rPr>
                <w:rFonts w:ascii="Arial" w:cs="Arial" w:eastAsia="Arial" w:hAnsi="Arial"/>
                <w:b/>
                <w:bCs/>
                <w:color w:val="FFFFFF"/>
                <w:sz w:val="18"/>
                <w:szCs w:val="18"/>
              </w:rPr>
              <w:t xml:space="preserve">Mitigation</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Extraction error (ambiguous phrasing)</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97706"/>
                <w:sz w:val="18"/>
                <w:szCs w:val="18"/>
              </w:rPr>
              <w:t xml:space="preserve">Medium</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Human-in-the-loop verification catches errors before commit. Automated LLM eval suite (10 transcripts against a hand-authored answer key) runs on demand and has already surfaced and fixed 3 prompt gaps on first run.</w:t>
            </w:r>
          </w:p>
        </w:tc>
      </w:tr>
      <w:tr>
        <w:tc>
          <w:tcPr>
            <w:tcW w:type="dxa" w:w="260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1C2833"/>
                <w:sz w:val="18"/>
                <w:szCs w:val="18"/>
              </w:rPr>
              <w:t xml:space="preserve">SOP rule gap (edge case not covered)</w:t>
            </w:r>
          </w:p>
        </w:tc>
        <w:tc>
          <w:tcPr>
            <w:tcW w:type="dxa" w:w="33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059669"/>
                <w:sz w:val="18"/>
                <w:szCs w:val="18"/>
              </w:rPr>
              <w:t xml:space="preserve">Low-Medium</w:t>
            </w:r>
          </w:p>
        </w:tc>
        <w:tc>
          <w:tcPr>
            <w:tcW w:type="dxa" w:w="3380"/>
            <w:tcBorders>
              <w:top w:val="single" w:color="D5D8DC" w:sz="1"/>
              <w:left w:val="single" w:color="D5D8DC" w:sz="1"/>
              <w:bottom w:val="single" w:color="D5D8DC" w:sz="1"/>
              <w:right w:val="single" w:color="D5D8DC" w:sz="1"/>
            </w:tcBorders>
            <w:shd w:fill="FFFFFF" w:val="clear"/>
            <w:tcMar>
              <w:top w:type="dxa" w:w="60"/>
              <w:left w:type="dxa" w:w="160"/>
              <w:bottom w:type="dxa" w:w="60"/>
              <w:right w:type="dxa" w:w="120"/>
            </w:tcMar>
          </w:tcPr>
          <w:p>
            <w:r>
              <w:rPr>
                <w:rFonts w:ascii="Arial" w:cs="Arial" w:eastAsia="Arial" w:hAnsi="Arial"/>
                <w:color w:val="1C2833"/>
                <w:sz w:val="18"/>
                <w:szCs w:val="18"/>
              </w:rPr>
              <w:t xml:space="preserve">Rules are centrally managed; add new entries in minutes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 xml:space="preserve">PHI data exposure</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D97706"/>
                <w:sz w:val="18"/>
                <w:szCs w:val="18"/>
              </w:rPr>
              <w:t xml:space="preserve">Medium (production)</w:t>
            </w:r>
          </w:p>
        </w:tc>
        <w:tc>
          <w:tcPr>
            <w:tcW w:type="dxa" w:w="3380"/>
            <w:tcBorders>
              <w:top w:val="single" w:color="D5D8DC" w:sz="1"/>
              <w:left w:val="single" w:color="D5D8DC" w:sz="1"/>
              <w:bottom w:val="single" w:color="D5D8DC" w:sz="1"/>
              <w:right w:val="single" w:color="D5D8DC" w:sz="1"/>
            </w:tcBorders>
            <w:shd w:fill="F2F3F4" w:val="clear"/>
            <w:tcMar>
              <w:top w:type="dxa" w:w="60"/>
              <w:left w:type="dxa" w:w="160"/>
              <w:bottom w:type="dxa" w:w="60"/>
              <w:right w:type="dxa" w:w="120"/>
            </w:tcMar>
          </w:tcPr>
          <w:p>
            <w:r>
              <w:rPr>
                <w:rFonts w:ascii="Arial" w:cs="Arial" w:eastAsia="Arial" w:hAnsi="Arial"/>
                <w:color w:val="1C2833"/>
                <w:sz w:val="18"/>
                <w:szCs w:val="18"/>
              </w:rPr>
              <w:t>Production version routes through BAA-covered API endpoint. No transcript data is persisted by the application — transcripts transit the Gemini API only and are not stored server-side.</w:t>
            </w:r>
          </w:p>
        </w:tc>
      </w:tr>
    </w:tbl>
    <w:p>
      <w:pPr>
        <w:pBdr>
          <w:bottom w:val="single" w:color="1A5276" w:sz="4" w:space="2"/>
        </w:pBdr>
        <w:spacing w:after="80" w:before="320"/>
      </w:pPr>
      <w:r>
        <w:rPr>
          <w:rFonts w:ascii="Arial" w:cs="Arial" w:eastAsia="Arial" w:hAnsi="Arial"/>
          <w:b/>
          <w:bCs/>
          <w:color w:val="1A5276"/>
          <w:spacing w:val="40"/>
          <w:sz w:val="18"/>
          <w:szCs w:val="18"/>
        </w:rPr>
        <w:t xml:space="preserve">CONCLUSION</w:t>
      </w:r>
    </w:p>
    <w:p>
      <w:pPr>
        <w:spacing w:after="80" w:before="80"/>
      </w:pPr>
      <w:r>
        <w:rPr>
          <w:rFonts w:ascii="Arial" w:cs="Arial" w:eastAsia="Arial" w:hAnsi="Arial"/>
          <w:color w:val="1C2833"/>
          <w:sz w:val="21"/>
          <w:szCs w:val="21"/>
        </w:rPr>
        <w:t xml:space="preserve">The Clinical Routing Navigator demonstrates that the highest-leverage application of machine learning models in healthcare workflows is not autonomous decision-making — it is intelligent data structuring that amplifies the capacity of expert human navigators. By reserving probabilistic generation for what it does best (understanding conversational language) and reserving deterministic logic for what clinical contexts demand (consistent, explainable rule application), this architecture is safe to deploy, simple to maintain, and ready to scale.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spacing w:before="100"/>
      <w:jc w:val="center"/>
    </w:pPr>
    <w:r>
      <w:rPr>
        <w:rFonts w:ascii="Arial" w:cs="Arial" w:eastAsia="Arial" w:hAnsi="Arial"/>
        <w:color w:val="AEB6BF"/>
        <w:sz w:val="16"/>
        <w:szCs w:val="16"/>
      </w:rPr>
      <w:t xml:space="preserve">Confidential — Internal Use Only  |  Carrum Health  |  Page </w:t>
    </w:r>
    <w:r>
      <w:rPr>
        <w:rFonts w:ascii="Arial" w:cs="Arial" w:eastAsia="Arial" w:hAnsi="Arial"/>
        <w:color w:val="AEB6B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shd w:fill="0A1628" w:val="clear"/>
          <w:tcMar>
            <w:top w:type="dxa" w:w="160"/>
            <w:left w:type="dxa" w:w="240"/>
            <w:bottom w:type="dxa" w:w="160"/>
            <w:right w:type="dxa" w:w="120"/>
          </w:tcMar>
        </w:tcPr>
        <w:p>
          <w:r>
            <w:rPr>
              <w:rFonts w:ascii="Arial" w:cs="Arial" w:eastAsia="Arial" w:hAnsi="Arial"/>
              <w:b/>
              <w:bCs/>
              <w:color w:val="FFFFFF"/>
              <w:spacing w:val="60"/>
              <w:sz w:val="18"/>
              <w:szCs w:val="18"/>
            </w:rPr>
            <w:t xml:space="preserve">CARRUM HEALTH</w:t>
          </w:r>
        </w:p>
      </w:tc>
      <w:tc>
        <w:tcPr>
          <w:tcW w:type="dxa" w:w="5040"/>
          <w:tcBorders>
            <w:top w:val="none" w:color="FFFFFF" w:sz="0"/>
            <w:left w:val="none" w:color="FFFFFF" w:sz="0"/>
            <w:bottom w:val="none" w:color="FFFFFF" w:sz="0"/>
            <w:right w:val="none" w:color="FFFFFF" w:sz="0"/>
          </w:tcBorders>
          <w:shd w:fill="0A1628" w:val="clear"/>
          <w:tcMar>
            <w:top w:type="dxa" w:w="160"/>
            <w:left w:type="dxa" w:w="120"/>
            <w:bottom w:type="dxa" w:w="160"/>
            <w:right w:type="dxa" w:w="240"/>
          </w:tcMar>
        </w:tcPr>
        <w:p>
          <w:pPr>
            <w:jc w:val="right"/>
          </w:pPr>
          <w:r>
            <w:rPr>
              <w:rFonts w:ascii="Arial" w:cs="Arial" w:eastAsia="Arial" w:hAnsi="Arial"/>
              <w:color w:val="7BA3C8"/>
              <w:sz w:val="18"/>
              <w:szCs w:val="18"/>
            </w:rPr>
            <w:t xml:space="preserve">Clinical Routing Navigator — Strategic Brief</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2026-04-22T04:21:27.273Z</dcterms:created>
  <dcterms:modified xsi:type="dcterms:W3CDTF">2026-04-22T04:21:27.274Z</dcterms:modified>
</cp:coreProperties>
</file>

<file path=docProps/custom.xml><?xml version="1.0" encoding="utf-8"?>
<Properties xmlns="http://schemas.openxmlformats.org/officeDocument/2006/custom-properties" xmlns:vt="http://schemas.openxmlformats.org/officeDocument/2006/docPropsVTypes"/>
</file>