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0A1628"/>
          <w:sz w:val="48"/>
          <w:szCs w:val="48"/>
        </w:rPr>
        <w:t xml:space="preserve">Automated Clinical Routing Navigator</w:t>
      </w:r>
    </w:p>
    <w:p>
      <w:pPr>
        <w:spacing w:after="60" w:before="0"/>
      </w:pPr>
      <w:r>
        <w:rPr>
          <w:rFonts w:ascii="Arial" w:cs="Arial" w:eastAsia="Arial" w:hAnsi="Arial"/>
          <w:color w:val="1A5276"/>
          <w:sz w:val="26"/>
          <w:szCs w:val="26"/>
        </w:rPr>
        <w:t xml:space="preserve">Strategic Brief &amp; Technical Rationale</w:t>
      </w:r>
    </w:p>
    <w:p>
      <w:pPr>
        <w:spacing w:after="200" w:before="0"/>
      </w:pPr>
      <w:r>
        <w:rPr>
          <w:rFonts w:ascii="Arial" w:cs="Arial" w:eastAsia="Arial" w:hAnsi="Arial"/>
          <w:color w:val="AEB6BF"/>
          <w:sz w:val="18"/>
          <w:szCs w:val="18"/>
        </w:rPr>
        <w:t xml:space="preserve">Prepared for Carrum Health  |  April 2025  |  Applied AI PM — Technical Case Study</w:t>
      </w:r>
    </w:p>
    <w:p>
      <w:pPr>
        <w:pBdr>
          <w:bottom w:val="single" w:color="0A1628" w:sz="12" w:space="1"/>
        </w:pBdr>
        <w:spacing w:after="100" w:before="100"/>
      </w:pPr>
    </w:p>
    <w:p>
      <w:pPr>
        <w:pBdr>
          <w:bottom w:val="single" w:color="1A5276" w:sz="4" w:space="2"/>
        </w:pBdr>
        <w:spacing w:after="80" w:before="320"/>
      </w:pPr>
      <w:r>
        <w:rPr>
          <w:rFonts w:ascii="Arial" w:cs="Arial" w:eastAsia="Arial" w:hAnsi="Arial"/>
          <w:b/>
          <w:bCs/>
          <w:color w:val="1A5276"/>
          <w:spacing w:val="40"/>
          <w:sz w:val="18"/>
          <w:szCs w:val="18"/>
        </w:rPr>
        <w:t xml:space="preserve">EXECUTIVE SUMMARY</w:t>
      </w:r>
    </w:p>
    <w:p>
      <w:pPr>
        <w:spacing w:after="80" w:before="80"/>
      </w:pPr>
      <w:r>
        <w:rPr>
          <w:rFonts w:ascii="Arial" w:cs="Arial" w:eastAsia="Arial" w:hAnsi="Arial"/>
          <w:color w:val="1C2833"/>
          <w:sz w:val="21"/>
          <w:szCs w:val="21"/>
        </w:rPr>
        <w:t xml:space="preserve">The Automated Clinical Routing Navigator is a protocol-driven decision-support tool that eliminates manual SOP cross-referencing for the Carrum Care Team. By separating the extraction of clinical facts from the application of deterministic routing rules, the system delivers consistent, auditable, and scalable patient triage at volume — while keeping a human navigator firmly in the loop before any routing decision is committed.</w:t>
      </w:r>
    </w:p>
    <w:p>
      <w:pPr>
        <w:pBdr>
          <w:bottom w:val="single" w:color="1A5276" w:sz="4" w:space="2"/>
        </w:pBdr>
        <w:spacing w:after="80" w:before="320"/>
      </w:pPr>
      <w:r>
        <w:rPr>
          <w:rFonts w:ascii="Arial" w:cs="Arial" w:eastAsia="Arial" w:hAnsi="Arial"/>
          <w:b/>
          <w:bCs/>
          <w:color w:val="1A5276"/>
          <w:spacing w:val="40"/>
          <w:sz w:val="18"/>
          <w:szCs w:val="18"/>
        </w:rPr>
        <w:t xml:space="preserve">PROBLEM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8DC" w:sz="1"/>
              <w:left w:val="single" w:color="D5D8DC" w:sz="1"/>
              <w:bottom w:val="single" w:color="D5D8DC" w:sz="1"/>
              <w:right w:val="single" w:color="D5D8DC" w:sz="1"/>
            </w:tcBorders>
            <w:shd w:fill="D6EAF8" w:val="clear"/>
            <w:tcMar>
              <w:top w:type="dxa" w:w="120"/>
              <w:left w:type="dxa" w:w="160"/>
              <w:bottom w:type="dxa" w:w="120"/>
              <w:right w:type="dxa" w:w="160"/>
            </w:tcMar>
          </w:tcPr>
          <w:p>
            <w:pPr>
              <w:spacing w:after="60"/>
            </w:pPr>
            <w:r>
              <w:rPr>
                <w:rFonts w:ascii="Arial" w:cs="Arial" w:eastAsia="Arial" w:hAnsi="Arial"/>
                <w:b/>
                <w:bCs/>
                <w:color w:val="0A1628"/>
                <w:sz w:val="20"/>
                <w:szCs w:val="20"/>
              </w:rPr>
              <w:t xml:space="preserve">Current State Pain Points</w:t>
            </w:r>
          </w:p>
          <w:p>
            <w:pPr>
              <w:pStyle w:val="ListParagraph"/>
              <w:numPr>
                <w:ilvl w:val="0"/>
                <w:numId w:val="2"/>
              </w:numPr>
              <w:spacing w:after="30" w:before="40"/>
            </w:pPr>
            <w:r>
              <w:rPr>
                <w:rFonts w:ascii="Arial" w:cs="Arial" w:eastAsia="Arial" w:hAnsi="Arial"/>
                <w:color w:val="1C2833"/>
                <w:sz w:val="19"/>
                <w:szCs w:val="19"/>
              </w:rPr>
              <w:t xml:space="preserve">Unstructured transcript data requires manual review</w:t>
            </w:r>
          </w:p>
          <w:p>
            <w:pPr>
              <w:pStyle w:val="ListParagraph"/>
              <w:numPr>
                <w:ilvl w:val="0"/>
                <w:numId w:val="2"/>
              </w:numPr>
              <w:spacing w:after="30" w:before="30"/>
            </w:pPr>
            <w:r>
              <w:rPr>
                <w:rFonts w:ascii="Arial" w:cs="Arial" w:eastAsia="Arial" w:hAnsi="Arial"/>
                <w:color w:val="1C2833"/>
                <w:sz w:val="19"/>
                <w:szCs w:val="19"/>
              </w:rPr>
              <w:t xml:space="preserve">SOP matching is error-prone at scale</w:t>
            </w:r>
          </w:p>
          <w:p>
            <w:pPr>
              <w:pStyle w:val="ListParagraph"/>
              <w:numPr>
                <w:ilvl w:val="0"/>
                <w:numId w:val="2"/>
              </w:numPr>
              <w:spacing w:after="30" w:before="30"/>
            </w:pPr>
            <w:r>
              <w:rPr>
                <w:rFonts w:ascii="Arial" w:cs="Arial" w:eastAsia="Arial" w:hAnsi="Arial"/>
                <w:color w:val="1C2833"/>
                <w:sz w:val="19"/>
                <w:szCs w:val="19"/>
              </w:rPr>
              <w:t xml:space="preserve">Bottlenecks delay patient throughput</w:t>
            </w:r>
          </w:p>
          <w:p>
            <w:pPr>
              <w:pStyle w:val="ListParagraph"/>
              <w:numPr>
                <w:ilvl w:val="0"/>
                <w:numId w:val="2"/>
              </w:numPr>
              <w:spacing w:after="30" w:before="30"/>
            </w:pPr>
            <w:r>
              <w:rPr>
                <w:rFonts w:ascii="Arial" w:cs="Arial" w:eastAsia="Arial" w:hAnsi="Arial"/>
                <w:color w:val="1C2833"/>
                <w:sz w:val="19"/>
                <w:szCs w:val="19"/>
              </w:rPr>
              <w:t xml:space="preserve">No consistent audit trail per routing decision</w:t>
            </w:r>
          </w:p>
        </w:tc>
        <w:tc>
          <w:tcPr>
            <w:tcW w:type="dxa" w:w="4680"/>
            <w:tcBorders>
              <w:top w:val="single" w:color="D5D8DC" w:sz="1"/>
              <w:left w:val="single" w:color="D5D8DC" w:sz="1"/>
              <w:bottom w:val="single" w:color="D5D8DC" w:sz="1"/>
              <w:right w:val="single" w:color="D5D8DC" w:sz="1"/>
            </w:tcBorders>
            <w:shd w:fill="F2F3F4" w:val="clear"/>
            <w:tcMar>
              <w:top w:type="dxa" w:w="120"/>
              <w:left w:type="dxa" w:w="160"/>
              <w:bottom w:type="dxa" w:w="120"/>
              <w:right w:type="dxa" w:w="160"/>
            </w:tcMar>
          </w:tcPr>
          <w:p>
            <w:pPr>
              <w:spacing w:after="60"/>
            </w:pPr>
            <w:r>
              <w:rPr>
                <w:rFonts w:ascii="Arial" w:cs="Arial" w:eastAsia="Arial" w:hAnsi="Arial"/>
                <w:b/>
                <w:bCs/>
                <w:color w:val="0A1628"/>
                <w:sz w:val="20"/>
                <w:szCs w:val="20"/>
              </w:rPr>
              <w:t xml:space="preserve">Solution Outcomes</w:t>
            </w:r>
          </w:p>
          <w:p>
            <w:pPr>
              <w:pStyle w:val="ListParagraph"/>
              <w:numPr>
                <w:ilvl w:val="0"/>
                <w:numId w:val="2"/>
              </w:numPr>
              <w:spacing w:after="30" w:before="40"/>
            </w:pPr>
            <w:r>
              <w:rPr>
                <w:rFonts w:ascii="Arial" w:cs="Arial" w:eastAsia="Arial" w:hAnsi="Arial"/>
                <w:color w:val="1C2833"/>
                <w:sz w:val="19"/>
                <w:szCs w:val="19"/>
              </w:rPr>
              <w:t xml:space="preserve">Structured JSON from raw transcripts in seconds</w:t>
            </w:r>
          </w:p>
          <w:p>
            <w:pPr>
              <w:pStyle w:val="ListParagraph"/>
              <w:numPr>
                <w:ilvl w:val="0"/>
                <w:numId w:val="2"/>
              </w:numPr>
              <w:spacing w:after="30" w:before="30"/>
            </w:pPr>
            <w:r>
              <w:rPr>
                <w:rFonts w:ascii="Arial" w:cs="Arial" w:eastAsia="Arial" w:hAnsi="Arial"/>
                <w:color w:val="1C2833"/>
                <w:sz w:val="19"/>
                <w:szCs w:val="19"/>
              </w:rPr>
              <w:t xml:space="preserve">100% consistent SOP rule application</w:t>
            </w:r>
          </w:p>
          <w:p>
            <w:pPr>
              <w:pStyle w:val="ListParagraph"/>
              <w:numPr>
                <w:ilvl w:val="0"/>
                <w:numId w:val="2"/>
              </w:numPr>
              <w:spacing w:after="30" w:before="30"/>
            </w:pPr>
            <w:r>
              <w:rPr>
                <w:rFonts w:ascii="Arial" w:cs="Arial" w:eastAsia="Arial" w:hAnsi="Arial"/>
                <w:color w:val="1C2833"/>
                <w:sz w:val="19"/>
                <w:szCs w:val="19"/>
              </w:rPr>
              <w:t xml:space="preserve">Human verification before record commit</w:t>
            </w:r>
          </w:p>
          <w:p>
            <w:pPr>
              <w:pStyle w:val="ListParagraph"/>
              <w:numPr>
                <w:ilvl w:val="0"/>
                <w:numId w:val="2"/>
              </w:numPr>
              <w:spacing w:after="30" w:before="30"/>
            </w:pPr>
            <w:r>
              <w:rPr>
                <w:rFonts w:ascii="Arial" w:cs="Arial" w:eastAsia="Arial" w:hAnsi="Arial"/>
                <w:color w:val="1C2833"/>
                <w:sz w:val="19"/>
                <w:szCs w:val="19"/>
              </w:rPr>
              <w:t xml:space="preserve">Full output log per case for compliance</w:t>
            </w:r>
          </w:p>
        </w:tc>
      </w:tr>
    </w:tbl>
    <w:p>
      <w:pPr>
        <w:pBdr>
          <w:bottom w:val="single" w:color="1A5276" w:sz="4" w:space="2"/>
        </w:pBdr>
        <w:spacing w:after="80" w:before="320"/>
      </w:pPr>
      <w:r>
        <w:rPr>
          <w:rFonts w:ascii="Arial" w:cs="Arial" w:eastAsia="Arial" w:hAnsi="Arial"/>
          <w:b/>
          <w:bCs/>
          <w:color w:val="1A5276"/>
          <w:spacing w:val="40"/>
          <w:sz w:val="18"/>
          <w:szCs w:val="18"/>
        </w:rPr>
        <w:t xml:space="preserve">ARCHITECTURE &amp; TECHNICAL DESIGN</w:t>
      </w:r>
    </w:p>
    <w:p>
      <w:pPr>
        <w:spacing w:after="80" w:before="80"/>
      </w:pPr>
      <w:r>
        <w:rPr>
          <w:rFonts w:ascii="Arial" w:cs="Arial" w:eastAsia="Arial" w:hAnsi="Arial"/>
          <w:color w:val="1C2833"/>
          <w:sz w:val="21"/>
          <w:szCs w:val="21"/>
        </w:rPr>
        <w:t xml:space="preserve">The system is deliberately split into two distinct processing layers:</w:t>
      </w:r>
    </w:p>
    <w:p>
      <w:pPr>
        <w:spacing w:after="60" w:before="120"/>
      </w:pPr>
      <w:r>
        <w:rPr>
          <w:rFonts w:ascii="Arial" w:cs="Arial" w:eastAsia="Arial" w:hAnsi="Arial"/>
          <w:b/>
          <w:bCs/>
          <w:color w:val="1A5276"/>
          <w:sz w:val="22"/>
          <w:szCs w:val="22"/>
        </w:rPr>
        <w:t xml:space="preserve">Layer 1 — Clinical Processor (Extraction)</w:t>
      </w:r>
    </w:p>
    <w:p>
      <w:pPr>
        <w:spacing w:after="80" w:before="80"/>
      </w:pPr>
      <w:r>
        <w:rPr>
          <w:rFonts w:ascii="Arial" w:cs="Arial" w:eastAsia="Arial" w:hAnsi="Arial"/>
          <w:color w:val="1C2833"/>
          <w:sz w:val="21"/>
          <w:szCs w:val="21"/>
        </w:rPr>
        <w:t xml:space="preserve">A large language model handles the ambiguous, conversational nature of patient transcripts. Transcripts may be phone calls, text chats, or typed notes — each with colloquial phrasing, incomplete sentences, and implicit clinical context. The Clinical Processor is prompted to output a strict JSON schema covering all clinically relevant fields. Crucially, this layer does not make routing decisions; it only converts unstructured text into structured, machine-readable facts.</w:t>
      </w:r>
    </w:p>
    <w:p>
      <w:pPr>
        <w:spacing w:after="60" w:before="120"/>
      </w:pPr>
      <w:r>
        <w:rPr>
          <w:rFonts w:ascii="Arial" w:cs="Arial" w:eastAsia="Arial" w:hAnsi="Arial"/>
          <w:b/>
          <w:bCs/>
          <w:color w:val="1A5276"/>
          <w:sz w:val="22"/>
          <w:szCs w:val="22"/>
        </w:rPr>
        <w:t xml:space="preserve">Layer 2 — Deterministic SOP Engine (Routing)</w:t>
      </w:r>
    </w:p>
    <w:p>
      <w:pPr>
        <w:spacing w:after="80" w:before="80"/>
      </w:pPr>
      <w:r>
        <w:rPr>
          <w:rFonts w:ascii="Arial" w:cs="Arial" w:eastAsia="Arial" w:hAnsi="Arial"/>
          <w:color w:val="1C2833"/>
          <w:sz w:val="21"/>
          <w:szCs w:val="21"/>
        </w:rPr>
        <w:t xml:space="preserve">Once facts are extracted, a pure Python rule engine applies each SOP condition as a boolean predicate. This layer contains no probabilistic generation — every routing decision is a direct if/then evaluation of extracted fact values against the SOP table. This design choice is intentional and critical: routing decisions must be explainable, reproducible, and auditable. A clinician must be able to trace any recommendation back to a specific rule and a specific statement in the transcript.</w:t>
      </w:r>
    </w:p>
    <w:p>
      <w:pPr>
        <w:pBdr>
          <w:bottom w:val="single" w:color="1A5276" w:sz="4" w:space="2"/>
        </w:pBdr>
        <w:spacing w:after="80" w:before="320"/>
      </w:pPr>
      <w:r>
        <w:rPr>
          <w:rFonts w:ascii="Arial" w:cs="Arial" w:eastAsia="Arial" w:hAnsi="Arial"/>
          <w:b/>
          <w:bCs/>
          <w:color w:val="1A5276"/>
          <w:spacing w:val="40"/>
          <w:sz w:val="18"/>
          <w:szCs w:val="18"/>
        </w:rPr>
        <w:t xml:space="preserve">DETERMINISTIC LOGIC VS. PROBABILISTIC GENERATION</w:t>
      </w:r>
    </w:p>
    <w:p>
      <w:pPr>
        <w:spacing w:after="80" w:before="80"/>
      </w:pPr>
      <w:r>
        <w:rPr>
          <w:rFonts w:ascii="Arial" w:cs="Arial" w:eastAsia="Arial" w:hAnsi="Arial"/>
          <w:color w:val="1C2833"/>
          <w:sz w:val="21"/>
          <w:szCs w:val="21"/>
        </w:rPr>
        <w:t xml:space="preserve">A purely generative approach — asking the language model to both extract facts and generate routing decisions in a single prompt — introduces unacceptable risk in a clinical context. The model may hallucinate a routing outcome that was never grounded in the transcript, or it may misinterpret a colloquial phrase differently on repeated runs, producing inconsistent decisions for identical inputs.</w:t>
      </w:r>
    </w:p>
    <w:p>
      <w:pPr>
        <w:spacing w:after="80" w:before="80"/>
      </w:pPr>
    </w:p>
    <w:p>
      <w:pPr>
        <w:spacing w:after="80" w:before="80"/>
      </w:pPr>
      <w:r>
        <w:rPr>
          <w:rFonts w:ascii="Arial" w:cs="Arial" w:eastAsia="Arial" w:hAnsi="Arial"/>
          <w:color w:val="1C2833"/>
          <w:sz w:val="21"/>
          <w:szCs w:val="21"/>
        </w:rPr>
        <w:t xml:space="preserve">The hybrid architecture resolves this tension: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Concern</w:t>
            </w:r>
          </w:p>
        </w:tc>
        <w:tc>
          <w:tcPr>
            <w:tcW w:type="dxa" w:w="38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Pure Generative Approach</w:t>
            </w:r>
          </w:p>
        </w:tc>
        <w:tc>
          <w:tcPr>
            <w:tcW w:type="dxa" w:w="38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Our Hybrid Approach</w:t>
            </w:r>
          </w:p>
        </w:tc>
      </w:tr>
      <w:tr>
        <w:tc>
          <w:tcPr>
            <w:tcW w:type="dxa" w:w="1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b/>
                <w:bCs/>
                <w:color w:val="1C2833"/>
                <w:sz w:val="18"/>
                <w:szCs w:val="18"/>
              </w:rPr>
              <w:t xml:space="preserve">Consistency</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C2626"/>
                <w:sz w:val="18"/>
                <w:szCs w:val="18"/>
              </w:rPr>
              <w:t xml:space="preserve">Same transcript may yield different routing on re-run</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059669"/>
                <w:sz w:val="18"/>
                <w:szCs w:val="18"/>
              </w:rPr>
              <w:t xml:space="preserve">Deterministic rules guarantee identical output for identical facts</w:t>
            </w:r>
          </w:p>
        </w:tc>
      </w:tr>
      <w:tr>
        <w:tc>
          <w:tcPr>
            <w:tcW w:type="dxa" w:w="160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b/>
                <w:bCs/>
                <w:color w:val="1C2833"/>
                <w:sz w:val="18"/>
                <w:szCs w:val="18"/>
              </w:rPr>
              <w:t xml:space="preserve">Auditability</w:t>
            </w:r>
          </w:p>
        </w:tc>
        <w:tc>
          <w:tcPr>
            <w:tcW w:type="dxa" w:w="38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DC2626"/>
                <w:sz w:val="18"/>
                <w:szCs w:val="18"/>
              </w:rPr>
              <w:t xml:space="preserve">Cannot explain which rule triggered a recommendation</w:t>
            </w:r>
          </w:p>
        </w:tc>
        <w:tc>
          <w:tcPr>
            <w:tcW w:type="dxa" w:w="38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059669"/>
                <w:sz w:val="18"/>
                <w:szCs w:val="18"/>
              </w:rPr>
              <w:t xml:space="preserve">Every action traces to a rule ID and an extracted fact</w:t>
            </w:r>
          </w:p>
        </w:tc>
      </w:tr>
      <w:tr>
        <w:tc>
          <w:tcPr>
            <w:tcW w:type="dxa" w:w="1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b/>
                <w:bCs/>
                <w:color w:val="1C2833"/>
                <w:sz w:val="18"/>
                <w:szCs w:val="18"/>
              </w:rPr>
              <w:t xml:space="preserve">SOP Updates</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C2626"/>
                <w:sz w:val="18"/>
                <w:szCs w:val="18"/>
              </w:rPr>
              <w:t xml:space="preserve">Requires re-prompting and re-validation of the full model</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059669"/>
                <w:sz w:val="18"/>
                <w:szCs w:val="18"/>
              </w:rPr>
              <w:t xml:space="preserve">Edit one rule dict entry; extraction layer unchanged</w:t>
            </w:r>
          </w:p>
        </w:tc>
      </w:tr>
    </w:tbl>
    <w:p>
      <w:pPr>
        <w:pBdr>
          <w:bottom w:val="single" w:color="1A5276" w:sz="4" w:space="2"/>
        </w:pBdr>
        <w:spacing w:after="80" w:before="320"/>
      </w:pPr>
      <w:r>
        <w:rPr>
          <w:rFonts w:ascii="Arial" w:cs="Arial" w:eastAsia="Arial" w:hAnsi="Arial"/>
          <w:b/>
          <w:bCs/>
          <w:color w:val="1A5276"/>
          <w:spacing w:val="40"/>
          <w:sz w:val="18"/>
          <w:szCs w:val="18"/>
        </w:rPr>
        <w:t xml:space="preserve">DATA INTEGRITY &amp; HUMAN-IN-THE-LOOP DESIGN</w:t>
      </w:r>
    </w:p>
    <w:p>
      <w:pPr>
        <w:spacing w:after="80" w:before="80"/>
      </w:pPr>
      <w:r>
        <w:rPr>
          <w:rFonts w:ascii="Arial" w:cs="Arial" w:eastAsia="Arial" w:hAnsi="Arial"/>
          <w:color w:val="1C2833"/>
          <w:sz w:val="21"/>
          <w:szCs w:val="21"/>
        </w:rPr>
        <w:t xml:space="preserve">The system enforces a mandatory verification step before any record is finalized. After the Clinical Processor produces extracted facts and the SOP Engine generates recommendations, the Care Team navigator reviews every clinically significant fact through an inline verification form. Each field defaults to the machine-extracted value, but the navigator can override any entry before committing the final JSON record.</w:t>
      </w:r>
    </w:p>
    <w:p>
      <w:pPr>
        <w:spacing w:after="80" w:before="80"/>
      </w:pPr>
    </w:p>
    <w:p>
      <w:pPr>
        <w:spacing w:after="80" w:before="80"/>
      </w:pPr>
      <w:r>
        <w:rPr>
          <w:rFonts w:ascii="Arial" w:cs="Arial" w:eastAsia="Arial" w:hAnsi="Arial"/>
          <w:color w:val="1C2833"/>
          <w:sz w:val="21"/>
          <w:szCs w:val="21"/>
        </w:rPr>
        <w:t xml:space="preserve">This design provides three safeguards:</w:t>
      </w:r>
    </w:p>
    <w:p>
      <w:pPr>
        <w:pStyle w:val="ListParagraph"/>
        <w:numPr>
          <w:ilvl w:val="0"/>
          <w:numId w:val="2"/>
        </w:numPr>
        <w:spacing w:after="40" w:before="40"/>
      </w:pPr>
      <w:r>
        <w:rPr>
          <w:rFonts w:ascii="Arial" w:cs="Arial" w:eastAsia="Arial" w:hAnsi="Arial"/>
          <w:b/>
          <w:bCs/>
          <w:color w:val="1C2833"/>
          <w:sz w:val="21"/>
          <w:szCs w:val="21"/>
        </w:rPr>
        <w:t xml:space="preserve">Separation of concerns: </w:t>
      </w:r>
      <w:r>
        <w:rPr>
          <w:rFonts w:ascii="Arial" w:cs="Arial" w:eastAsia="Arial" w:hAnsi="Arial"/>
          <w:color w:val="1C2833"/>
          <w:sz w:val="21"/>
          <w:szCs w:val="21"/>
        </w:rPr>
        <w:t xml:space="preserve"> The machine handles speed and coverage; the human handles judgment and edge cases.</w:t>
      </w:r>
    </w:p>
    <w:p>
      <w:pPr>
        <w:pStyle w:val="ListParagraph"/>
        <w:numPr>
          <w:ilvl w:val="0"/>
          <w:numId w:val="2"/>
        </w:numPr>
        <w:spacing w:after="40" w:before="40"/>
      </w:pPr>
      <w:r>
        <w:rPr>
          <w:rFonts w:ascii="Arial" w:cs="Arial" w:eastAsia="Arial" w:hAnsi="Arial"/>
          <w:b/>
          <w:bCs/>
          <w:color w:val="1C2833"/>
          <w:sz w:val="21"/>
          <w:szCs w:val="21"/>
        </w:rPr>
        <w:t xml:space="preserve">Verification logging: </w:t>
      </w:r>
      <w:r>
        <w:rPr>
          <w:rFonts w:ascii="Arial" w:cs="Arial" w:eastAsia="Arial" w:hAnsi="Arial"/>
          <w:color w:val="1C2833"/>
          <w:sz w:val="21"/>
          <w:szCs w:val="21"/>
        </w:rPr>
        <w:t xml:space="preserve"> Every finalized record includes both the extracted value and the navigator-confirmed value, creating a full audit trail.</w:t>
      </w:r>
    </w:p>
    <w:p>
      <w:pPr>
        <w:pStyle w:val="ListParagraph"/>
        <w:numPr>
          <w:ilvl w:val="0"/>
          <w:numId w:val="2"/>
        </w:numPr>
        <w:spacing w:after="40" w:before="40"/>
      </w:pPr>
      <w:r>
        <w:rPr>
          <w:rFonts w:ascii="Arial" w:cs="Arial" w:eastAsia="Arial" w:hAnsi="Arial"/>
          <w:b/>
          <w:bCs/>
          <w:color w:val="1C2833"/>
          <w:sz w:val="21"/>
          <w:szCs w:val="21"/>
        </w:rPr>
        <w:t xml:space="preserve">Model calibration feedback: </w:t>
      </w:r>
      <w:r>
        <w:rPr>
          <w:rFonts w:ascii="Arial" w:cs="Arial" w:eastAsia="Arial" w:hAnsi="Arial"/>
          <w:color w:val="1C2833"/>
          <w:sz w:val="21"/>
          <w:szCs w:val="21"/>
        </w:rPr>
        <w:t xml:space="preserve"> Navigators learn to spot systematic extraction errors, feeding a continuous improvement loop.</w:t>
      </w:r>
    </w:p>
    <w:p>
      <w:pPr>
        <w:pBdr>
          <w:bottom w:val="single" w:color="1A5276" w:sz="4" w:space="2"/>
        </w:pBdr>
        <w:spacing w:after="80" w:before="320"/>
      </w:pPr>
      <w:r>
        <w:rPr>
          <w:rFonts w:ascii="Arial" w:cs="Arial" w:eastAsia="Arial" w:hAnsi="Arial"/>
          <w:b/>
          <w:bCs/>
          <w:color w:val="1A5276"/>
          <w:spacing w:val="40"/>
          <w:sz w:val="18"/>
          <w:szCs w:val="18"/>
        </w:rPr>
        <w:t xml:space="preserve">SOP RULE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300"/>
        <w:gridCol w:w="1400"/>
        <w:gridCol w:w="2660"/>
      </w:tblGrid>
      <w:tr>
        <w:trPr>
          <w:tblHeader/>
        </w:trPr>
        <w:tc>
          <w:tcPr>
            <w:tcW w:type="dxa" w:w="8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ID</w:t>
            </w:r>
          </w:p>
        </w:tc>
        <w:tc>
          <w:tcPr>
            <w:tcW w:type="dxa" w:w="12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Category</w:t>
            </w:r>
          </w:p>
        </w:tc>
        <w:tc>
          <w:tcPr>
            <w:tcW w:type="dxa" w:w="23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Finding</w:t>
            </w:r>
          </w:p>
        </w:tc>
        <w:tc>
          <w:tcPr>
            <w:tcW w:type="dxa" w:w="14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Status</w:t>
            </w:r>
          </w:p>
        </w:tc>
        <w:tc>
          <w:tcPr>
            <w:tcW w:type="dxa" w:w="266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Required Action</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GEN-001</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General</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Dental visit &gt; 6 months or pending work</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059669"/>
                <w:sz w:val="16"/>
                <w:szCs w:val="16"/>
              </w:rPr>
              <w:t xml:space="preserve">Action Required</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Instruct dental clearance before Consultation.</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JNT-001</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Active Smoker (quit &lt; 3 months)</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D97706"/>
                <w:sz w:val="16"/>
                <w:szCs w:val="16"/>
              </w:rPr>
              <w:t xml:space="preserve">Deferred</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Smoking Cessation referral; pause case 3 months.</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JNT-002</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No formal PT attempt</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DC2626"/>
                <w:sz w:val="16"/>
                <w:szCs w:val="16"/>
              </w:rPr>
              <w:t xml:space="preserve">Ineligible</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Refer to 6–12 week PT trial.</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JNT-003</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HbA1c &gt; 7.0</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2563EB"/>
                <w:sz w:val="16"/>
                <w:szCs w:val="16"/>
              </w:rPr>
              <w:t xml:space="preserve">Review</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Flag for Clinical MD Review, glucose optimization.</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JNT-004</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Daily Opioid use &gt; 3 months</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EA580C"/>
                <w:sz w:val="16"/>
                <w:szCs w:val="16"/>
              </w:rPr>
              <w:t xml:space="preserve">High Complexity</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Flag for Anesthesia High Risk Consult.</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BAR-001</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Bariatric</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Prior weight-loss surgery</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7C3AED"/>
                <w:sz w:val="16"/>
                <w:szCs w:val="16"/>
              </w:rPr>
              <w:t xml:space="preserve">Revision Case</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Flag for specialized surgical review.</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BAR-002</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Bariatric</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No EGD in last 3 months</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059669"/>
                <w:sz w:val="16"/>
                <w:szCs w:val="16"/>
              </w:rPr>
              <w:t xml:space="preserve">Action Required</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Schedule EGD after Consultation.</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BAR-003</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Bariatric</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No Registered Dietician identified</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6B7280"/>
                <w:sz w:val="16"/>
                <w:szCs w:val="16"/>
              </w:rPr>
              <w:t xml:space="preserve">Hold</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Provide in-network RD list; confirm before referral.</w:t>
            </w:r>
          </w:p>
        </w:tc>
      </w:tr>
    </w:tbl>
    <w:p>
      <w:pPr>
        <w:pBdr>
          <w:bottom w:val="single" w:color="1A5276" w:sz="4" w:space="2"/>
        </w:pBdr>
        <w:spacing w:after="80" w:before="320"/>
      </w:pPr>
      <w:r>
        <w:rPr>
          <w:rFonts w:ascii="Arial" w:cs="Arial" w:eastAsia="Arial" w:hAnsi="Arial"/>
          <w:b/>
          <w:bCs/>
          <w:color w:val="1A5276"/>
          <w:spacing w:val="40"/>
          <w:sz w:val="18"/>
          <w:szCs w:val="18"/>
        </w:rPr>
        <w:t xml:space="preserve">SCALABILITY CONSIDERATIONS</w:t>
      </w:r>
    </w:p>
    <w:p>
      <w:pPr>
        <w:spacing w:after="80" w:before="80"/>
      </w:pPr>
      <w:r>
        <w:rPr>
          <w:rFonts w:ascii="Arial" w:cs="Arial" w:eastAsia="Arial" w:hAnsi="Arial"/>
          <w:color w:val="1C2833"/>
          <w:sz w:val="21"/>
          <w:szCs w:val="21"/>
        </w:rPr>
        <w:t xml:space="preserve">The architecture is designed to scale horizontally without compromising clinical integrity:</w:t>
      </w:r>
    </w:p>
    <w:p>
      <w:pPr>
        <w:spacing w:after="40" w:before="120"/>
      </w:pPr>
      <w:r>
        <w:rPr>
          <w:rFonts w:ascii="Arial" w:cs="Arial" w:eastAsia="Arial" w:hAnsi="Arial"/>
          <w:b/>
          <w:bCs/>
          <w:color w:val="1A5276"/>
          <w:sz w:val="21"/>
          <w:szCs w:val="21"/>
        </w:rPr>
        <w:t xml:space="preserve">Throughput</w:t>
      </w:r>
    </w:p>
    <w:p>
      <w:pPr>
        <w:spacing w:after="80" w:before="80"/>
      </w:pPr>
      <w:r>
        <w:rPr>
          <w:rFonts w:ascii="Arial" w:cs="Arial" w:eastAsia="Arial" w:hAnsi="Arial"/>
          <w:color w:val="1C2833"/>
          <w:sz w:val="21"/>
          <w:szCs w:val="21"/>
        </w:rPr>
        <w:t xml:space="preserve">The extraction call is stateless and parallelizable. At volume, a message queue (e.g., SQS or Pub/Sub) can fan out transcript processing across multiple workers. The SOP engine is CPU-only and adds negligible latency. End-to-end processing time is bounded by the extraction API latency, not by the rule engine.</w:t>
      </w:r>
    </w:p>
    <w:p>
      <w:pPr>
        <w:spacing w:after="40" w:before="120"/>
      </w:pPr>
      <w:r>
        <w:rPr>
          <w:rFonts w:ascii="Arial" w:cs="Arial" w:eastAsia="Arial" w:hAnsi="Arial"/>
          <w:b/>
          <w:bCs/>
          <w:color w:val="1A5276"/>
          <w:sz w:val="21"/>
          <w:szCs w:val="21"/>
        </w:rPr>
        <w:t xml:space="preserve">SOP Maintainability</w:t>
      </w:r>
    </w:p>
    <w:p>
      <w:pPr>
        <w:spacing w:after="80" w:before="80"/>
      </w:pPr>
      <w:r>
        <w:rPr>
          <w:rFonts w:ascii="Arial" w:cs="Arial" w:eastAsia="Arial" w:hAnsi="Arial"/>
          <w:color w:val="1C2833"/>
          <w:sz w:val="21"/>
          <w:szCs w:val="21"/>
        </w:rPr>
        <w:t xml:space="preserve">Each SOP rule is a single dictionary entry in a centrally managed array. Clinical operations teams can add, remove, or modify rules without touching the extraction layer or the UI. Rule changes take effect immediately on next deployment — no model retraining required.</w:t>
      </w:r>
    </w:p>
    <w:p>
      <w:pPr>
        <w:spacing w:after="40" w:before="120"/>
      </w:pPr>
      <w:r>
        <w:rPr>
          <w:rFonts w:ascii="Arial" w:cs="Arial" w:eastAsia="Arial" w:hAnsi="Arial"/>
          <w:b/>
          <w:bCs/>
          <w:color w:val="1A5276"/>
          <w:sz w:val="21"/>
          <w:szCs w:val="21"/>
        </w:rPr>
        <w:t xml:space="preserve">Multi-Specialty Expansion</w:t>
      </w:r>
    </w:p>
    <w:p>
      <w:pPr>
        <w:spacing w:after="80" w:before="80"/>
      </w:pPr>
      <w:r>
        <w:rPr>
          <w:rFonts w:ascii="Arial" w:cs="Arial" w:eastAsia="Arial" w:hAnsi="Arial"/>
          <w:color w:val="1C2833"/>
          <w:sz w:val="21"/>
          <w:szCs w:val="21"/>
        </w:rPr>
        <w:t xml:space="preserve">The case_type field in the fact schema currently supports Joint and Bariatric cases. New specialties (Cardiac, Spine, etc.) are added by defining new SOP rules tagged with the specialty category and extending the extraction prompt to recognize the new clinical signals. The core pipeline requires no architectural changes.</w:t>
      </w:r>
    </w:p>
    <w:p>
      <w:pPr>
        <w:spacing w:after="40" w:before="120"/>
      </w:pPr>
      <w:r>
        <w:rPr>
          <w:rFonts w:ascii="Arial" w:cs="Arial" w:eastAsia="Arial" w:hAnsi="Arial"/>
          <w:b/>
          <w:bCs/>
          <w:color w:val="1A5276"/>
          <w:sz w:val="21"/>
          <w:szCs w:val="21"/>
        </w:rPr>
        <w:t xml:space="preserve">Feedback Loop &amp; Model Improvement</w:t>
      </w:r>
    </w:p>
    <w:p>
      <w:pPr>
        <w:spacing w:after="80" w:before="80"/>
      </w:pPr>
      <w:r>
        <w:rPr>
          <w:rFonts w:ascii="Arial" w:cs="Arial" w:eastAsia="Arial" w:hAnsi="Arial"/>
          <w:color w:val="1C2833"/>
          <w:sz w:val="21"/>
          <w:szCs w:val="21"/>
        </w:rPr>
        <w:t xml:space="preserve">Navigator correction data (cases where the extracted fact was overridden) is captured in the finalized JSON output. Aggregating these corrections over time identifies systematic prompt weaknesses and enables targeted few-shot examples to be added to the extraction prompt — improving accuracy without changing the overall system design.</w:t>
      </w:r>
    </w:p>
    <w:p>
      <w:pPr>
        <w:pBdr>
          <w:bottom w:val="single" w:color="1A5276" w:sz="4" w:space="2"/>
        </w:pBdr>
        <w:spacing w:after="80" w:before="320"/>
      </w:pPr>
      <w:r>
        <w:rPr>
          <w:rFonts w:ascii="Arial" w:cs="Arial" w:eastAsia="Arial" w:hAnsi="Arial"/>
          <w:b/>
          <w:bCs/>
          <w:color w:val="1A5276"/>
          <w:spacing w:val="40"/>
          <w:sz w:val="18"/>
          <w:szCs w:val="18"/>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Component</w:t>
            </w:r>
          </w:p>
        </w:tc>
        <w:tc>
          <w:tcPr>
            <w:tcW w:type="dxa" w:w="686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Choice &amp; Rationale</w:t>
            </w:r>
          </w:p>
        </w:tc>
      </w:tr>
      <w:tr>
        <w:tc>
          <w:tcPr>
            <w:tcW w:type="dxa" w:w="250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b/>
                <w:bCs/>
                <w:color w:val="1A5276"/>
                <w:sz w:val="19"/>
                <w:szCs w:val="19"/>
              </w:rPr>
              <w:t xml:space="preserve">UI Framework</w:t>
            </w:r>
          </w:p>
        </w:tc>
        <w:tc>
          <w:tcPr>
            <w:tcW w:type="dxa" w:w="686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color w:val="1C2833"/>
                <w:sz w:val="19"/>
                <w:szCs w:val="19"/>
              </w:rPr>
              <w:t xml:space="preserve">Streamlit — Fastest path to a functional, shareable prototype for non-developer clinical users.</w:t>
            </w:r>
          </w:p>
        </w:tc>
      </w:tr>
      <w:tr>
        <w:tc>
          <w:tcPr>
            <w:tcW w:type="dxa" w:w="250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b/>
                <w:bCs/>
                <w:color w:val="1A5276"/>
                <w:sz w:val="19"/>
                <w:szCs w:val="19"/>
              </w:rPr>
              <w:t xml:space="preserve">Backend Language</w:t>
            </w:r>
          </w:p>
        </w:tc>
        <w:tc>
          <w:tcPr>
            <w:tcW w:type="dxa" w:w="686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color w:val="1C2833"/>
                <w:sz w:val="19"/>
                <w:szCs w:val="19"/>
              </w:rPr>
              <w:t xml:space="preserve">Python — Universal in data and clinical tooling; easy for future EMR integration via HL7/FHIR.</w:t>
            </w:r>
          </w:p>
        </w:tc>
      </w:tr>
      <w:tr>
        <w:tc>
          <w:tcPr>
            <w:tcW w:type="dxa" w:w="250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b/>
                <w:bCs/>
                <w:color w:val="1A5276"/>
                <w:sz w:val="19"/>
                <w:szCs w:val="19"/>
              </w:rPr>
              <w:t xml:space="preserve">Clinical Processor</w:t>
            </w:r>
          </w:p>
        </w:tc>
        <w:tc>
          <w:tcPr>
            <w:tcW w:type="dxa" w:w="686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color w:val="1C2833"/>
                <w:sz w:val="19"/>
                <w:szCs w:val="19"/>
              </w:rPr>
              <w:t xml:space="preserve">Google Gemini Flash — Fast, cost-efficient instruction following for structured JSON extraction from conversational text; free tier available via Google AI Studio.</w:t>
            </w:r>
          </w:p>
        </w:tc>
      </w:tr>
      <w:tr>
        <w:tc>
          <w:tcPr>
            <w:tcW w:type="dxa" w:w="250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b/>
                <w:bCs/>
                <w:color w:val="1A5276"/>
                <w:sz w:val="19"/>
                <w:szCs w:val="19"/>
              </w:rPr>
              <w:t xml:space="preserve">SOP Engine</w:t>
            </w:r>
          </w:p>
        </w:tc>
        <w:tc>
          <w:tcPr>
            <w:tcW w:type="dxa" w:w="686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color w:val="1C2833"/>
                <w:sz w:val="19"/>
                <w:szCs w:val="19"/>
              </w:rPr>
              <w:t xml:space="preserve">Pure Python (no external dependency) — Guarantees deterministic, auditable routing with zero latency.</w:t>
            </w:r>
          </w:p>
        </w:tc>
      </w:tr>
      <w:tr>
        <w:tc>
          <w:tcPr>
            <w:tcW w:type="dxa" w:w="250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b/>
                <w:bCs/>
                <w:color w:val="1A5276"/>
                <w:sz w:val="19"/>
                <w:szCs w:val="19"/>
              </w:rPr>
              <w:t xml:space="preserve">Output Format</w:t>
            </w:r>
          </w:p>
        </w:tc>
        <w:tc>
          <w:tcPr>
            <w:tcW w:type="dxa" w:w="686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color w:val="1C2833"/>
                <w:sz w:val="19"/>
                <w:szCs w:val="19"/>
              </w:rPr>
              <w:t xml:space="preserve">Validated JSON — Machine-readable, EMR-ingestible, and fully portable to downstream systems.</w:t>
            </w:r>
          </w:p>
        </w:tc>
      </w:tr>
      <w:tr>
        <w:tc>
          <w:tcPr>
            <w:tcW w:type="dxa" w:w="250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b/>
                <w:bCs/>
                <w:color w:val="1A5276"/>
                <w:sz w:val="19"/>
                <w:szCs w:val="19"/>
              </w:rPr>
              <w:t xml:space="preserve">Hosting</w:t>
            </w:r>
          </w:p>
        </w:tc>
        <w:tc>
          <w:tcPr>
            <w:tcW w:type="dxa" w:w="686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color w:val="1C2833"/>
                <w:sz w:val="19"/>
                <w:szCs w:val="19"/>
              </w:rPr>
              <w:t xml:space="preserve">Streamlit Community Cloud — Zero-ops deployment; shareable URL for demo and testing.</w:t>
            </w:r>
          </w:p>
        </w:tc>
      </w:tr>
    </w:tbl>
    <w:p>
      <w:pPr>
        <w:pBdr>
          <w:bottom w:val="single" w:color="1A5276" w:sz="4" w:space="2"/>
        </w:pBdr>
        <w:spacing w:after="80" w:before="320"/>
      </w:pPr>
      <w:r>
        <w:rPr>
          <w:rFonts w:ascii="Arial" w:cs="Arial" w:eastAsia="Arial" w:hAnsi="Arial"/>
          <w:b/>
          <w:bCs/>
          <w:color w:val="1A5276"/>
          <w:spacing w:val="40"/>
          <w:sz w:val="18"/>
          <w:szCs w:val="18"/>
        </w:rPr>
        <w:t xml:space="preserve">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Risk</w:t>
            </w:r>
          </w:p>
        </w:tc>
        <w:tc>
          <w:tcPr>
            <w:tcW w:type="dxa" w:w="33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Likelihood</w:t>
            </w:r>
          </w:p>
        </w:tc>
        <w:tc>
          <w:tcPr>
            <w:tcW w:type="dxa" w:w="33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Mitigation</w:t>
            </w:r>
          </w:p>
        </w:tc>
      </w:tr>
      <w:tr>
        <w:tc>
          <w:tcPr>
            <w:tcW w:type="dxa" w:w="2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Extraction error (ambiguous phrasing)</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97706"/>
                <w:sz w:val="18"/>
                <w:szCs w:val="18"/>
              </w:rPr>
              <w:t xml:space="preserve">Medium</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Human-in-the-loop verification step catches errors before commit</w:t>
            </w:r>
          </w:p>
        </w:tc>
      </w:tr>
      <w:tr>
        <w:tc>
          <w:tcPr>
            <w:tcW w:type="dxa" w:w="260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1C2833"/>
                <w:sz w:val="18"/>
                <w:szCs w:val="18"/>
              </w:rPr>
              <w:t xml:space="preserve">SOP rule gap (edge case not covered)</w:t>
            </w:r>
          </w:p>
        </w:tc>
        <w:tc>
          <w:tcPr>
            <w:tcW w:type="dxa" w:w="33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059669"/>
                <w:sz w:val="18"/>
                <w:szCs w:val="18"/>
              </w:rPr>
              <w:t xml:space="preserve">Low-Medium</w:t>
            </w:r>
          </w:p>
        </w:tc>
        <w:tc>
          <w:tcPr>
            <w:tcW w:type="dxa" w:w="33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1C2833"/>
                <w:sz w:val="18"/>
                <w:szCs w:val="18"/>
              </w:rPr>
              <w:t xml:space="preserve">Rules are centrally managed; add new entries in minutes</w:t>
            </w:r>
          </w:p>
        </w:tc>
      </w:tr>
      <w:tr>
        <w:tc>
          <w:tcPr>
            <w:tcW w:type="dxa" w:w="2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PHI data exposure</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97706"/>
                <w:sz w:val="18"/>
                <w:szCs w:val="18"/>
              </w:rPr>
              <w:t xml:space="preserve">Medium (production)</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Production version routes through BAA-covered API endpoint; no data stored</w:t>
            </w:r>
          </w:p>
        </w:tc>
      </w:tr>
    </w:tbl>
    <w:p>
      <w:pPr>
        <w:pBdr>
          <w:bottom w:val="single" w:color="1A5276" w:sz="4" w:space="2"/>
        </w:pBdr>
        <w:spacing w:after="80" w:before="320"/>
      </w:pPr>
      <w:r>
        <w:rPr>
          <w:rFonts w:ascii="Arial" w:cs="Arial" w:eastAsia="Arial" w:hAnsi="Arial"/>
          <w:b/>
          <w:bCs/>
          <w:color w:val="1A5276"/>
          <w:spacing w:val="40"/>
          <w:sz w:val="18"/>
          <w:szCs w:val="18"/>
        </w:rPr>
        <w:t xml:space="preserve">CONCLUSION</w:t>
      </w:r>
    </w:p>
    <w:p>
      <w:pPr>
        <w:spacing w:after="80" w:before="80"/>
      </w:pPr>
      <w:r>
        <w:rPr>
          <w:rFonts w:ascii="Arial" w:cs="Arial" w:eastAsia="Arial" w:hAnsi="Arial"/>
          <w:color w:val="1C2833"/>
          <w:sz w:val="21"/>
          <w:szCs w:val="21"/>
        </w:rPr>
        <w:t xml:space="preserve">The Clinical Routing Navigator demonstrates that the highest-leverage application of machine learning models in healthcare workflows is not autonomous decision-making — it is intelligent data structuring that amplifies the capacity of expert human navigators. By reserving probabilistic generation for what it does best (understanding conversational language) and reserving deterministic logic for what clinical contexts demand (consistent, explainable rule application), this architecture is safe to deploy, simple to maintain, and ready to scale.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DC" w:sz="4" w:space="4"/>
      </w:pBdr>
      <w:spacing w:before="100"/>
      <w:jc w:val="center"/>
    </w:pPr>
    <w:r>
      <w:rPr>
        <w:rFonts w:ascii="Arial" w:cs="Arial" w:eastAsia="Arial" w:hAnsi="Arial"/>
        <w:color w:val="AEB6BF"/>
        <w:sz w:val="16"/>
        <w:szCs w:val="16"/>
      </w:rPr>
      <w:t xml:space="preserve">Confidential — Internal Use Only  |  Carrum Health  |  Page </w:t>
    </w:r>
    <w:r>
      <w:rPr>
        <w:rFonts w:ascii="Arial" w:cs="Arial" w:eastAsia="Arial" w:hAnsi="Arial"/>
        <w:color w:val="AEB6B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shd w:fill="0A1628" w:val="clear"/>
          <w:tcMar>
            <w:top w:type="dxa" w:w="160"/>
            <w:left w:type="dxa" w:w="240"/>
            <w:bottom w:type="dxa" w:w="160"/>
            <w:right w:type="dxa" w:w="120"/>
          </w:tcMar>
        </w:tcPr>
        <w:p>
          <w:r>
            <w:rPr>
              <w:rFonts w:ascii="Arial" w:cs="Arial" w:eastAsia="Arial" w:hAnsi="Arial"/>
              <w:b/>
              <w:bCs/>
              <w:color w:val="FFFFFF"/>
              <w:spacing w:val="60"/>
              <w:sz w:val="18"/>
              <w:szCs w:val="18"/>
            </w:rPr>
            <w:t xml:space="preserve">CARRUM HEALTH</w:t>
          </w:r>
        </w:p>
      </w:tc>
      <w:tc>
        <w:tcPr>
          <w:tcW w:type="dxa" w:w="5040"/>
          <w:tcBorders>
            <w:top w:val="none" w:color="FFFFFF" w:sz="0"/>
            <w:left w:val="none" w:color="FFFFFF" w:sz="0"/>
            <w:bottom w:val="none" w:color="FFFFFF" w:sz="0"/>
            <w:right w:val="none" w:color="FFFFFF" w:sz="0"/>
          </w:tcBorders>
          <w:shd w:fill="0A1628" w:val="clear"/>
          <w:tcMar>
            <w:top w:type="dxa" w:w="160"/>
            <w:left w:type="dxa" w:w="120"/>
            <w:bottom w:type="dxa" w:w="160"/>
            <w:right w:type="dxa" w:w="240"/>
          </w:tcMar>
        </w:tcPr>
        <w:p>
          <w:pPr>
            <w:jc w:val="right"/>
          </w:pPr>
          <w:r>
            <w:rPr>
              <w:rFonts w:ascii="Arial" w:cs="Arial" w:eastAsia="Arial" w:hAnsi="Arial"/>
              <w:color w:val="7BA3C8"/>
              <w:sz w:val="18"/>
              <w:szCs w:val="18"/>
            </w:rPr>
            <w:t xml:space="preserve">Clinical Routing Navigator — Strategic Brief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2026-04-22T04:21:27.273Z</dcterms:created>
  <dcterms:modified xsi:type="dcterms:W3CDTF">2026-04-22T04:21:27.274Z</dcterms:modified>
</cp:coreProperties>
</file>

<file path=docProps/custom.xml><?xml version="1.0" encoding="utf-8"?>
<Properties xmlns="http://schemas.openxmlformats.org/officeDocument/2006/custom-properties" xmlns:vt="http://schemas.openxmlformats.org/officeDocument/2006/docPropsVTypes"/>
</file>