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7313" w:rsidRDefault="007B38B5" w:rsidP="00B7731A">
      <w:pPr>
        <w:jc w:val="center"/>
        <w:rPr>
          <w:sz w:val="32"/>
          <w:szCs w:val="32"/>
        </w:rPr>
      </w:pPr>
      <w:r>
        <w:rPr>
          <w:sz w:val="32"/>
          <w:szCs w:val="32"/>
        </w:rPr>
        <w:t>DRAFT – FOR DISCUSSION ONLY</w:t>
      </w:r>
    </w:p>
    <w:p w:rsidR="00B7731A" w:rsidRDefault="00B7731A" w:rsidP="00B7731A">
      <w:pPr>
        <w:jc w:val="center"/>
        <w:rPr>
          <w:sz w:val="32"/>
          <w:szCs w:val="32"/>
        </w:rPr>
      </w:pPr>
      <w:r w:rsidRPr="00B7731A">
        <w:rPr>
          <w:sz w:val="32"/>
          <w:szCs w:val="32"/>
        </w:rPr>
        <w:t>TECHNICAL REPORT</w:t>
      </w:r>
    </w:p>
    <w:p w:rsidR="00DB520F" w:rsidRPr="00B7731A" w:rsidRDefault="00E453DE" w:rsidP="00B7731A">
      <w:pPr>
        <w:jc w:val="center"/>
        <w:rPr>
          <w:sz w:val="32"/>
          <w:szCs w:val="32"/>
        </w:rPr>
      </w:pPr>
      <w:r>
        <w:rPr>
          <w:sz w:val="32"/>
          <w:szCs w:val="32"/>
        </w:rPr>
        <w:t>January, 2017</w:t>
      </w:r>
    </w:p>
    <w:p w:rsidR="00B7731A" w:rsidRDefault="00B7731A" w:rsidP="00B7731A">
      <w:pPr>
        <w:jc w:val="center"/>
      </w:pPr>
    </w:p>
    <w:p w:rsidR="00B27313" w:rsidRDefault="00B27313" w:rsidP="00B7731A">
      <w:pPr>
        <w:jc w:val="center"/>
        <w:rPr>
          <w:b/>
          <w:sz w:val="36"/>
          <w:szCs w:val="36"/>
        </w:rPr>
      </w:pPr>
      <w:r>
        <w:rPr>
          <w:b/>
          <w:sz w:val="36"/>
          <w:szCs w:val="36"/>
        </w:rPr>
        <w:t xml:space="preserve">Disruption of </w:t>
      </w:r>
      <w:r w:rsidR="007B38B5">
        <w:rPr>
          <w:b/>
          <w:sz w:val="36"/>
          <w:szCs w:val="36"/>
        </w:rPr>
        <w:t xml:space="preserve">Task-Free </w:t>
      </w:r>
      <w:r>
        <w:rPr>
          <w:b/>
          <w:sz w:val="36"/>
          <w:szCs w:val="36"/>
        </w:rPr>
        <w:t xml:space="preserve">Resting State </w:t>
      </w:r>
      <w:r w:rsidR="00B4475A">
        <w:rPr>
          <w:b/>
          <w:sz w:val="36"/>
          <w:szCs w:val="36"/>
        </w:rPr>
        <w:t xml:space="preserve">Network </w:t>
      </w:r>
      <w:r w:rsidR="007B38B5">
        <w:rPr>
          <w:b/>
          <w:sz w:val="36"/>
          <w:szCs w:val="36"/>
        </w:rPr>
        <w:t xml:space="preserve">fMRI </w:t>
      </w:r>
      <w:r>
        <w:rPr>
          <w:b/>
          <w:sz w:val="36"/>
          <w:szCs w:val="36"/>
        </w:rPr>
        <w:t>Correlation</w:t>
      </w:r>
      <w:r w:rsidR="00B4475A">
        <w:rPr>
          <w:b/>
          <w:sz w:val="36"/>
          <w:szCs w:val="36"/>
        </w:rPr>
        <w:t xml:space="preserve"> Structure</w:t>
      </w:r>
      <w:r>
        <w:rPr>
          <w:b/>
          <w:sz w:val="36"/>
          <w:szCs w:val="36"/>
        </w:rPr>
        <w:t xml:space="preserve"> in Mild Cognitive Impairment and </w:t>
      </w:r>
      <w:r w:rsidR="00820435">
        <w:rPr>
          <w:b/>
          <w:sz w:val="36"/>
          <w:szCs w:val="36"/>
        </w:rPr>
        <w:t xml:space="preserve">Alzheimer’s </w:t>
      </w:r>
      <w:r>
        <w:rPr>
          <w:b/>
          <w:sz w:val="36"/>
          <w:szCs w:val="36"/>
        </w:rPr>
        <w:t xml:space="preserve">Dementia in </w:t>
      </w:r>
      <w:r w:rsidR="007B38B5">
        <w:rPr>
          <w:b/>
          <w:sz w:val="36"/>
          <w:szCs w:val="36"/>
        </w:rPr>
        <w:t>ADNI 2</w:t>
      </w:r>
    </w:p>
    <w:p w:rsidR="00B27313" w:rsidRPr="00DB520F" w:rsidRDefault="00B27313" w:rsidP="00B7731A">
      <w:pPr>
        <w:jc w:val="center"/>
        <w:rPr>
          <w:b/>
          <w:sz w:val="36"/>
          <w:szCs w:val="36"/>
        </w:rPr>
      </w:pPr>
    </w:p>
    <w:p w:rsidR="00B7731A" w:rsidRPr="00451BF0" w:rsidRDefault="00B7731A" w:rsidP="00B7731A">
      <w:pPr>
        <w:jc w:val="center"/>
        <w:rPr>
          <w:sz w:val="32"/>
          <w:szCs w:val="32"/>
        </w:rPr>
      </w:pPr>
      <w:r w:rsidRPr="00DB520F">
        <w:rPr>
          <w:sz w:val="32"/>
          <w:szCs w:val="32"/>
        </w:rPr>
        <w:t>Kamil A. Grajski</w:t>
      </w:r>
      <w:r w:rsidR="00274ABB">
        <w:rPr>
          <w:sz w:val="32"/>
          <w:szCs w:val="32"/>
          <w:vertAlign w:val="superscript"/>
        </w:rPr>
        <w:t>a</w:t>
      </w:r>
      <w:r w:rsidR="00B4475A">
        <w:rPr>
          <w:sz w:val="32"/>
          <w:szCs w:val="32"/>
        </w:rPr>
        <w:t xml:space="preserve"> and Steven L. Bressler</w:t>
      </w:r>
      <w:r w:rsidR="00274ABB">
        <w:rPr>
          <w:sz w:val="32"/>
          <w:szCs w:val="32"/>
          <w:vertAlign w:val="superscript"/>
        </w:rPr>
        <w:t>b</w:t>
      </w:r>
      <w:r w:rsidR="00451BF0">
        <w:rPr>
          <w:sz w:val="32"/>
          <w:szCs w:val="32"/>
        </w:rPr>
        <w:t>, for the Alzheimer’s Disease Neuroimaging Initiative</w:t>
      </w:r>
      <w:r w:rsidR="00274ABB" w:rsidRPr="00274ABB">
        <w:rPr>
          <w:sz w:val="32"/>
          <w:szCs w:val="32"/>
          <w:vertAlign w:val="superscript"/>
        </w:rPr>
        <w:t>1</w:t>
      </w:r>
    </w:p>
    <w:p w:rsidR="00B7731A" w:rsidRDefault="00274ABB" w:rsidP="00DB520F">
      <w:pPr>
        <w:jc w:val="center"/>
        <w:rPr>
          <w:rStyle w:val="Hyperlink"/>
          <w:sz w:val="32"/>
          <w:szCs w:val="32"/>
        </w:rPr>
      </w:pPr>
      <w:r>
        <w:rPr>
          <w:sz w:val="32"/>
          <w:szCs w:val="32"/>
          <w:vertAlign w:val="superscript"/>
        </w:rPr>
        <w:t>a</w:t>
      </w:r>
      <w:r w:rsidR="00DB520F">
        <w:rPr>
          <w:sz w:val="32"/>
          <w:szCs w:val="32"/>
        </w:rPr>
        <w:t>Nur</w:t>
      </w:r>
      <w:r w:rsidR="00B4475A">
        <w:rPr>
          <w:sz w:val="32"/>
          <w:szCs w:val="32"/>
        </w:rPr>
        <w:t xml:space="preserve">oSci, LLC., </w:t>
      </w:r>
      <w:r w:rsidR="00DE7610">
        <w:rPr>
          <w:sz w:val="32"/>
          <w:szCs w:val="32"/>
        </w:rPr>
        <w:t xml:space="preserve">West Palm Beach, FL.  </w:t>
      </w:r>
      <w:hyperlink r:id="rId8" w:history="1">
        <w:r w:rsidR="00DE7610" w:rsidRPr="00E92ED0">
          <w:rPr>
            <w:rStyle w:val="Hyperlink"/>
            <w:sz w:val="32"/>
            <w:szCs w:val="32"/>
          </w:rPr>
          <w:t>kgrajski@nurosci.com</w:t>
        </w:r>
      </w:hyperlink>
    </w:p>
    <w:p w:rsidR="00B4475A" w:rsidRPr="00451BF0" w:rsidRDefault="00274ABB" w:rsidP="00451BF0">
      <w:pPr>
        <w:jc w:val="center"/>
        <w:rPr>
          <w:color w:val="0563C1" w:themeColor="hyperlink"/>
          <w:sz w:val="32"/>
          <w:szCs w:val="32"/>
          <w:u w:val="single"/>
        </w:rPr>
      </w:pPr>
      <w:r>
        <w:rPr>
          <w:sz w:val="32"/>
          <w:szCs w:val="32"/>
          <w:vertAlign w:val="superscript"/>
        </w:rPr>
        <w:t>b</w:t>
      </w:r>
      <w:r w:rsidR="00B4475A">
        <w:rPr>
          <w:sz w:val="32"/>
          <w:szCs w:val="32"/>
        </w:rPr>
        <w:t xml:space="preserve">Center for Complex Systems and Brain Sciences, Florida Atlantic University, Boca Raton, FL.  </w:t>
      </w:r>
      <w:hyperlink r:id="rId9" w:history="1">
        <w:r w:rsidR="00B4475A" w:rsidRPr="00E92ED0">
          <w:rPr>
            <w:rStyle w:val="Hyperlink"/>
            <w:sz w:val="32"/>
            <w:szCs w:val="32"/>
          </w:rPr>
          <w:t>kgrajski@nurosci.com</w:t>
        </w:r>
      </w:hyperlink>
    </w:p>
    <w:p w:rsidR="00DB520F" w:rsidRPr="00DB520F" w:rsidRDefault="00DB520F" w:rsidP="00DB520F">
      <w:pPr>
        <w:jc w:val="center"/>
        <w:rPr>
          <w:sz w:val="32"/>
          <w:szCs w:val="32"/>
        </w:rPr>
      </w:pPr>
    </w:p>
    <w:p w:rsidR="00B7731A" w:rsidRDefault="00DB520F" w:rsidP="00B7731A">
      <w:pPr>
        <w:jc w:val="center"/>
        <w:rPr>
          <w:sz w:val="32"/>
          <w:szCs w:val="32"/>
        </w:rPr>
      </w:pPr>
      <w:r>
        <w:rPr>
          <w:sz w:val="32"/>
          <w:szCs w:val="32"/>
        </w:rPr>
        <w:t>Abstract</w:t>
      </w:r>
    </w:p>
    <w:p w:rsidR="00DB520F" w:rsidRPr="00DB520F" w:rsidRDefault="00DB520F" w:rsidP="00B7731A">
      <w:pPr>
        <w:jc w:val="center"/>
        <w:rPr>
          <w:sz w:val="24"/>
          <w:szCs w:val="24"/>
        </w:rPr>
      </w:pPr>
      <w:r w:rsidRPr="00DB520F">
        <w:rPr>
          <w:sz w:val="24"/>
          <w:szCs w:val="24"/>
        </w:rPr>
        <w:t>Abstract goes here.</w:t>
      </w:r>
    </w:p>
    <w:p w:rsidR="00DB520F" w:rsidRDefault="00DB520F" w:rsidP="00B7731A">
      <w:pPr>
        <w:jc w:val="center"/>
        <w:rPr>
          <w:sz w:val="32"/>
          <w:szCs w:val="32"/>
        </w:rPr>
      </w:pPr>
    </w:p>
    <w:p w:rsidR="00DB520F" w:rsidRDefault="00DB520F" w:rsidP="00B7731A">
      <w:pPr>
        <w:jc w:val="center"/>
        <w:rPr>
          <w:sz w:val="32"/>
          <w:szCs w:val="32"/>
        </w:rPr>
      </w:pPr>
      <w:r>
        <w:rPr>
          <w:sz w:val="32"/>
          <w:szCs w:val="32"/>
        </w:rPr>
        <w:t>Keywords</w:t>
      </w:r>
    </w:p>
    <w:p w:rsidR="00DB520F" w:rsidRPr="00DB520F" w:rsidRDefault="00E453DE" w:rsidP="00B7731A">
      <w:pPr>
        <w:jc w:val="center"/>
        <w:rPr>
          <w:sz w:val="24"/>
          <w:szCs w:val="24"/>
        </w:rPr>
      </w:pPr>
      <w:r>
        <w:rPr>
          <w:sz w:val="24"/>
          <w:szCs w:val="24"/>
        </w:rPr>
        <w:t xml:space="preserve">ADNI, </w:t>
      </w:r>
      <w:r w:rsidR="00DB520F" w:rsidRPr="00DB520F">
        <w:rPr>
          <w:sz w:val="24"/>
          <w:szCs w:val="24"/>
        </w:rPr>
        <w:t xml:space="preserve">Alzheimer’s disease, Mild cognitive impairment, Resting state networks, Functional correlation, Atlas-based, Seed-based, Biomarker </w:t>
      </w:r>
    </w:p>
    <w:p w:rsidR="00DE7610" w:rsidRDefault="00274ABB">
      <w:r>
        <w:rPr>
          <w:rStyle w:val="FootnoteReference"/>
        </w:rPr>
        <w:footnoteReference w:id="1"/>
      </w:r>
      <w:r w:rsidR="00DE7610">
        <w:br w:type="page"/>
      </w:r>
    </w:p>
    <w:p w:rsidR="00A5798B" w:rsidRDefault="00A5798B" w:rsidP="00BB0BD6">
      <w:pPr>
        <w:pStyle w:val="Heading1"/>
      </w:pPr>
      <w:r w:rsidRPr="00A5798B">
        <w:lastRenderedPageBreak/>
        <w:t>Introduction</w:t>
      </w:r>
    </w:p>
    <w:p w:rsidR="00BB0BD6" w:rsidRPr="00BB0BD6" w:rsidRDefault="00BB0BD6" w:rsidP="00BB0BD6">
      <w:r>
        <w:t>Text here.</w:t>
      </w:r>
    </w:p>
    <w:p w:rsidR="00A5798B" w:rsidRDefault="00A5798B" w:rsidP="00A5798B">
      <w:pPr>
        <w:pStyle w:val="Heading1"/>
      </w:pPr>
      <w:r>
        <w:t>Materials and Methods</w:t>
      </w:r>
    </w:p>
    <w:p w:rsidR="00451BF0" w:rsidRPr="00451BF0" w:rsidRDefault="00451BF0" w:rsidP="00451BF0">
      <w:r>
        <w:t xml:space="preserve">Data used in the preparation of this report </w:t>
      </w:r>
      <w:r w:rsidR="007B38B5">
        <w:t>was</w:t>
      </w:r>
      <w:r>
        <w:t xml:space="preserve"> obtained from the Alzheimer’s Disease Neuroimaging Initiative (ADNI) database (adni.loni</w:t>
      </w:r>
      <w:r w:rsidR="00133705">
        <w:t xml:space="preserve">.usc.edu).  The ADNI </w:t>
      </w:r>
      <w:r w:rsidR="007B38B5">
        <w:t xml:space="preserve">project </w:t>
      </w:r>
      <w:r w:rsidR="00133705">
        <w:t>was launch</w:t>
      </w:r>
      <w:r>
        <w:t>ed in 2003 as a public-private partnership, led by Principal Investigator Michael Weiner, MD.  The primary goal of ADNI has been to test whether serial magnetic resonance imaging (MRI), positron emission tomograph</w:t>
      </w:r>
      <w:r w:rsidR="007B38B5">
        <w:t>y (PET), other biological marker</w:t>
      </w:r>
      <w:r>
        <w:t>s, and clinical and neuropsychological assessment can be combined to measure the progression of mild cognitive impairment (MCI) and early Alzheimer’s disease (AD).</w:t>
      </w:r>
    </w:p>
    <w:p w:rsidR="00BB0BD6" w:rsidRPr="005B6A7D" w:rsidRDefault="00BB0BD6" w:rsidP="005B6A7D">
      <w:pPr>
        <w:pStyle w:val="Heading2"/>
      </w:pPr>
      <w:r w:rsidRPr="005B6A7D">
        <w:t>Clinical population</w:t>
      </w:r>
    </w:p>
    <w:p w:rsidR="005B6A7D" w:rsidRDefault="00EF1EB4" w:rsidP="005B6A7D">
      <w:r>
        <w:t xml:space="preserve">The clinical population in </w:t>
      </w:r>
      <w:r w:rsidR="00DD6C88">
        <w:t>this report</w:t>
      </w:r>
      <w:r>
        <w:t xml:space="preserve"> is </w:t>
      </w:r>
      <w:r w:rsidR="00DD6C88">
        <w:t>a subset</w:t>
      </w:r>
      <w:r>
        <w:t xml:space="preserve"> </w:t>
      </w:r>
      <w:r w:rsidR="00DD6C88">
        <w:t>of</w:t>
      </w:r>
      <w:r>
        <w:t xml:space="preserve"> the ADNI 2 experimental sub-study on resting state</w:t>
      </w:r>
      <w:r w:rsidR="007B38B5">
        <w:t xml:space="preserve"> fMRI</w:t>
      </w:r>
      <w:r>
        <w:t xml:space="preserve"> functional connectivity</w:t>
      </w:r>
      <w:r w:rsidR="00DD6C88">
        <w:t xml:space="preserve"> (rsfMRI) (ADNI 2, 3T MRI Technical Procedures Manual, 2016).  </w:t>
      </w:r>
      <w:r w:rsidR="00133705">
        <w:t xml:space="preserve">The complete set of ADNI 2 clinical documents </w:t>
      </w:r>
      <w:r w:rsidR="007B38B5">
        <w:t>can be</w:t>
      </w:r>
      <w:r w:rsidR="00133705">
        <w:t xml:space="preserve"> found online (ADNI Study Documents, 2016).  </w:t>
      </w:r>
      <w:r w:rsidR="00B172D7">
        <w:t xml:space="preserve">The </w:t>
      </w:r>
      <w:r w:rsidR="003177AD">
        <w:t xml:space="preserve">ADNI 2 </w:t>
      </w:r>
      <w:r w:rsidR="002B2543">
        <w:t xml:space="preserve">rsfMRI </w:t>
      </w:r>
      <w:r w:rsidR="00B172D7">
        <w:t xml:space="preserve">data </w:t>
      </w:r>
      <w:r w:rsidR="002B2543">
        <w:t xml:space="preserve">available for download on the Laboratory of Neuro Imaging (LONI) website </w:t>
      </w:r>
      <w:r w:rsidR="00B172D7">
        <w:t xml:space="preserve">as of August, 2016 consisted of </w:t>
      </w:r>
      <w:r w:rsidR="002B2543">
        <w:t xml:space="preserve">886 </w:t>
      </w:r>
      <w:r w:rsidR="00FD3AB4">
        <w:t>scan pairs (structural MRI, rsfMRI)</w:t>
      </w:r>
      <w:r w:rsidR="00B172D7">
        <w:t xml:space="preserve"> </w:t>
      </w:r>
      <w:r w:rsidR="00FD3AB4">
        <w:t>from</w:t>
      </w:r>
      <w:r w:rsidR="00B172D7">
        <w:t xml:space="preserve"> </w:t>
      </w:r>
      <w:r w:rsidR="002B2543">
        <w:t>220</w:t>
      </w:r>
      <w:r w:rsidR="00FD3AB4">
        <w:t xml:space="preserve"> subjects recorded during multiple visits over the course of the multi-year (and ongoing) </w:t>
      </w:r>
      <w:r w:rsidR="007B38B5">
        <w:t xml:space="preserve">ADNI 2 </w:t>
      </w:r>
      <w:r w:rsidR="00FD3AB4">
        <w:t xml:space="preserve">study.  </w:t>
      </w:r>
      <w:r w:rsidR="00B172D7">
        <w:t xml:space="preserve">The </w:t>
      </w:r>
      <w:r w:rsidR="003177AD">
        <w:t>paired series</w:t>
      </w:r>
      <w:r w:rsidR="00B172D7">
        <w:t xml:space="preserve"> </w:t>
      </w:r>
      <w:r w:rsidR="003177AD">
        <w:t>were</w:t>
      </w:r>
      <w:r w:rsidR="00B172D7">
        <w:t xml:space="preserve"> subjected to a</w:t>
      </w:r>
      <w:r w:rsidR="007B38B5">
        <w:t xml:space="preserve"> </w:t>
      </w:r>
      <w:r w:rsidR="00B172D7">
        <w:t xml:space="preserve">multi-stage </w:t>
      </w:r>
      <w:r w:rsidR="003177AD">
        <w:t xml:space="preserve">image </w:t>
      </w:r>
      <w:r w:rsidR="007B38B5">
        <w:t>processing and quality assurance procedure</w:t>
      </w:r>
      <w:r w:rsidR="00AC4D41">
        <w:t xml:space="preserve">.  The procedure yielded </w:t>
      </w:r>
      <w:r w:rsidR="00897714">
        <w:t>98</w:t>
      </w:r>
      <w:r w:rsidR="00AC4D41">
        <w:t xml:space="preserve"> </w:t>
      </w:r>
      <w:r w:rsidR="00FD3AB4">
        <w:t>scan pairs</w:t>
      </w:r>
      <w:r w:rsidR="00AC4D41">
        <w:t xml:space="preserve"> from </w:t>
      </w:r>
      <w:r w:rsidR="00897714">
        <w:t>98</w:t>
      </w:r>
      <w:r w:rsidR="00FD3AB4">
        <w:t xml:space="preserve"> </w:t>
      </w:r>
      <w:r w:rsidR="005B5A42">
        <w:t>unique subjects</w:t>
      </w:r>
      <w:r w:rsidR="00FD3AB4">
        <w:t xml:space="preserve"> that is </w:t>
      </w:r>
      <w:r w:rsidR="00B172D7">
        <w:t>age-, education- and gender-matched</w:t>
      </w:r>
      <w:r w:rsidR="00DD6C88">
        <w:t xml:space="preserve"> </w:t>
      </w:r>
      <w:r w:rsidR="00FD3AB4">
        <w:t xml:space="preserve">across three diagnostic conditions </w:t>
      </w:r>
      <w:r w:rsidR="000534FD">
        <w:t xml:space="preserve">(Cognitively Normal, Moderately </w:t>
      </w:r>
      <w:r w:rsidR="00FD3AB4">
        <w:t>Cognitively Impaired, Dementia).  See Table 1.</w:t>
      </w:r>
    </w:p>
    <w:p w:rsidR="00321962" w:rsidRPr="00321962" w:rsidRDefault="00321962" w:rsidP="00321962">
      <w:pPr>
        <w:jc w:val="center"/>
      </w:pPr>
      <w:r w:rsidRPr="00B4290D">
        <w:rPr>
          <w:b/>
        </w:rPr>
        <w:t xml:space="preserve">Table </w:t>
      </w:r>
      <w:r w:rsidR="00597AEA" w:rsidRPr="00B4290D">
        <w:rPr>
          <w:b/>
        </w:rPr>
        <w:fldChar w:fldCharType="begin"/>
      </w:r>
      <w:r w:rsidR="00597AEA" w:rsidRPr="00B4290D">
        <w:rPr>
          <w:b/>
        </w:rPr>
        <w:instrText xml:space="preserve"> SEQ Table \* ARABIC </w:instrText>
      </w:r>
      <w:r w:rsidR="00597AEA" w:rsidRPr="00B4290D">
        <w:rPr>
          <w:b/>
        </w:rPr>
        <w:fldChar w:fldCharType="separate"/>
      </w:r>
      <w:r w:rsidR="006039EC">
        <w:rPr>
          <w:b/>
          <w:noProof/>
        </w:rPr>
        <w:t>1</w:t>
      </w:r>
      <w:r w:rsidR="00597AEA" w:rsidRPr="00B4290D">
        <w:rPr>
          <w:b/>
          <w:noProof/>
        </w:rPr>
        <w:fldChar w:fldCharType="end"/>
      </w:r>
      <w:r w:rsidRPr="00B4290D">
        <w:rPr>
          <w:b/>
        </w:rPr>
        <w:t>.</w:t>
      </w:r>
      <w:r w:rsidRPr="00321962">
        <w:t xml:space="preserve">  Study demographics, cognitive scores and APOE status.</w:t>
      </w:r>
    </w:p>
    <w:tbl>
      <w:tblPr>
        <w:tblStyle w:val="TableGrid"/>
        <w:tblW w:w="8725" w:type="dxa"/>
        <w:jc w:val="center"/>
        <w:tblLook w:val="04A0" w:firstRow="1" w:lastRow="0" w:firstColumn="1" w:lastColumn="0" w:noHBand="0" w:noVBand="1"/>
      </w:tblPr>
      <w:tblGrid>
        <w:gridCol w:w="3312"/>
        <w:gridCol w:w="1440"/>
        <w:gridCol w:w="1440"/>
        <w:gridCol w:w="1440"/>
        <w:gridCol w:w="1093"/>
      </w:tblGrid>
      <w:tr w:rsidR="00B4475A" w:rsidTr="00053B94">
        <w:trPr>
          <w:jc w:val="center"/>
        </w:trPr>
        <w:tc>
          <w:tcPr>
            <w:tcW w:w="3312" w:type="dxa"/>
          </w:tcPr>
          <w:p w:rsidR="00B4475A" w:rsidRDefault="00B4475A" w:rsidP="005B6A7D"/>
        </w:tc>
        <w:tc>
          <w:tcPr>
            <w:tcW w:w="1440" w:type="dxa"/>
          </w:tcPr>
          <w:p w:rsidR="00B4475A" w:rsidRPr="007E41E2" w:rsidRDefault="00321962" w:rsidP="005B6A7D">
            <w:pPr>
              <w:rPr>
                <w:b/>
              </w:rPr>
            </w:pPr>
            <w:r>
              <w:rPr>
                <w:b/>
              </w:rPr>
              <w:t>CN</w:t>
            </w:r>
          </w:p>
        </w:tc>
        <w:tc>
          <w:tcPr>
            <w:tcW w:w="1440" w:type="dxa"/>
          </w:tcPr>
          <w:p w:rsidR="00B4475A" w:rsidRPr="007E41E2" w:rsidRDefault="00B4475A" w:rsidP="005B6A7D">
            <w:pPr>
              <w:rPr>
                <w:b/>
              </w:rPr>
            </w:pPr>
            <w:r w:rsidRPr="007E41E2">
              <w:rPr>
                <w:b/>
              </w:rPr>
              <w:t>MCI</w:t>
            </w:r>
          </w:p>
        </w:tc>
        <w:tc>
          <w:tcPr>
            <w:tcW w:w="1440" w:type="dxa"/>
          </w:tcPr>
          <w:p w:rsidR="00B4475A" w:rsidRPr="007E41E2" w:rsidRDefault="00B4475A" w:rsidP="005B6A7D">
            <w:pPr>
              <w:rPr>
                <w:b/>
              </w:rPr>
            </w:pPr>
            <w:r w:rsidRPr="007E41E2">
              <w:rPr>
                <w:b/>
              </w:rPr>
              <w:t>D</w:t>
            </w:r>
          </w:p>
        </w:tc>
        <w:tc>
          <w:tcPr>
            <w:tcW w:w="1093" w:type="dxa"/>
          </w:tcPr>
          <w:p w:rsidR="00B4475A" w:rsidRPr="007E41E2" w:rsidRDefault="00B4475A" w:rsidP="005B6A7D">
            <w:pPr>
              <w:rPr>
                <w:b/>
              </w:rPr>
            </w:pPr>
            <w:r w:rsidRPr="007E41E2">
              <w:rPr>
                <w:b/>
              </w:rPr>
              <w:t>P value</w:t>
            </w:r>
          </w:p>
        </w:tc>
      </w:tr>
      <w:tr w:rsidR="00B4475A" w:rsidTr="00053B94">
        <w:trPr>
          <w:jc w:val="center"/>
        </w:trPr>
        <w:tc>
          <w:tcPr>
            <w:tcW w:w="3312" w:type="dxa"/>
          </w:tcPr>
          <w:p w:rsidR="00B4475A" w:rsidRDefault="00B4475A" w:rsidP="005B6A7D">
            <w:r>
              <w:t>Subjects</w:t>
            </w:r>
            <w:r w:rsidR="00EF1EB4">
              <w:t>, n</w:t>
            </w:r>
          </w:p>
        </w:tc>
        <w:tc>
          <w:tcPr>
            <w:tcW w:w="1440" w:type="dxa"/>
          </w:tcPr>
          <w:p w:rsidR="00B4475A" w:rsidRDefault="00897714" w:rsidP="005B6A7D">
            <w:r>
              <w:t>40</w:t>
            </w:r>
          </w:p>
        </w:tc>
        <w:tc>
          <w:tcPr>
            <w:tcW w:w="1440" w:type="dxa"/>
          </w:tcPr>
          <w:p w:rsidR="00B4475A" w:rsidRDefault="00897714" w:rsidP="005B6A7D">
            <w:r>
              <w:t>38</w:t>
            </w:r>
          </w:p>
        </w:tc>
        <w:tc>
          <w:tcPr>
            <w:tcW w:w="1440" w:type="dxa"/>
          </w:tcPr>
          <w:p w:rsidR="00B4475A" w:rsidRDefault="005C1113" w:rsidP="005B6A7D">
            <w:r>
              <w:t>20</w:t>
            </w:r>
          </w:p>
        </w:tc>
        <w:tc>
          <w:tcPr>
            <w:tcW w:w="1093" w:type="dxa"/>
          </w:tcPr>
          <w:p w:rsidR="00B4475A" w:rsidRDefault="00B4475A" w:rsidP="005B6A7D"/>
        </w:tc>
      </w:tr>
      <w:tr w:rsidR="00B4475A" w:rsidTr="00053B94">
        <w:trPr>
          <w:jc w:val="center"/>
        </w:trPr>
        <w:tc>
          <w:tcPr>
            <w:tcW w:w="3312" w:type="dxa"/>
          </w:tcPr>
          <w:p w:rsidR="00B4475A" w:rsidRDefault="00B4475A" w:rsidP="00B4475A">
            <w:r>
              <w:t>Women, n</w:t>
            </w:r>
            <w:r w:rsidR="007E41E2">
              <w:t xml:space="preserve"> </w:t>
            </w:r>
            <w:r>
              <w:t>(%)</w:t>
            </w:r>
          </w:p>
        </w:tc>
        <w:tc>
          <w:tcPr>
            <w:tcW w:w="1440" w:type="dxa"/>
          </w:tcPr>
          <w:p w:rsidR="00B4475A" w:rsidRDefault="00897714" w:rsidP="00B4475A">
            <w:r>
              <w:t>24</w:t>
            </w:r>
            <w:r w:rsidR="007E41E2">
              <w:t xml:space="preserve"> </w:t>
            </w:r>
            <w:r>
              <w:t>(60</w:t>
            </w:r>
            <w:r w:rsidR="00B4475A">
              <w:t>)</w:t>
            </w:r>
          </w:p>
        </w:tc>
        <w:tc>
          <w:tcPr>
            <w:tcW w:w="1440" w:type="dxa"/>
          </w:tcPr>
          <w:p w:rsidR="00B4475A" w:rsidRDefault="00897714" w:rsidP="00B4475A">
            <w:r>
              <w:t>19</w:t>
            </w:r>
            <w:r w:rsidR="007E41E2">
              <w:t xml:space="preserve"> </w:t>
            </w:r>
            <w:r>
              <w:t>(50</w:t>
            </w:r>
            <w:r w:rsidR="00B4475A">
              <w:t>)</w:t>
            </w:r>
          </w:p>
        </w:tc>
        <w:tc>
          <w:tcPr>
            <w:tcW w:w="1440" w:type="dxa"/>
          </w:tcPr>
          <w:p w:rsidR="00B4475A" w:rsidRDefault="00B4475A" w:rsidP="00B4475A">
            <w:r>
              <w:t>6</w:t>
            </w:r>
            <w:r w:rsidR="007E41E2">
              <w:t xml:space="preserve"> </w:t>
            </w:r>
            <w:r w:rsidR="005C1113">
              <w:t>(30</w:t>
            </w:r>
            <w:r>
              <w:t>)</w:t>
            </w:r>
          </w:p>
        </w:tc>
        <w:tc>
          <w:tcPr>
            <w:tcW w:w="1093" w:type="dxa"/>
          </w:tcPr>
          <w:p w:rsidR="00B4475A" w:rsidRDefault="00897714" w:rsidP="00B4475A">
            <w:r>
              <w:t>0.09</w:t>
            </w:r>
            <w:r w:rsidR="005B5A42">
              <w:t>1</w:t>
            </w:r>
            <w:r w:rsidR="00053B94" w:rsidRPr="00053B94">
              <w:rPr>
                <w:vertAlign w:val="superscript"/>
              </w:rPr>
              <w:t>a</w:t>
            </w:r>
          </w:p>
        </w:tc>
      </w:tr>
      <w:tr w:rsidR="00B4475A" w:rsidTr="00053B94">
        <w:trPr>
          <w:jc w:val="center"/>
        </w:trPr>
        <w:tc>
          <w:tcPr>
            <w:tcW w:w="3312" w:type="dxa"/>
          </w:tcPr>
          <w:p w:rsidR="00B4475A" w:rsidRDefault="00B4475A" w:rsidP="005B6A7D">
            <w:r>
              <w:t>Age, yrs., median (min,max)</w:t>
            </w:r>
          </w:p>
        </w:tc>
        <w:tc>
          <w:tcPr>
            <w:tcW w:w="1440" w:type="dxa"/>
          </w:tcPr>
          <w:p w:rsidR="00B4475A" w:rsidRDefault="005B5A42" w:rsidP="005B6A7D">
            <w:r>
              <w:t>73.4 (65, 87</w:t>
            </w:r>
            <w:r w:rsidR="007E41E2">
              <w:t>)</w:t>
            </w:r>
          </w:p>
        </w:tc>
        <w:tc>
          <w:tcPr>
            <w:tcW w:w="1440" w:type="dxa"/>
          </w:tcPr>
          <w:p w:rsidR="00B4475A" w:rsidRDefault="005C1113" w:rsidP="005B6A7D">
            <w:r>
              <w:t>73.6 (62, 86</w:t>
            </w:r>
            <w:r w:rsidR="007E41E2">
              <w:t>)</w:t>
            </w:r>
          </w:p>
        </w:tc>
        <w:tc>
          <w:tcPr>
            <w:tcW w:w="1440" w:type="dxa"/>
          </w:tcPr>
          <w:p w:rsidR="00B4475A" w:rsidRDefault="007E41E2" w:rsidP="005B6A7D">
            <w:r>
              <w:t xml:space="preserve"> 74.2 (59, 83)</w:t>
            </w:r>
          </w:p>
        </w:tc>
        <w:tc>
          <w:tcPr>
            <w:tcW w:w="1093" w:type="dxa"/>
          </w:tcPr>
          <w:p w:rsidR="00B4475A" w:rsidRDefault="005B5A42" w:rsidP="005B6A7D">
            <w:r>
              <w:t>0.647</w:t>
            </w:r>
            <w:r w:rsidR="00053B94" w:rsidRPr="00053B94">
              <w:rPr>
                <w:vertAlign w:val="superscript"/>
              </w:rPr>
              <w:t>b</w:t>
            </w:r>
          </w:p>
        </w:tc>
      </w:tr>
      <w:tr w:rsidR="00B4475A" w:rsidTr="00053B94">
        <w:trPr>
          <w:jc w:val="center"/>
        </w:trPr>
        <w:tc>
          <w:tcPr>
            <w:tcW w:w="3312" w:type="dxa"/>
          </w:tcPr>
          <w:p w:rsidR="00B4475A" w:rsidRDefault="00B4475A" w:rsidP="005B6A7D">
            <w:r>
              <w:t>Education, yrs., median (min,max)</w:t>
            </w:r>
          </w:p>
        </w:tc>
        <w:tc>
          <w:tcPr>
            <w:tcW w:w="1440" w:type="dxa"/>
          </w:tcPr>
          <w:p w:rsidR="00B4475A" w:rsidRDefault="007E41E2" w:rsidP="005B6A7D">
            <w:r>
              <w:t>16 (12, 20)</w:t>
            </w:r>
          </w:p>
        </w:tc>
        <w:tc>
          <w:tcPr>
            <w:tcW w:w="1440" w:type="dxa"/>
          </w:tcPr>
          <w:p w:rsidR="00B4475A" w:rsidRDefault="007E41E2" w:rsidP="005B6A7D">
            <w:r>
              <w:t>16 (12, 20)</w:t>
            </w:r>
          </w:p>
        </w:tc>
        <w:tc>
          <w:tcPr>
            <w:tcW w:w="1440" w:type="dxa"/>
          </w:tcPr>
          <w:p w:rsidR="00B4475A" w:rsidRDefault="007E41E2" w:rsidP="005B6A7D">
            <w:r>
              <w:t>16 (12, 20)</w:t>
            </w:r>
          </w:p>
        </w:tc>
        <w:tc>
          <w:tcPr>
            <w:tcW w:w="1093" w:type="dxa"/>
          </w:tcPr>
          <w:p w:rsidR="00B4475A" w:rsidRDefault="005B5A42" w:rsidP="005B6A7D">
            <w:r>
              <w:t>0.438</w:t>
            </w:r>
            <w:r w:rsidR="00053B94" w:rsidRPr="00053B94">
              <w:rPr>
                <w:vertAlign w:val="superscript"/>
              </w:rPr>
              <w:t>b</w:t>
            </w:r>
          </w:p>
        </w:tc>
      </w:tr>
      <w:tr w:rsidR="00B4475A" w:rsidTr="00053B94">
        <w:trPr>
          <w:jc w:val="center"/>
        </w:trPr>
        <w:tc>
          <w:tcPr>
            <w:tcW w:w="3312" w:type="dxa"/>
          </w:tcPr>
          <w:p w:rsidR="00B4475A" w:rsidRDefault="007E41E2" w:rsidP="005B6A7D">
            <w:r>
              <w:t>CDR, median (min,max)</w:t>
            </w:r>
          </w:p>
        </w:tc>
        <w:tc>
          <w:tcPr>
            <w:tcW w:w="1440" w:type="dxa"/>
          </w:tcPr>
          <w:p w:rsidR="00B4475A" w:rsidRDefault="007E41E2" w:rsidP="005B6A7D">
            <w:r>
              <w:t>0 (0, 0.5)</w:t>
            </w:r>
          </w:p>
        </w:tc>
        <w:tc>
          <w:tcPr>
            <w:tcW w:w="1440" w:type="dxa"/>
          </w:tcPr>
          <w:p w:rsidR="00B4475A" w:rsidRDefault="007E41E2" w:rsidP="005B6A7D">
            <w:r>
              <w:t>0.5 (0</w:t>
            </w:r>
            <w:r w:rsidR="005B5A42">
              <w:t>.5</w:t>
            </w:r>
            <w:r>
              <w:t>, 1.0)</w:t>
            </w:r>
          </w:p>
        </w:tc>
        <w:tc>
          <w:tcPr>
            <w:tcW w:w="1440" w:type="dxa"/>
          </w:tcPr>
          <w:p w:rsidR="00B4475A" w:rsidRDefault="007E41E2" w:rsidP="005B6A7D">
            <w:r>
              <w:t>0.5 (0.5, 1.0)</w:t>
            </w:r>
          </w:p>
        </w:tc>
        <w:tc>
          <w:tcPr>
            <w:tcW w:w="1093" w:type="dxa"/>
          </w:tcPr>
          <w:p w:rsidR="00B4475A" w:rsidRDefault="007E41E2" w:rsidP="005B6A7D">
            <w:r>
              <w:t>&lt;</w:t>
            </w:r>
            <w:r w:rsidR="00A8755C">
              <w:t>&lt;0.001</w:t>
            </w:r>
            <w:r w:rsidR="00053B94" w:rsidRPr="00053B94">
              <w:rPr>
                <w:vertAlign w:val="superscript"/>
              </w:rPr>
              <w:t>b</w:t>
            </w:r>
          </w:p>
        </w:tc>
      </w:tr>
      <w:tr w:rsidR="00B4475A" w:rsidTr="00053B94">
        <w:trPr>
          <w:jc w:val="center"/>
        </w:trPr>
        <w:tc>
          <w:tcPr>
            <w:tcW w:w="3312" w:type="dxa"/>
          </w:tcPr>
          <w:p w:rsidR="00B4475A" w:rsidRDefault="007E41E2" w:rsidP="005B6A7D">
            <w:r>
              <w:t>CDRSB, median (min,max)</w:t>
            </w:r>
          </w:p>
        </w:tc>
        <w:tc>
          <w:tcPr>
            <w:tcW w:w="1440" w:type="dxa"/>
          </w:tcPr>
          <w:p w:rsidR="00B4475A" w:rsidRDefault="007E41E2" w:rsidP="005B6A7D">
            <w:r>
              <w:t>0 (0, 1</w:t>
            </w:r>
            <w:r w:rsidR="005C1113">
              <w:t>.5</w:t>
            </w:r>
            <w:r>
              <w:t>)</w:t>
            </w:r>
          </w:p>
        </w:tc>
        <w:tc>
          <w:tcPr>
            <w:tcW w:w="1440" w:type="dxa"/>
          </w:tcPr>
          <w:p w:rsidR="00B4475A" w:rsidRDefault="007E41E2" w:rsidP="005B6A7D">
            <w:r>
              <w:t>1 (0, 5.5)</w:t>
            </w:r>
          </w:p>
        </w:tc>
        <w:tc>
          <w:tcPr>
            <w:tcW w:w="1440" w:type="dxa"/>
          </w:tcPr>
          <w:p w:rsidR="00B4475A" w:rsidRDefault="007E41E2" w:rsidP="005B6A7D">
            <w:r>
              <w:t>4 (2, 9)</w:t>
            </w:r>
          </w:p>
        </w:tc>
        <w:tc>
          <w:tcPr>
            <w:tcW w:w="1093" w:type="dxa"/>
          </w:tcPr>
          <w:p w:rsidR="00B4475A" w:rsidRDefault="00A8755C" w:rsidP="005B6A7D">
            <w:r>
              <w:t>&lt;&lt;0.001</w:t>
            </w:r>
            <w:r w:rsidR="00053B94" w:rsidRPr="00053B94">
              <w:rPr>
                <w:vertAlign w:val="superscript"/>
              </w:rPr>
              <w:t>b</w:t>
            </w:r>
          </w:p>
        </w:tc>
      </w:tr>
      <w:tr w:rsidR="00B4475A" w:rsidTr="00053B94">
        <w:trPr>
          <w:jc w:val="center"/>
        </w:trPr>
        <w:tc>
          <w:tcPr>
            <w:tcW w:w="3312" w:type="dxa"/>
          </w:tcPr>
          <w:p w:rsidR="00B4475A" w:rsidRDefault="007E41E2" w:rsidP="005B6A7D">
            <w:r>
              <w:t>MMSE, median (min,max)</w:t>
            </w:r>
          </w:p>
        </w:tc>
        <w:tc>
          <w:tcPr>
            <w:tcW w:w="1440" w:type="dxa"/>
          </w:tcPr>
          <w:p w:rsidR="00B4475A" w:rsidRDefault="007E41E2" w:rsidP="005B6A7D">
            <w:r>
              <w:t>29 (27,30)</w:t>
            </w:r>
          </w:p>
        </w:tc>
        <w:tc>
          <w:tcPr>
            <w:tcW w:w="1440" w:type="dxa"/>
          </w:tcPr>
          <w:p w:rsidR="00B4475A" w:rsidRDefault="005C1113" w:rsidP="005B6A7D">
            <w:r>
              <w:t>28</w:t>
            </w:r>
            <w:r w:rsidR="007E41E2">
              <w:t xml:space="preserve"> (22, 30)</w:t>
            </w:r>
          </w:p>
        </w:tc>
        <w:tc>
          <w:tcPr>
            <w:tcW w:w="1440" w:type="dxa"/>
          </w:tcPr>
          <w:p w:rsidR="00B4475A" w:rsidRDefault="007E41E2" w:rsidP="005B6A7D">
            <w:r>
              <w:t>22 (12, 29)</w:t>
            </w:r>
          </w:p>
        </w:tc>
        <w:tc>
          <w:tcPr>
            <w:tcW w:w="1093" w:type="dxa"/>
          </w:tcPr>
          <w:p w:rsidR="00B4475A" w:rsidRDefault="00A8755C" w:rsidP="005B6A7D">
            <w:r>
              <w:t>&lt;&lt;0.001</w:t>
            </w:r>
            <w:r w:rsidR="00053B94" w:rsidRPr="00053B94">
              <w:rPr>
                <w:vertAlign w:val="superscript"/>
              </w:rPr>
              <w:t>b</w:t>
            </w:r>
          </w:p>
        </w:tc>
      </w:tr>
      <w:tr w:rsidR="00B4475A" w:rsidTr="00053B94">
        <w:trPr>
          <w:jc w:val="center"/>
        </w:trPr>
        <w:tc>
          <w:tcPr>
            <w:tcW w:w="3312" w:type="dxa"/>
          </w:tcPr>
          <w:p w:rsidR="00B4475A" w:rsidRDefault="007E41E2" w:rsidP="005B6A7D">
            <w:r>
              <w:t>APOE</w:t>
            </w:r>
            <w:r w:rsidR="00614A47">
              <w:t>ε</w:t>
            </w:r>
            <w:r>
              <w:t>4=2, n (%)</w:t>
            </w:r>
          </w:p>
        </w:tc>
        <w:tc>
          <w:tcPr>
            <w:tcW w:w="1440" w:type="dxa"/>
          </w:tcPr>
          <w:p w:rsidR="00B4475A" w:rsidRDefault="007E41E2" w:rsidP="005B6A7D">
            <w:r>
              <w:t>1 (2.5)</w:t>
            </w:r>
          </w:p>
        </w:tc>
        <w:tc>
          <w:tcPr>
            <w:tcW w:w="1440" w:type="dxa"/>
          </w:tcPr>
          <w:p w:rsidR="00B4475A" w:rsidRDefault="005B5A42" w:rsidP="005B6A7D">
            <w:r>
              <w:t>6 (16</w:t>
            </w:r>
            <w:r w:rsidR="007E41E2">
              <w:t>)</w:t>
            </w:r>
          </w:p>
        </w:tc>
        <w:tc>
          <w:tcPr>
            <w:tcW w:w="1440" w:type="dxa"/>
          </w:tcPr>
          <w:p w:rsidR="00B4475A" w:rsidRDefault="005C1113" w:rsidP="005B6A7D">
            <w:r>
              <w:t>5 (25</w:t>
            </w:r>
            <w:r w:rsidR="007E41E2">
              <w:t>)</w:t>
            </w:r>
          </w:p>
        </w:tc>
        <w:tc>
          <w:tcPr>
            <w:tcW w:w="1093" w:type="dxa"/>
          </w:tcPr>
          <w:p w:rsidR="00B4475A" w:rsidRDefault="005B5A42" w:rsidP="005B6A7D">
            <w:r>
              <w:t>0.007</w:t>
            </w:r>
            <w:r w:rsidR="00053B94" w:rsidRPr="00053B94">
              <w:rPr>
                <w:vertAlign w:val="superscript"/>
              </w:rPr>
              <w:t>a</w:t>
            </w:r>
          </w:p>
        </w:tc>
      </w:tr>
      <w:tr w:rsidR="008F12FE" w:rsidTr="007C1C37">
        <w:trPr>
          <w:jc w:val="center"/>
        </w:trPr>
        <w:tc>
          <w:tcPr>
            <w:tcW w:w="8725" w:type="dxa"/>
            <w:gridSpan w:val="5"/>
          </w:tcPr>
          <w:p w:rsidR="008F12FE" w:rsidRPr="008F12FE" w:rsidRDefault="008F12FE" w:rsidP="005B6A7D">
            <w:pPr>
              <w:rPr>
                <w:i/>
                <w:sz w:val="20"/>
                <w:szCs w:val="20"/>
              </w:rPr>
            </w:pPr>
            <w:r w:rsidRPr="008F12FE">
              <w:rPr>
                <w:i/>
                <w:sz w:val="20"/>
                <w:szCs w:val="20"/>
                <w:vertAlign w:val="superscript"/>
              </w:rPr>
              <w:t>a</w:t>
            </w:r>
            <w:r w:rsidRPr="008F12FE">
              <w:rPr>
                <w:i/>
                <w:sz w:val="20"/>
                <w:szCs w:val="20"/>
              </w:rPr>
              <w:t xml:space="preserve">(Chi-square test); </w:t>
            </w:r>
            <w:r w:rsidRPr="008F12FE">
              <w:rPr>
                <w:i/>
                <w:sz w:val="20"/>
                <w:szCs w:val="20"/>
                <w:vertAlign w:val="superscript"/>
              </w:rPr>
              <w:t>b</w:t>
            </w:r>
            <w:r w:rsidRPr="008F12FE">
              <w:rPr>
                <w:i/>
                <w:sz w:val="20"/>
                <w:szCs w:val="20"/>
              </w:rPr>
              <w:t>(ANOVA);</w:t>
            </w:r>
          </w:p>
        </w:tc>
      </w:tr>
    </w:tbl>
    <w:p w:rsidR="00B4475A" w:rsidRDefault="00B4475A" w:rsidP="005B6A7D"/>
    <w:p w:rsidR="00BB0BD6" w:rsidRDefault="00BB0BD6" w:rsidP="005B6A7D">
      <w:pPr>
        <w:pStyle w:val="Heading2"/>
      </w:pPr>
      <w:r>
        <w:t>Image acquisition</w:t>
      </w:r>
    </w:p>
    <w:p w:rsidR="00D84BED" w:rsidRDefault="00987C68" w:rsidP="005B6A7D">
      <w:r>
        <w:t xml:space="preserve">The development of </w:t>
      </w:r>
      <w:r w:rsidR="008C6821">
        <w:t xml:space="preserve">ADNI 2 MRI protocol </w:t>
      </w:r>
      <w:r>
        <w:t xml:space="preserve">details </w:t>
      </w:r>
      <w:r w:rsidR="007B38B5">
        <w:t>is</w:t>
      </w:r>
      <w:r>
        <w:t xml:space="preserve"> discussed elsewhere (Jack, et al., 2008) and the complete set can be </w:t>
      </w:r>
      <w:r w:rsidR="008C6821">
        <w:t>found online (ADNI Study Documents, 2016</w:t>
      </w:r>
      <w:r w:rsidR="00D84BED">
        <w:t xml:space="preserve">).  Of interest in the present analysis are two of the up to eight different scans obtained during each ADNI 2 subject visit.  </w:t>
      </w:r>
      <w:r w:rsidR="003A7D22">
        <w:t>A</w:t>
      </w:r>
      <w:r w:rsidR="005A2069">
        <w:t xml:space="preserve"> typical visit sequence </w:t>
      </w:r>
      <w:r w:rsidR="003A7D22">
        <w:t>consis</w:t>
      </w:r>
      <w:r w:rsidR="005A2069">
        <w:t>ted of a</w:t>
      </w:r>
      <w:r w:rsidR="007B38B5">
        <w:t>n initial</w:t>
      </w:r>
      <w:r w:rsidR="005A2069">
        <w:t xml:space="preserve"> </w:t>
      </w:r>
      <w:r w:rsidR="003A7D22">
        <w:t xml:space="preserve">screening visit, a baseline visit, a 3-month, 6-month and 12-month, and annual visit thereafter.  </w:t>
      </w:r>
      <w:r w:rsidR="00D84BED">
        <w:t xml:space="preserve">The scans of interest </w:t>
      </w:r>
      <w:r w:rsidR="003A7D22">
        <w:t>here are restricted to</w:t>
      </w:r>
      <w:r w:rsidR="00D84BED">
        <w:t xml:space="preserve"> the high-resolution </w:t>
      </w:r>
      <w:r w:rsidR="00D96244">
        <w:t>T</w:t>
      </w:r>
      <w:r w:rsidR="00D96244" w:rsidRPr="00D96244">
        <w:rPr>
          <w:vertAlign w:val="subscript"/>
        </w:rPr>
        <w:t>1</w:t>
      </w:r>
      <w:r w:rsidR="00D96244">
        <w:t xml:space="preserve">-weighted 3D </w:t>
      </w:r>
      <w:r w:rsidR="00D96244">
        <w:lastRenderedPageBreak/>
        <w:t xml:space="preserve">volumetric </w:t>
      </w:r>
      <w:r w:rsidR="00D84BED">
        <w:t>structural scan (Scan #2</w:t>
      </w:r>
      <w:r w:rsidR="005A2069">
        <w:t xml:space="preserve"> in the protocol</w:t>
      </w:r>
      <w:r w:rsidR="00D84BED">
        <w:t>) and resting state functional scan (Scan #4</w:t>
      </w:r>
      <w:r w:rsidR="005A2069">
        <w:t xml:space="preserve"> in the protocol</w:t>
      </w:r>
      <w:r w:rsidR="00D84BED">
        <w:t>) obtained during each subject visit.</w:t>
      </w:r>
      <w:r w:rsidR="003A7D22">
        <w:t xml:space="preserve">  Field m</w:t>
      </w:r>
      <w:r w:rsidR="00D84BED">
        <w:t xml:space="preserve">apping scans were </w:t>
      </w:r>
      <w:r w:rsidR="003A7D22">
        <w:t xml:space="preserve">also </w:t>
      </w:r>
      <w:r w:rsidR="00D84BED">
        <w:t xml:space="preserve">obtained, but they are not </w:t>
      </w:r>
      <w:r w:rsidR="003A7D22">
        <w:t>used</w:t>
      </w:r>
      <w:r w:rsidR="00D84BED">
        <w:t xml:space="preserve"> in the present analysis (see next steps).  </w:t>
      </w:r>
    </w:p>
    <w:p w:rsidR="00751846" w:rsidRDefault="00FD3AB4" w:rsidP="005B6A7D">
      <w:r>
        <w:t>W</w:t>
      </w:r>
      <w:r w:rsidR="00D96244">
        <w:t xml:space="preserve">hole-brain </w:t>
      </w:r>
      <w:r w:rsidR="0057241D">
        <w:t xml:space="preserve">high-resolution structural </w:t>
      </w:r>
      <w:r w:rsidR="000338A9">
        <w:t xml:space="preserve">images </w:t>
      </w:r>
      <w:r w:rsidR="00605E1E">
        <w:t>were</w:t>
      </w:r>
      <w:r w:rsidR="00312F2F">
        <w:t xml:space="preserve"> </w:t>
      </w:r>
      <w:r w:rsidR="00605E1E">
        <w:t>recorded</w:t>
      </w:r>
      <w:r w:rsidR="00312F2F">
        <w:t xml:space="preserve"> </w:t>
      </w:r>
      <w:r w:rsidR="00605E1E">
        <w:t>in</w:t>
      </w:r>
      <w:r w:rsidR="00312F2F">
        <w:t xml:space="preserve"> </w:t>
      </w:r>
      <w:r w:rsidR="00724C88">
        <w:t xml:space="preserve">3T </w:t>
      </w:r>
      <w:r w:rsidR="00312F2F">
        <w:t xml:space="preserve">MRI scanners </w:t>
      </w:r>
      <w:r w:rsidR="00724C88">
        <w:t>of</w:t>
      </w:r>
      <w:r w:rsidR="00312F2F">
        <w:t xml:space="preserve"> a single manufacturer (Philips Medical Systems</w:t>
      </w:r>
      <w:r w:rsidR="003A7D22">
        <w:t>: Achieva, Ingenia, Ingenuity, Intera</w:t>
      </w:r>
      <w:r w:rsidR="00312F2F">
        <w:t xml:space="preserve">) </w:t>
      </w:r>
      <w:r w:rsidR="00724C88">
        <w:t>from 14 unique sites in two configurations (MULTI-COIL (n=16); SENSE-HEAD (n=96)), and fifteen (15) different software versions, the most common being 3.2.1 or higher (n=99</w:t>
      </w:r>
      <w:r w:rsidR="0057241D">
        <w:t xml:space="preserve">).  The </w:t>
      </w:r>
      <w:r w:rsidR="00597AEA">
        <w:t xml:space="preserve">ADNI </w:t>
      </w:r>
      <w:r w:rsidR="0057241D">
        <w:t xml:space="preserve">structural scan protocol </w:t>
      </w:r>
      <w:r w:rsidR="002332FE">
        <w:t>defined</w:t>
      </w:r>
      <w:r w:rsidR="0057241D">
        <w:t xml:space="preserve"> a T</w:t>
      </w:r>
      <w:r w:rsidR="0057241D" w:rsidRPr="00C61E5F">
        <w:rPr>
          <w:vertAlign w:val="subscript"/>
        </w:rPr>
        <w:t>1</w:t>
      </w:r>
      <w:r w:rsidR="0057241D">
        <w:t xml:space="preserve">-weighted </w:t>
      </w:r>
      <w:r w:rsidR="00253170">
        <w:t xml:space="preserve">sagittal </w:t>
      </w:r>
      <w:r w:rsidR="00C61E5F">
        <w:t>magnetization-prepared rapid gradient echo (MP-RAGE)</w:t>
      </w:r>
      <w:r w:rsidR="00253170">
        <w:t xml:space="preserve"> </w:t>
      </w:r>
      <w:r w:rsidR="00C61E5F">
        <w:t>scan</w:t>
      </w:r>
      <w:r w:rsidR="00253170">
        <w:t>.  The following</w:t>
      </w:r>
      <w:r w:rsidR="00C61E5F">
        <w:t xml:space="preserve"> parameters were extracted from</w:t>
      </w:r>
      <w:r w:rsidR="00F255FB">
        <w:t xml:space="preserve"> the </w:t>
      </w:r>
      <w:r w:rsidR="000338A9">
        <w:t xml:space="preserve">98 </w:t>
      </w:r>
      <w:r w:rsidR="00253170">
        <w:t xml:space="preserve">XML </w:t>
      </w:r>
      <w:r w:rsidR="00597AEA">
        <w:t>metadata files: a) f</w:t>
      </w:r>
      <w:r w:rsidR="00253170">
        <w:t>lip Angle, 9</w:t>
      </w:r>
      <w:r w:rsidR="00253170" w:rsidRPr="00253170">
        <w:rPr>
          <w:vertAlign w:val="superscript"/>
        </w:rPr>
        <w:t>o</w:t>
      </w:r>
      <w:r w:rsidR="00253170">
        <w:t>; b) volume; 256x256x17</w:t>
      </w:r>
      <w:r w:rsidR="00597AEA">
        <w:t>0; c) pixel spacing, 1.0mm; d) s</w:t>
      </w:r>
      <w:r w:rsidR="00253170">
        <w:t>lice thic</w:t>
      </w:r>
      <w:r w:rsidR="00751846">
        <w:t>kness, 1.2mm.  The metadata file entry for TE (</w:t>
      </w:r>
      <w:r w:rsidR="005A2069">
        <w:t>3.14 msec</w:t>
      </w:r>
      <w:r w:rsidR="00751846">
        <w:t>) and TR (</w:t>
      </w:r>
      <w:r w:rsidR="00253170">
        <w:t>6.77msec</w:t>
      </w:r>
      <w:r w:rsidR="00751846">
        <w:t>) are inconsistent with the ADNI MRI protocol</w:t>
      </w:r>
      <w:r w:rsidR="00C61E5F">
        <w:t>s</w:t>
      </w:r>
      <w:r w:rsidR="00751846">
        <w:t xml:space="preserve">.  As visual inspection </w:t>
      </w:r>
      <w:r w:rsidR="00C61E5F">
        <w:t>indicates</w:t>
      </w:r>
      <w:r w:rsidR="00751846">
        <w:t xml:space="preserve"> that the MRI quality is good to excellent it is </w:t>
      </w:r>
      <w:r>
        <w:t>considered</w:t>
      </w:r>
      <w:r w:rsidR="00C61E5F">
        <w:t xml:space="preserve"> that the</w:t>
      </w:r>
      <w:r w:rsidR="007B38B5">
        <w:t>se</w:t>
      </w:r>
      <w:r w:rsidR="00C61E5F">
        <w:t xml:space="preserve"> entries are incorrect, inconsistent, </w:t>
      </w:r>
      <w:r w:rsidR="00751846">
        <w:t>or represent some (unknown</w:t>
      </w:r>
      <w:r>
        <w:t xml:space="preserve"> to these authors</w:t>
      </w:r>
      <w:r w:rsidR="00751846">
        <w:t>) encoding.</w:t>
      </w:r>
    </w:p>
    <w:p w:rsidR="005B6A7D" w:rsidRPr="005B6A7D" w:rsidRDefault="00253170" w:rsidP="005B6A7D">
      <w:r>
        <w:t>The</w:t>
      </w:r>
      <w:r w:rsidR="002332FE">
        <w:t xml:space="preserve"> rsfMRI </w:t>
      </w:r>
      <w:r>
        <w:t xml:space="preserve">scan </w:t>
      </w:r>
      <w:r w:rsidR="002332FE">
        <w:t xml:space="preserve">protocol defined </w:t>
      </w:r>
      <w:r>
        <w:t xml:space="preserve">a </w:t>
      </w:r>
      <w:r w:rsidR="002332FE">
        <w:t>T</w:t>
      </w:r>
      <w:r w:rsidR="002332FE" w:rsidRPr="00751846">
        <w:rPr>
          <w:vertAlign w:val="subscript"/>
        </w:rPr>
        <w:t>2</w:t>
      </w:r>
      <w:r>
        <w:t>-weighted</w:t>
      </w:r>
      <w:r w:rsidR="005A2069">
        <w:t xml:space="preserve"> sequence</w:t>
      </w:r>
      <w:r>
        <w:t>.</w:t>
      </w:r>
      <w:r w:rsidR="00597AEA">
        <w:t xml:space="preserve">  </w:t>
      </w:r>
      <w:r w:rsidR="00D16DD3">
        <w:t>The following parame</w:t>
      </w:r>
      <w:r w:rsidR="00751846">
        <w:t>ters were extracted from the</w:t>
      </w:r>
      <w:r w:rsidR="000338A9">
        <w:t xml:space="preserve"> 98 </w:t>
      </w:r>
      <w:r w:rsidR="00751846">
        <w:t>rsfMRI</w:t>
      </w:r>
      <w:r w:rsidR="00D16DD3">
        <w:t xml:space="preserve"> XML metadata files: a) flip angle, 80</w:t>
      </w:r>
      <w:r w:rsidR="00D16DD3" w:rsidRPr="003A7D22">
        <w:rPr>
          <w:vertAlign w:val="superscript"/>
        </w:rPr>
        <w:t>o</w:t>
      </w:r>
      <w:r w:rsidR="00D16DD3">
        <w:t>; b) pixel spacing, 2.79-3.313mm; c) slice thickness, 3.312mm; d) TE=30.0 msec; e) TR=3000 msec</w:t>
      </w:r>
      <w:r w:rsidR="00597AEA">
        <w:t xml:space="preserve">; and f) phase-direction (anterior-posterior, </w:t>
      </w:r>
      <w:r w:rsidR="00FD3AB4">
        <w:t>n=14; posterior-anterior, n=91)</w:t>
      </w:r>
      <w:r w:rsidR="00597AEA">
        <w:t xml:space="preserve">.  </w:t>
      </w:r>
      <w:r w:rsidR="00FB6973">
        <w:t xml:space="preserve">There were nine (9) different fMRI temporal slice order sequences </w:t>
      </w:r>
      <w:r w:rsidR="00D16DD3">
        <w:t xml:space="preserve">listed in the </w:t>
      </w:r>
      <w:r w:rsidR="00597AEA">
        <w:t>886 scan dat</w:t>
      </w:r>
      <w:r w:rsidR="00E84E9E">
        <w:t>aset</w:t>
      </w:r>
      <w:r w:rsidR="00D16DD3">
        <w:t xml:space="preserve"> metadata</w:t>
      </w:r>
      <w:r w:rsidR="00E84E9E">
        <w:t xml:space="preserve">.  </w:t>
      </w:r>
      <w:r w:rsidR="00597AEA">
        <w:t>Only</w:t>
      </w:r>
      <w:r w:rsidR="00E84E9E">
        <w:t xml:space="preserve"> </w:t>
      </w:r>
      <w:r w:rsidR="00DD3122">
        <w:t xml:space="preserve">two </w:t>
      </w:r>
      <w:r w:rsidR="00E84E9E">
        <w:t>temporal slice order</w:t>
      </w:r>
      <w:r w:rsidR="00FB6973">
        <w:t xml:space="preserve"> sequences were admitted</w:t>
      </w:r>
      <w:r w:rsidR="00E84E9E">
        <w:t xml:space="preserve"> </w:t>
      </w:r>
      <w:r w:rsidR="00D16DD3">
        <w:t>to</w:t>
      </w:r>
      <w:r w:rsidR="00E84E9E">
        <w:t xml:space="preserve"> the </w:t>
      </w:r>
      <w:r w:rsidR="00D16DD3">
        <w:t>present</w:t>
      </w:r>
      <w:r w:rsidR="00F255FB">
        <w:t xml:space="preserve"> </w:t>
      </w:r>
      <w:r w:rsidR="000338A9">
        <w:t xml:space="preserve">98 </w:t>
      </w:r>
      <w:r w:rsidR="00E84E9E">
        <w:t>scan dataset</w:t>
      </w:r>
      <w:r w:rsidR="00FB6973">
        <w:t>: a) ascending 48 planes (odd, even), n=</w:t>
      </w:r>
      <w:r w:rsidR="009F2D3C">
        <w:t>91</w:t>
      </w:r>
      <w:r w:rsidR="00FB6973">
        <w:t xml:space="preserve">; </w:t>
      </w:r>
      <w:r w:rsidR="00597AEA">
        <w:t xml:space="preserve">and </w:t>
      </w:r>
      <w:r w:rsidR="00FB6973">
        <w:t>b) descending 48 planes (even, odd), n=</w:t>
      </w:r>
      <w:r w:rsidR="009F2D3C">
        <w:t>7</w:t>
      </w:r>
      <w:r w:rsidR="00D16DD3">
        <w:t>.  rsfMRI scans were of two durations: a) 140 TRs (“resting state”</w:t>
      </w:r>
      <w:r w:rsidR="005260C6">
        <w:t>, n=</w:t>
      </w:r>
      <w:r w:rsidR="000338A9">
        <w:t>85</w:t>
      </w:r>
      <w:r w:rsidR="00D16DD3">
        <w:t xml:space="preserve">); b) </w:t>
      </w:r>
      <w:r w:rsidR="005260C6">
        <w:t>200 TRs</w:t>
      </w:r>
      <w:r w:rsidR="000338A9">
        <w:t xml:space="preserve"> (“extended resting state”, n=13</w:t>
      </w:r>
      <w:r w:rsidR="00597AEA">
        <w:t>).</w:t>
      </w:r>
    </w:p>
    <w:p w:rsidR="00BB0BD6" w:rsidRDefault="00BB0BD6" w:rsidP="005B6A7D">
      <w:pPr>
        <w:pStyle w:val="Heading2"/>
      </w:pPr>
      <w:r>
        <w:t>Image preprocessing</w:t>
      </w:r>
    </w:p>
    <w:p w:rsidR="00C61E5F" w:rsidRDefault="00451BF0" w:rsidP="005B6A7D">
      <w:r>
        <w:t xml:space="preserve">Structural images </w:t>
      </w:r>
      <w:r w:rsidR="00133705">
        <w:t xml:space="preserve">and rsfMRI images </w:t>
      </w:r>
      <w:r>
        <w:t>were downloaded from LONI either in DICOM format (and locally converted using dcm2nii) or in 4DNIfTI format</w:t>
      </w:r>
      <w:r w:rsidR="00133705">
        <w:t xml:space="preserve"> (whereby the DICOM to NIfTI conversion is </w:t>
      </w:r>
      <w:r w:rsidR="0085606B">
        <w:t>completed by</w:t>
      </w:r>
      <w:r w:rsidR="00133705">
        <w:t xml:space="preserve"> LONI)</w:t>
      </w:r>
      <w:r>
        <w:t xml:space="preserve">.  </w:t>
      </w:r>
      <w:r w:rsidR="0088562B">
        <w:t>Preprocessing and data analysis were performed using a combination of Analysis o</w:t>
      </w:r>
      <w:r w:rsidR="00E159B6">
        <w:t>f Functional Neuroimages (AFNI)</w:t>
      </w:r>
      <w:r w:rsidR="007B38B5">
        <w:t xml:space="preserve"> software</w:t>
      </w:r>
      <w:r w:rsidR="0091480F">
        <w:t xml:space="preserve"> (Cox, 1996)</w:t>
      </w:r>
      <w:r w:rsidR="00E159B6">
        <w:t xml:space="preserve">, </w:t>
      </w:r>
      <w:r w:rsidR="00F555C4">
        <w:t>FSL (Smith, et al., 2004</w:t>
      </w:r>
      <w:r w:rsidR="00D227C9">
        <w:t>; Jenkinson, et al., 2012</w:t>
      </w:r>
      <w:r w:rsidR="00F555C4">
        <w:t xml:space="preserve">), </w:t>
      </w:r>
      <w:r w:rsidR="0088562B">
        <w:t>and “home-grown” analysis implemented in R</w:t>
      </w:r>
      <w:r w:rsidR="007B38B5">
        <w:t xml:space="preserve"> and </w:t>
      </w:r>
      <w:r w:rsidR="007B38B5" w:rsidRPr="007B38B5">
        <w:rPr>
          <w:i/>
        </w:rPr>
        <w:t>tcsh</w:t>
      </w:r>
      <w:r w:rsidR="007B38B5">
        <w:t xml:space="preserve"> shell scripts</w:t>
      </w:r>
      <w:r w:rsidR="00133705">
        <w:t>.</w:t>
      </w:r>
      <w:r w:rsidR="0085606B">
        <w:t xml:space="preserve">  </w:t>
      </w:r>
      <w:r w:rsidR="0088562B">
        <w:t xml:space="preserve">The AFNI Version was AFNI_16.3.04 (19-Oct-2016).  </w:t>
      </w:r>
      <w:r w:rsidR="0091480F">
        <w:t xml:space="preserve">The FSL version (FSLView) was V3.2.0.  </w:t>
      </w:r>
      <w:r w:rsidR="0088562B">
        <w:t>The R version was Version 3.2.3 (10-Dec-2015).  The AFNI Python script uber_subject.py was used to generate a baseline preprocessing shell script</w:t>
      </w:r>
      <w:r w:rsidR="00CF3127">
        <w:t xml:space="preserve"> which was manually edited</w:t>
      </w:r>
      <w:r w:rsidR="00C61E5F">
        <w:t>.</w:t>
      </w:r>
    </w:p>
    <w:p w:rsidR="005B6A7D" w:rsidRDefault="0085606B" w:rsidP="005B6A7D">
      <w:r>
        <w:t>F</w:t>
      </w:r>
      <w:r w:rsidR="00B84C1F">
        <w:t xml:space="preserve">or </w:t>
      </w:r>
      <w:r>
        <w:t>structural image</w:t>
      </w:r>
      <w:r w:rsidR="00B84C1F">
        <w:t>s</w:t>
      </w:r>
      <w:r>
        <w:t xml:space="preserve">, </w:t>
      </w:r>
      <w:r w:rsidR="00C61E5F">
        <w:t xml:space="preserve">the </w:t>
      </w:r>
      <w:r w:rsidR="00B84C1F">
        <w:t xml:space="preserve">sequential </w:t>
      </w:r>
      <w:r>
        <w:t xml:space="preserve">preprocessing steps included </w:t>
      </w:r>
      <w:r w:rsidR="00B84C1F">
        <w:t xml:space="preserve">skull stripping, center alignment to </w:t>
      </w:r>
      <w:r w:rsidR="00534955">
        <w:t>a</w:t>
      </w:r>
      <w:r w:rsidR="00B84C1F">
        <w:t xml:space="preserve"> standard atlas (</w:t>
      </w:r>
      <w:r w:rsidR="00C61E5F">
        <w:t xml:space="preserve">AFNI: </w:t>
      </w:r>
      <w:r w:rsidR="00B84C1F">
        <w:t xml:space="preserve">MNI_avg152), anatomical alignment to the rsfMRI </w:t>
      </w:r>
      <w:r w:rsidR="00674415">
        <w:t>EPI registration base</w:t>
      </w:r>
      <w:r w:rsidR="00C61E5F">
        <w:t xml:space="preserve"> volume</w:t>
      </w:r>
      <w:r w:rsidR="00674415">
        <w:t xml:space="preserve"> (4</w:t>
      </w:r>
      <w:r w:rsidR="00674415" w:rsidRPr="00674415">
        <w:rPr>
          <w:vertAlign w:val="superscript"/>
        </w:rPr>
        <w:t>th</w:t>
      </w:r>
      <w:r w:rsidR="00674415">
        <w:t xml:space="preserve"> EPI overall, 2</w:t>
      </w:r>
      <w:r w:rsidR="00674415" w:rsidRPr="00674415">
        <w:rPr>
          <w:vertAlign w:val="superscript"/>
        </w:rPr>
        <w:t>nd</w:t>
      </w:r>
      <w:r w:rsidR="00674415">
        <w:t xml:space="preserve"> after dropping first two EPIs)</w:t>
      </w:r>
      <w:r w:rsidR="00B84C1F">
        <w:t xml:space="preserve"> and warping to the standard atlas</w:t>
      </w:r>
      <w:r w:rsidR="00C61E5F">
        <w:t xml:space="preserve">.  </w:t>
      </w:r>
      <w:r w:rsidR="00B84C1F">
        <w:t>For rsfMRI EPIs,</w:t>
      </w:r>
      <w:r w:rsidR="00523A0F">
        <w:t xml:space="preserve"> </w:t>
      </w:r>
      <w:r w:rsidR="00C61E5F">
        <w:t xml:space="preserve">the </w:t>
      </w:r>
      <w:r w:rsidR="00523A0F">
        <w:t xml:space="preserve">preprocessing </w:t>
      </w:r>
      <w:r w:rsidR="00C61E5F">
        <w:t xml:space="preserve">sequence </w:t>
      </w:r>
      <w:r w:rsidR="00FD565A">
        <w:t>consisted of the following steps:</w:t>
      </w:r>
      <w:r w:rsidR="00523A0F">
        <w:t xml:space="preserve"> </w:t>
      </w:r>
      <w:r w:rsidR="00FD565A">
        <w:t xml:space="preserve">a) </w:t>
      </w:r>
      <w:r w:rsidR="00523A0F">
        <w:t xml:space="preserve">alignment of EPI centers </w:t>
      </w:r>
      <w:r w:rsidR="00C61E5F">
        <w:t>to</w:t>
      </w:r>
      <w:r w:rsidR="00FD565A">
        <w:t xml:space="preserve"> the standard atlas; b) </w:t>
      </w:r>
      <w:r w:rsidR="00523A0F">
        <w:t xml:space="preserve">elimination of </w:t>
      </w:r>
      <w:r w:rsidR="00B84C1F">
        <w:t xml:space="preserve">the first two </w:t>
      </w:r>
      <w:r w:rsidR="00534955">
        <w:t>EPIs</w:t>
      </w:r>
      <w:r w:rsidR="00FD565A">
        <w:t xml:space="preserve">; c) outlier detection and de-spiking; d) </w:t>
      </w:r>
      <w:r w:rsidR="00523A0F">
        <w:t xml:space="preserve">application of </w:t>
      </w:r>
      <w:r w:rsidR="00B84C1F">
        <w:t>time-shift correction</w:t>
      </w:r>
      <w:r w:rsidR="00FD565A">
        <w:t xml:space="preserve">; e) </w:t>
      </w:r>
      <w:r w:rsidR="00523A0F">
        <w:t>alignment of</w:t>
      </w:r>
      <w:r w:rsidR="00674415">
        <w:t xml:space="preserve"> each EPI to the base volume, </w:t>
      </w:r>
      <w:r w:rsidR="00523A0F">
        <w:t>alignment</w:t>
      </w:r>
      <w:r w:rsidR="00674415">
        <w:t xml:space="preserve"> to the anatomical image </w:t>
      </w:r>
      <w:r w:rsidR="00C61E5F">
        <w:t xml:space="preserve">and </w:t>
      </w:r>
      <w:r w:rsidR="00523A0F">
        <w:t>warp</w:t>
      </w:r>
      <w:r w:rsidR="00FD565A">
        <w:t xml:space="preserve"> to standard space; f) </w:t>
      </w:r>
      <w:r w:rsidR="00674415">
        <w:t xml:space="preserve">generation of anatomical and EPI </w:t>
      </w:r>
      <w:r w:rsidR="00FD565A">
        <w:t xml:space="preserve">masks; g) </w:t>
      </w:r>
      <w:r w:rsidR="00523A0F">
        <w:t xml:space="preserve">application of </w:t>
      </w:r>
      <w:r w:rsidR="00674415">
        <w:t>spa</w:t>
      </w:r>
      <w:r w:rsidR="00EC7C58">
        <w:t>tial smoothing (FWHM = 4.0</w:t>
      </w:r>
      <w:r w:rsidR="00EC7C16">
        <w:t>, 6.0, 8.0, or 10.0</w:t>
      </w:r>
      <w:r w:rsidR="00FD565A">
        <w:t xml:space="preserve">); h) </w:t>
      </w:r>
      <w:r w:rsidR="00674415">
        <w:t>scaling each voxel time</w:t>
      </w:r>
      <w:r w:rsidR="00FD565A">
        <w:t xml:space="preserve"> series to a mean value of 100; i) </w:t>
      </w:r>
      <w:r w:rsidR="00523A0F">
        <w:t>generation of demeaned motion parame</w:t>
      </w:r>
      <w:r w:rsidR="00FD565A">
        <w:t xml:space="preserve">ters and motion parameter derivatives; j) generation of </w:t>
      </w:r>
      <w:r w:rsidR="00523A0F">
        <w:t>motion “censor” masks</w:t>
      </w:r>
      <w:r w:rsidR="00CF3AA1">
        <w:t xml:space="preserve"> (motion limit = 0.3-0.5</w:t>
      </w:r>
      <w:r w:rsidR="00FD565A">
        <w:t xml:space="preserve">); </w:t>
      </w:r>
      <w:r w:rsidR="00674415">
        <w:t xml:space="preserve">generation of </w:t>
      </w:r>
      <w:r w:rsidR="00534955">
        <w:t xml:space="preserve">cerebral-spinal fluid(CSF) and </w:t>
      </w:r>
      <w:r w:rsidR="00674415">
        <w:t>white-matter</w:t>
      </w:r>
      <w:r w:rsidR="00534955">
        <w:t xml:space="preserve"> (WM)</w:t>
      </w:r>
      <w:r w:rsidR="00674415">
        <w:t xml:space="preserve"> segmentation masks</w:t>
      </w:r>
      <w:r w:rsidR="00534955">
        <w:t xml:space="preserve"> and corresponding demeaned voxel time series</w:t>
      </w:r>
      <w:r w:rsidR="00FD565A">
        <w:t xml:space="preserve">; k) computation of the global </w:t>
      </w:r>
      <w:r w:rsidR="00FD565A">
        <w:lastRenderedPageBreak/>
        <w:t xml:space="preserve">averaged time series signal (GS); </w:t>
      </w:r>
      <w:r w:rsidR="00534955">
        <w:t xml:space="preserve">and </w:t>
      </w:r>
      <w:r w:rsidR="00FD565A">
        <w:t xml:space="preserve">l) </w:t>
      </w:r>
      <w:r w:rsidR="00674415">
        <w:t>deconvolutio</w:t>
      </w:r>
      <w:r w:rsidR="00534955">
        <w:t xml:space="preserve">n with either </w:t>
      </w:r>
      <w:r w:rsidR="00FD565A">
        <w:t>eight</w:t>
      </w:r>
      <w:r w:rsidR="00523A0F">
        <w:t xml:space="preserve"> regresso</w:t>
      </w:r>
      <w:r w:rsidR="00534955">
        <w:t>rs (motion</w:t>
      </w:r>
      <w:r w:rsidR="00FD565A">
        <w:t>+ CSF + WM</w:t>
      </w:r>
      <w:r w:rsidR="00534955">
        <w:t xml:space="preserve">), </w:t>
      </w:r>
      <w:r w:rsidR="00FD565A">
        <w:t>nine</w:t>
      </w:r>
      <w:r w:rsidR="00523A0F">
        <w:t xml:space="preserve"> regressors</w:t>
      </w:r>
      <w:r w:rsidR="00FD565A">
        <w:t xml:space="preserve"> (8</w:t>
      </w:r>
      <w:r w:rsidR="00534955">
        <w:t xml:space="preserve"> </w:t>
      </w:r>
      <w:r w:rsidR="00FD565A">
        <w:t>regressors + GS)</w:t>
      </w:r>
      <w:r w:rsidR="00523A0F">
        <w:t>)</w:t>
      </w:r>
      <w:r w:rsidR="00534955">
        <w:t xml:space="preserve">, </w:t>
      </w:r>
      <w:r w:rsidR="00FD565A">
        <w:t>14</w:t>
      </w:r>
      <w:r w:rsidR="00534955">
        <w:t xml:space="preserve"> regressors (</w:t>
      </w:r>
      <w:r w:rsidR="00FD565A">
        <w:t>8 regressors + 6 motion derivatives</w:t>
      </w:r>
      <w:r w:rsidR="00534955">
        <w:t>)</w:t>
      </w:r>
      <w:r w:rsidR="00FD565A">
        <w:t xml:space="preserve">, or 15 regressors (9 regressors + 6 motion derivatives) </w:t>
      </w:r>
      <w:r w:rsidR="00523A0F">
        <w:t>to y</w:t>
      </w:r>
      <w:r w:rsidR="00FD565A">
        <w:t>ield</w:t>
      </w:r>
      <w:r w:rsidR="00534955">
        <w:t xml:space="preserve"> a 4D </w:t>
      </w:r>
      <w:r w:rsidR="00523A0F">
        <w:t>residual error dataset</w:t>
      </w:r>
      <w:r w:rsidR="00534955">
        <w:t xml:space="preserve"> </w:t>
      </w:r>
      <w:r w:rsidR="00523A0F">
        <w:t>that was input to the next stage of</w:t>
      </w:r>
      <w:r w:rsidR="00534955">
        <w:t xml:space="preserve"> correlation analysis.</w:t>
      </w:r>
      <w:r w:rsidR="00F226A9">
        <w:t xml:space="preserve">  The deconvolution step included additional regressors to implement a time-series filter with bandwidth 0.01 – 0.1 Hz.</w:t>
      </w:r>
      <w:r w:rsidR="00034E59">
        <w:t xml:space="preserve">  [Note: de-spiking and band-pass filtering were added to the preprocessing pipeline once the matched</w:t>
      </w:r>
      <w:r w:rsidR="00BF6135">
        <w:t xml:space="preserve"> </w:t>
      </w:r>
      <w:r w:rsidR="000338A9">
        <w:t xml:space="preserve">98 </w:t>
      </w:r>
      <w:r w:rsidR="00034E59">
        <w:t>data</w:t>
      </w:r>
      <w:r w:rsidR="00310634">
        <w:t xml:space="preserve"> </w:t>
      </w:r>
      <w:r w:rsidR="00034E59">
        <w:t xml:space="preserve">set was </w:t>
      </w:r>
      <w:r w:rsidR="00310634">
        <w:t>defined</w:t>
      </w:r>
      <w:r w:rsidR="00034E59">
        <w:t>.]</w:t>
      </w:r>
    </w:p>
    <w:p w:rsidR="00133705" w:rsidRPr="005B6A7D" w:rsidRDefault="00133705" w:rsidP="005B6A7D">
      <w:r>
        <w:t xml:space="preserve">The list of high-resolution and rsfMRI </w:t>
      </w:r>
      <w:r w:rsidR="00F226A9">
        <w:t xml:space="preserve">ADNI </w:t>
      </w:r>
      <w:r w:rsidR="009F2D3C">
        <w:t xml:space="preserve">image identifiers </w:t>
      </w:r>
      <w:r>
        <w:t xml:space="preserve">and </w:t>
      </w:r>
      <w:r w:rsidR="00F226A9">
        <w:t xml:space="preserve">the </w:t>
      </w:r>
      <w:r w:rsidR="00BB66C1">
        <w:t xml:space="preserve">research-grade (i.e., not for clinical or commercial use) </w:t>
      </w:r>
      <w:r w:rsidR="00CF3127">
        <w:t xml:space="preserve">AFNI, </w:t>
      </w:r>
      <w:r w:rsidR="009F2D3C">
        <w:t xml:space="preserve">R, </w:t>
      </w:r>
      <w:r w:rsidR="00CF3127">
        <w:t xml:space="preserve">and other shell </w:t>
      </w:r>
      <w:r>
        <w:t xml:space="preserve">scripts </w:t>
      </w:r>
      <w:r w:rsidR="00CF3127">
        <w:t>have been</w:t>
      </w:r>
      <w:r>
        <w:t xml:space="preserve"> uploaded to</w:t>
      </w:r>
      <w:r w:rsidR="003F61A8">
        <w:t xml:space="preserve"> github.  Access is </w:t>
      </w:r>
      <w:r w:rsidR="00DE7527">
        <w:t>available</w:t>
      </w:r>
      <w:r w:rsidR="003F61A8">
        <w:t xml:space="preserve"> upon request on an</w:t>
      </w:r>
      <w:r>
        <w:t xml:space="preserve"> “as is” </w:t>
      </w:r>
      <w:r w:rsidR="00F226A9">
        <w:t xml:space="preserve">warranty-free </w:t>
      </w:r>
      <w:r w:rsidR="003F61A8">
        <w:t>basis.</w:t>
      </w:r>
    </w:p>
    <w:p w:rsidR="005B6A7D" w:rsidRDefault="00C424D6" w:rsidP="005B6A7D">
      <w:pPr>
        <w:pStyle w:val="Heading2"/>
      </w:pPr>
      <w:r>
        <w:t>Quality assurance at the study participant level</w:t>
      </w:r>
    </w:p>
    <w:p w:rsidR="00555522" w:rsidRDefault="00B822F8" w:rsidP="005B6A7D">
      <w:r>
        <w:t xml:space="preserve">The goal of quality assurance </w:t>
      </w:r>
      <w:r w:rsidR="00CF3127">
        <w:t>is</w:t>
      </w:r>
      <w:r w:rsidR="00CF3AA1">
        <w:t xml:space="preserve"> </w:t>
      </w:r>
      <w:r w:rsidR="00CF3127">
        <w:t>to</w:t>
      </w:r>
      <w:r w:rsidR="00DA2DEE">
        <w:t xml:space="preserve"> </w:t>
      </w:r>
      <w:r w:rsidR="00CF3127">
        <w:t>automate the decision process for inclusion and exclusion of scans in individual and group-level analyses</w:t>
      </w:r>
      <w:r w:rsidR="00CF3AA1">
        <w:t>.  The main focus of the procedure is to identify and reject scans</w:t>
      </w:r>
      <w:r w:rsidR="00555522">
        <w:t xml:space="preserve"> </w:t>
      </w:r>
      <w:r w:rsidR="00CF3127">
        <w:t xml:space="preserve">based on a </w:t>
      </w:r>
      <w:r w:rsidR="009F2D3C">
        <w:t xml:space="preserve">reproducible </w:t>
      </w:r>
      <w:r w:rsidR="00CF3127">
        <w:t>quantitative assessment of motion artefacts</w:t>
      </w:r>
      <w:r w:rsidR="00CF3AA1">
        <w:t xml:space="preserve">.  </w:t>
      </w:r>
      <w:r w:rsidR="003349DC">
        <w:t xml:space="preserve">The </w:t>
      </w:r>
      <w:r w:rsidR="00CF3AA1">
        <w:t>starting</w:t>
      </w:r>
      <w:r w:rsidR="003349DC">
        <w:t xml:space="preserve"> database consisted of 886 rsfMRI scans (and their paired structural images) downloaded from LONI.  </w:t>
      </w:r>
      <w:r w:rsidR="00996247">
        <w:t>An R package “ADNIMERGE” contained</w:t>
      </w:r>
      <w:r w:rsidR="003349DC">
        <w:t xml:space="preserve"> MRI </w:t>
      </w:r>
      <w:r w:rsidR="0034490A">
        <w:t xml:space="preserve">and rsfMRI </w:t>
      </w:r>
      <w:r w:rsidR="003349DC">
        <w:t>quality assessment</w:t>
      </w:r>
      <w:r w:rsidR="00996247">
        <w:t>s</w:t>
      </w:r>
      <w:r w:rsidR="003349DC">
        <w:t xml:space="preserve"> </w:t>
      </w:r>
      <w:r w:rsidR="0034490A">
        <w:t xml:space="preserve">(e.g., comments by </w:t>
      </w:r>
      <w:r w:rsidR="00CF3AA1">
        <w:t xml:space="preserve">ADNI </w:t>
      </w:r>
      <w:r w:rsidR="0034490A">
        <w:t xml:space="preserve">quality </w:t>
      </w:r>
      <w:r w:rsidR="00CF3AA1">
        <w:t>reviewers</w:t>
      </w:r>
      <w:r w:rsidR="0034490A">
        <w:t xml:space="preserve">) and related </w:t>
      </w:r>
      <w:r w:rsidR="003349DC">
        <w:t>data</w:t>
      </w:r>
      <w:r w:rsidR="0034490A">
        <w:t xml:space="preserve"> (e.g., rsfMRI slice order)</w:t>
      </w:r>
      <w:r w:rsidR="003349DC">
        <w:t xml:space="preserve"> stored in the table</w:t>
      </w:r>
      <w:r w:rsidR="0034490A">
        <w:t>s</w:t>
      </w:r>
      <w:r w:rsidR="00F255FB">
        <w:t xml:space="preserve"> </w:t>
      </w:r>
      <w:r w:rsidR="003349DC">
        <w:t>“</w:t>
      </w:r>
      <w:r w:rsidR="0034490A">
        <w:t>mayoadirl_mri_imageqc” and “mayoadirl_mri_fmri</w:t>
      </w:r>
      <w:r w:rsidR="003349DC">
        <w:t>”</w:t>
      </w:r>
      <w:r w:rsidR="0034490A">
        <w:t>, respectively</w:t>
      </w:r>
      <w:r w:rsidR="003349DC">
        <w:t xml:space="preserve"> (Mayo </w:t>
      </w:r>
      <w:r w:rsidR="0034490A">
        <w:t xml:space="preserve">ADIR, 2011, 2012).  The </w:t>
      </w:r>
      <w:r w:rsidR="00DE7527">
        <w:t>886-</w:t>
      </w:r>
      <w:r w:rsidR="0034490A">
        <w:t xml:space="preserve">scan set </w:t>
      </w:r>
      <w:r w:rsidR="00BD72BF">
        <w:t xml:space="preserve">(n=220 subjects) was </w:t>
      </w:r>
      <w:r w:rsidR="0034490A">
        <w:t xml:space="preserve">reduced to </w:t>
      </w:r>
      <w:r w:rsidR="00324E1D">
        <w:t>688</w:t>
      </w:r>
      <w:r w:rsidR="00DE7527">
        <w:t xml:space="preserve"> scans</w:t>
      </w:r>
      <w:r w:rsidR="0034490A">
        <w:t xml:space="preserve"> </w:t>
      </w:r>
      <w:r w:rsidR="009053D7">
        <w:t>(n=</w:t>
      </w:r>
      <w:r w:rsidR="00324E1D">
        <w:t>209</w:t>
      </w:r>
      <w:r w:rsidR="00BD72BF">
        <w:t xml:space="preserve">) </w:t>
      </w:r>
      <w:r w:rsidR="005128A1">
        <w:t xml:space="preserve">by </w:t>
      </w:r>
      <w:r w:rsidR="00CF3AA1">
        <w:t>rejecting</w:t>
      </w:r>
      <w:r w:rsidR="005128A1">
        <w:t xml:space="preserve"> all scans t</w:t>
      </w:r>
      <w:r w:rsidR="00BD72BF">
        <w:t xml:space="preserve">hat did not conform to the slice order sequences noted above, or could not be opened in the FSL viewer, or had other file-related issues, or had clearly excessive motion based on visual inspection in the FSL viewer, or </w:t>
      </w:r>
      <w:r w:rsidR="005128A1">
        <w:t>contained any reviewer comment</w:t>
      </w:r>
      <w:r w:rsidR="000F7FBA">
        <w:t xml:space="preserve"> in either of the available pair of comment fields</w:t>
      </w:r>
      <w:r w:rsidR="009053D7">
        <w:t xml:space="preserve">.  </w:t>
      </w:r>
      <w:r w:rsidR="00996247">
        <w:t xml:space="preserve">Comments typically referenced </w:t>
      </w:r>
      <w:r w:rsidR="005128A1">
        <w:t>excessive motion or potential or actual</w:t>
      </w:r>
      <w:r w:rsidR="00555522">
        <w:t xml:space="preserve"> clinical findings.</w:t>
      </w:r>
    </w:p>
    <w:p w:rsidR="00555522" w:rsidRDefault="00996247" w:rsidP="005B6A7D">
      <w:r>
        <w:t xml:space="preserve">The </w:t>
      </w:r>
      <w:r w:rsidR="00555522">
        <w:t xml:space="preserve">eight (8) regressors (six motion, CSF and WM) </w:t>
      </w:r>
      <w:r>
        <w:t xml:space="preserve">preprocessing sequence with motion-limit set to 0.5 </w:t>
      </w:r>
      <w:r w:rsidR="00555522">
        <w:t xml:space="preserve">was applied to each of the 688 structural-rsfMRI pairs.  The global average signal of the rsfMRI scan was </w:t>
      </w:r>
      <w:r w:rsidR="00CF3AA1">
        <w:t>analyzed</w:t>
      </w:r>
      <w:r w:rsidR="00AD6B4C">
        <w:t xml:space="preserve"> </w:t>
      </w:r>
      <w:r w:rsidR="00CF3AA1">
        <w:t xml:space="preserve">as an initial </w:t>
      </w:r>
      <w:r w:rsidR="00555522">
        <w:t>screen for exc</w:t>
      </w:r>
      <w:r w:rsidR="00F44419">
        <w:t xml:space="preserve">essive motion.  </w:t>
      </w:r>
      <w:r w:rsidR="00555522">
        <w:t xml:space="preserve">Scans were highlighted for further inspection </w:t>
      </w:r>
      <w:r w:rsidR="00AD6B4C">
        <w:t>where</w:t>
      </w:r>
      <w:r w:rsidR="00555522">
        <w:t xml:space="preserve"> </w:t>
      </w:r>
      <w:r w:rsidR="00AD6B4C">
        <w:t>any</w:t>
      </w:r>
      <w:r w:rsidR="00555522">
        <w:t xml:space="preserve"> global average time-series </w:t>
      </w:r>
      <w:r w:rsidR="00F44419">
        <w:t>amplitude</w:t>
      </w:r>
      <w:r w:rsidR="00555522">
        <w:t xml:space="preserve"> </w:t>
      </w:r>
      <w:r w:rsidR="00F44419">
        <w:t>v</w:t>
      </w:r>
      <w:r w:rsidR="00AD6B4C">
        <w:t>alue</w:t>
      </w:r>
      <w:r w:rsidR="00555522">
        <w:t xml:space="preserve"> </w:t>
      </w:r>
      <w:r w:rsidR="00F44419">
        <w:t>fell outside the</w:t>
      </w:r>
      <w:r w:rsidR="00555522">
        <w:t xml:space="preserve"> range 96-104</w:t>
      </w:r>
      <w:r w:rsidR="00F44419">
        <w:t xml:space="preserve"> or that </w:t>
      </w:r>
      <w:r w:rsidR="00AD6B4C">
        <w:t xml:space="preserve">the </w:t>
      </w:r>
      <w:r w:rsidR="00F44419">
        <w:t>standard deviation of the global average time series exc</w:t>
      </w:r>
      <w:r w:rsidR="00AD6B4C">
        <w:t>eeded 2.0.  The range and standard deviation thresholds were set by an iterative process.  In the first iteration, the threshold values were 2-3x wider</w:t>
      </w:r>
      <w:r w:rsidR="00CF3127">
        <w:t xml:space="preserve"> than those listed above</w:t>
      </w:r>
      <w:r w:rsidR="00AD6B4C">
        <w:t xml:space="preserve">.  Flagged scans were visually inspected.  The most common cause was clearly </w:t>
      </w:r>
      <w:r w:rsidR="00CF3127">
        <w:t>evident</w:t>
      </w:r>
      <w:r w:rsidR="00AD6B4C">
        <w:t xml:space="preserve"> </w:t>
      </w:r>
      <w:r w:rsidR="00CF3AA1">
        <w:t xml:space="preserve">excessive motion.  </w:t>
      </w:r>
      <w:r w:rsidR="00AD6B4C">
        <w:t>The threshold values were narrowe</w:t>
      </w:r>
      <w:r w:rsidR="00CF3127">
        <w:t xml:space="preserve">d until scans were flagged for which </w:t>
      </w:r>
      <w:r w:rsidR="00AD6B4C">
        <w:t xml:space="preserve">it was no longer immediately obvious by visual inspection what drove the excess global signal.  This </w:t>
      </w:r>
      <w:r w:rsidR="007E6310">
        <w:t xml:space="preserve">gross motion screening </w:t>
      </w:r>
      <w:r w:rsidR="00AD6B4C">
        <w:t>procedure reduced the 688 structural-rsfMRI pairs database to 564 (n=201 subjects).</w:t>
      </w:r>
    </w:p>
    <w:p w:rsidR="00BF6135" w:rsidRDefault="007E6310" w:rsidP="005B6A7D">
      <w:r>
        <w:t xml:space="preserve">The </w:t>
      </w:r>
      <w:r w:rsidR="00034E59">
        <w:t xml:space="preserve">564 </w:t>
      </w:r>
      <w:r w:rsidR="00826DD3">
        <w:t xml:space="preserve">scan pairs </w:t>
      </w:r>
      <w:r>
        <w:t xml:space="preserve">database was </w:t>
      </w:r>
      <w:r w:rsidR="00F46A63">
        <w:t xml:space="preserve">then </w:t>
      </w:r>
      <w:r>
        <w:t>screened on the basis of statistics generated by the AFNI-based preprocessing pipeline.  Scans were rejected according to the following criteria:</w:t>
      </w:r>
      <w:r w:rsidR="00034E59">
        <w:t xml:space="preserve"> </w:t>
      </w:r>
      <w:r>
        <w:t xml:space="preserve">a) DICE coefficient </w:t>
      </w:r>
      <w:r w:rsidR="00034E59">
        <w:t>&lt; 0.71</w:t>
      </w:r>
      <w:r>
        <w:t>; b) censor fraction</w:t>
      </w:r>
      <w:r w:rsidR="00034E59">
        <w:t xml:space="preserve"> &gt; 0.10</w:t>
      </w:r>
      <w:r>
        <w:t xml:space="preserve">; c) </w:t>
      </w:r>
      <w:r w:rsidR="00034E59">
        <w:t xml:space="preserve">maximum censored displacement &gt; 1.00; d) average TSNR &gt; 300 or average TSNR &lt; 100; </w:t>
      </w:r>
      <w:r w:rsidR="00CF3127">
        <w:t xml:space="preserve">e) </w:t>
      </w:r>
      <w:r w:rsidR="00034E59">
        <w:t>degr</w:t>
      </w:r>
      <w:r w:rsidR="00CF3127">
        <w:t>ees of freedom left &lt; 100; and f</w:t>
      </w:r>
      <w:r w:rsidR="00034E59">
        <w:t>) globa</w:t>
      </w:r>
      <w:r w:rsidR="00826DD3">
        <w:t>l correlation &gt; 0.05.  This screening stage reduced the 56</w:t>
      </w:r>
      <w:r w:rsidR="00CF3AA1">
        <w:t>4 pairs database to 314 (n=145).  The full preprocessing pipeline was</w:t>
      </w:r>
      <w:r w:rsidR="00996247">
        <w:t xml:space="preserve"> then</w:t>
      </w:r>
      <w:r w:rsidR="00CF3AA1">
        <w:t xml:space="preserve"> rerun </w:t>
      </w:r>
      <w:r w:rsidR="00996247">
        <w:t>with</w:t>
      </w:r>
      <w:r w:rsidR="00CF3AA1">
        <w:t xml:space="preserve"> 8 regressors (no GS removal) and 9 regressors (GS removal), but with motion limit value</w:t>
      </w:r>
      <w:r w:rsidR="00996247">
        <w:t xml:space="preserve"> tightened to 0.3</w:t>
      </w:r>
      <w:r w:rsidR="00CF3AA1">
        <w:t xml:space="preserve">. </w:t>
      </w:r>
      <w:r w:rsidR="00986D0B">
        <w:t xml:space="preserve">The </w:t>
      </w:r>
      <w:r w:rsidR="00CF3AA1">
        <w:t>global average time se</w:t>
      </w:r>
      <w:r w:rsidR="00986D0B">
        <w:t xml:space="preserve">ries and AFNI statistics filters were applied </w:t>
      </w:r>
      <w:r w:rsidR="00DE7527">
        <w:t xml:space="preserve">to each preprocessed set.  The </w:t>
      </w:r>
      <w:r w:rsidR="00986D0B">
        <w:t>8-regressor set yielded 218 scans (n=112 subjects).  The 9-regressor set yielded 219 scans</w:t>
      </w:r>
      <w:r w:rsidR="00DE7527">
        <w:t xml:space="preserve"> </w:t>
      </w:r>
      <w:r w:rsidR="00986D0B">
        <w:t>(n=112 subjects).  The reduction from 314 to ~218 w</w:t>
      </w:r>
      <w:r w:rsidR="00CF3127">
        <w:t>as due almost exclusively (&gt;95%</w:t>
      </w:r>
      <w:r w:rsidR="00996247">
        <w:t xml:space="preserve"> of cases</w:t>
      </w:r>
      <w:r w:rsidR="00986D0B">
        <w:t xml:space="preserve">) to failing the </w:t>
      </w:r>
      <w:r w:rsidR="00986D0B">
        <w:lastRenderedPageBreak/>
        <w:t>criterion (10%) for percentage of scan time slices censored.  This procedure yielded a dataset of 211 (n=109 subjects) common to both the 8- and 9-regressor configurations.</w:t>
      </w:r>
      <w:r w:rsidR="00E81171">
        <w:t xml:space="preserve">  The final dataset reduction step enforced the rule of a single scan pair per subject.  Where multiple candidate scans were present, the latest available</w:t>
      </w:r>
      <w:r w:rsidR="00A20621">
        <w:t xml:space="preserve"> was selected</w:t>
      </w:r>
      <w:r w:rsidR="009F2D3C">
        <w:t xml:space="preserve">.  </w:t>
      </w:r>
      <w:r w:rsidR="00A20621">
        <w:t>80%+ of the final dataset consists of data recorded from subjects who were on at least their second ADNI 2 study visit</w:t>
      </w:r>
      <w:r w:rsidR="00BF6135">
        <w:t xml:space="preserve">.  </w:t>
      </w:r>
      <w:r w:rsidR="00E81171">
        <w:t>The final</w:t>
      </w:r>
      <w:r w:rsidR="005F5F1F">
        <w:t xml:space="preserve"> </w:t>
      </w:r>
      <w:r w:rsidR="000338A9">
        <w:t xml:space="preserve">98 </w:t>
      </w:r>
      <w:r w:rsidR="00E81171">
        <w:t xml:space="preserve">subject, age-, gender-, and education-matched dataset shown in Table 1 was obtained by random selection of subjects (by age or by gender) where needed to achieve </w:t>
      </w:r>
      <w:r w:rsidR="0089770F">
        <w:t>statistical</w:t>
      </w:r>
      <w:r w:rsidR="00E81171">
        <w:t xml:space="preserve"> </w:t>
      </w:r>
      <w:r w:rsidR="00BF6135">
        <w:t>balance.</w:t>
      </w:r>
    </w:p>
    <w:p w:rsidR="00DF3B8A" w:rsidRDefault="00151E72" w:rsidP="005B6A7D">
      <w:r>
        <w:t xml:space="preserve">Table 2 </w:t>
      </w:r>
      <w:r w:rsidR="00DB0CCF">
        <w:t xml:space="preserve">shows that the </w:t>
      </w:r>
      <w:r w:rsidR="00BF6135">
        <w:t xml:space="preserve">preprocessing performance measures </w:t>
      </w:r>
      <w:r w:rsidR="00DB0CCF">
        <w:t>are matched ac</w:t>
      </w:r>
      <w:r w:rsidR="00BF6135">
        <w:t>ross the three diagnostic groups.  “Matched” means that f</w:t>
      </w:r>
      <w:r w:rsidR="00DF3B8A">
        <w:t xml:space="preserve">or each performance statistic, </w:t>
      </w:r>
      <w:r w:rsidR="00BF6135">
        <w:t xml:space="preserve">the </w:t>
      </w:r>
      <w:r w:rsidR="00DF3B8A">
        <w:t xml:space="preserve">null hypothesis of equal group means is rejected in one-way </w:t>
      </w:r>
      <w:r w:rsidR="00BF6135">
        <w:t xml:space="preserve">ANOVA </w:t>
      </w:r>
      <w:r w:rsidR="00DF3B8A">
        <w:t>with diagnostic label as a three-level factor</w:t>
      </w:r>
      <w:r w:rsidR="00BF6135">
        <w:t xml:space="preserve">.  </w:t>
      </w:r>
      <w:r w:rsidR="00DF3B8A">
        <w:t>Matched performance statistics are</w:t>
      </w:r>
      <w:r w:rsidR="00BF6135">
        <w:t xml:space="preserve"> seen across all four preprocessing pipeline configurations (e.g., 8-, 9-, 14- or 15-regressors in the deconvolution stage).  </w:t>
      </w:r>
      <w:r>
        <w:t xml:space="preserve">In </w:t>
      </w:r>
      <w:r w:rsidR="00EA762B">
        <w:t xml:space="preserve">nearly </w:t>
      </w:r>
      <w:r>
        <w:t>all c</w:t>
      </w:r>
      <w:r w:rsidR="00FE4BC9">
        <w:t xml:space="preserve">ases the ANOVA </w:t>
      </w:r>
      <w:r w:rsidR="00FE4BC9" w:rsidRPr="00FE4BC9">
        <w:rPr>
          <w:i/>
        </w:rPr>
        <w:t>p</w:t>
      </w:r>
      <w:r w:rsidR="007174D9">
        <w:t>-value was &gt;</w:t>
      </w:r>
      <w:r w:rsidR="00EA762B">
        <w:t>0.05</w:t>
      </w:r>
      <w:r w:rsidR="00DF3B8A">
        <w:t>.</w:t>
      </w:r>
    </w:p>
    <w:p w:rsidR="00495225" w:rsidRDefault="00BF6135" w:rsidP="005B6A7D">
      <w:r>
        <w:t>For good measure</w:t>
      </w:r>
      <w:r w:rsidR="009D179D">
        <w:t xml:space="preserve">, </w:t>
      </w:r>
      <w:r w:rsidR="00DF3B8A" w:rsidRPr="00DF3B8A">
        <w:rPr>
          <w:i/>
        </w:rPr>
        <w:t>post hoc</w:t>
      </w:r>
      <w:r w:rsidR="00DF3B8A">
        <w:t xml:space="preserve"> </w:t>
      </w:r>
      <w:r w:rsidR="009F2D3C">
        <w:t xml:space="preserve">pair-wise </w:t>
      </w:r>
      <w:r w:rsidR="00AC3EBD">
        <w:t xml:space="preserve">diagnosis group </w:t>
      </w:r>
      <w:r w:rsidR="009F2D3C" w:rsidRPr="009F2D3C">
        <w:rPr>
          <w:i/>
        </w:rPr>
        <w:t>t</w:t>
      </w:r>
      <w:r w:rsidR="009F2D3C">
        <w:t xml:space="preserve"> tests of significance </w:t>
      </w:r>
      <w:r w:rsidR="007C1C37">
        <w:t>were performed</w:t>
      </w:r>
      <w:r w:rsidR="00AC3EBD">
        <w:t xml:space="preserve"> for </w:t>
      </w:r>
      <w:r w:rsidR="005C09B1">
        <w:t xml:space="preserve">the </w:t>
      </w:r>
      <w:r>
        <w:t xml:space="preserve">statistics that were not &gt;&gt;0.05.  These include </w:t>
      </w:r>
      <w:r w:rsidR="00AC3EBD">
        <w:t>Censor Fraction, the Max Censored Displacement and the Global Correlation</w:t>
      </w:r>
      <w:r w:rsidR="009D179D">
        <w:t xml:space="preserve"> statistics</w:t>
      </w:r>
      <w:r w:rsidR="00AC3EBD">
        <w:t xml:space="preserve">.  </w:t>
      </w:r>
      <w:r w:rsidR="009D179D">
        <w:t>For the Censor Fraction statistic, the thre</w:t>
      </w:r>
      <w:r w:rsidR="00EA762B">
        <w:t xml:space="preserve">e </w:t>
      </w:r>
      <w:r w:rsidR="00EA762B" w:rsidRPr="00786C7A">
        <w:rPr>
          <w:i/>
        </w:rPr>
        <w:t>P</w:t>
      </w:r>
      <w:r w:rsidR="00EA762B">
        <w:t xml:space="preserve"> values (rounded to nearest hundredth) were (CN vs MCI: 0.01; CN vs. Dementia: 0.32</w:t>
      </w:r>
      <w:r w:rsidR="009D179D">
        <w:t>; MCI vs Dementia: 0</w:t>
      </w:r>
      <w:r w:rsidR="00495225">
        <w:t>.21</w:t>
      </w:r>
      <w:r w:rsidR="009D179D">
        <w:t>) with correspo</w:t>
      </w:r>
      <w:r w:rsidR="00495225">
        <w:t>nding Cohen’s effect sizes (0.61, 0.26, 0.38</w:t>
      </w:r>
      <w:r w:rsidR="009D179D">
        <w:t xml:space="preserve">).  The null hypothesis (that there is no statistically significant difference in the mean fraction of time slices censored (for motion) in the group MCI vs the group CN) </w:t>
      </w:r>
      <w:r w:rsidR="00495225">
        <w:t>cannot be</w:t>
      </w:r>
      <w:r w:rsidR="009D179D">
        <w:t xml:space="preserve"> rejected</w:t>
      </w:r>
      <w:r w:rsidR="00981FB4">
        <w:t xml:space="preserve">.  The statistical </w:t>
      </w:r>
      <w:r w:rsidR="009D179D">
        <w:t>effec</w:t>
      </w:r>
      <w:r w:rsidR="00495225">
        <w:t xml:space="preserve">t size is moderate.  The MCI Censor Fraction median value was 1% and that for CN 2%.  </w:t>
      </w:r>
      <w:r w:rsidR="00981FB4">
        <w:t>This</w:t>
      </w:r>
      <w:r w:rsidR="00495225">
        <w:t xml:space="preserve"> difference is not expected to have material impact on the conclusions of this report.</w:t>
      </w:r>
    </w:p>
    <w:p w:rsidR="00DE03FB" w:rsidRDefault="00DE03FB" w:rsidP="005B6A7D">
      <w:r>
        <w:t>For the Maximum Censored Displacement statisti</w:t>
      </w:r>
      <w:r w:rsidR="00981FB4">
        <w:t xml:space="preserve">c, the three </w:t>
      </w:r>
      <w:r w:rsidR="00981FB4" w:rsidRPr="00786C7A">
        <w:rPr>
          <w:i/>
        </w:rPr>
        <w:t>P</w:t>
      </w:r>
      <w:r w:rsidR="00981FB4">
        <w:t xml:space="preserve"> values were (0.24, 0.03, 0.24</w:t>
      </w:r>
      <w:r>
        <w:t>) with correspo</w:t>
      </w:r>
      <w:r w:rsidR="00495225">
        <w:t>nding Cohen’s effect sizes (0.26, 0.21, 0.03</w:t>
      </w:r>
      <w:r>
        <w:t>).  The null hypothesis (that there is no statistically significant difference in the maximum displacement in remaining time slic</w:t>
      </w:r>
      <w:r w:rsidR="00981FB4">
        <w:t xml:space="preserve">es after censoring in the group </w:t>
      </w:r>
      <w:r>
        <w:t>Dementia vs CN</w:t>
      </w:r>
      <w:r w:rsidR="000338A9">
        <w:t xml:space="preserve">) </w:t>
      </w:r>
      <w:r w:rsidR="00981FB4">
        <w:t>cannot be</w:t>
      </w:r>
      <w:r w:rsidR="000338A9">
        <w:t xml:space="preserve"> rejected</w:t>
      </w:r>
      <w:r w:rsidR="00981FB4">
        <w:t>.  The statistical effect size is small.  The Dementia Maximum Censored Displacement median value was 0.59 and that for CN 0.49.  This difference is not expected to have material impact on the conclusions of this report.</w:t>
      </w:r>
    </w:p>
    <w:p w:rsidR="006512F8" w:rsidRDefault="008D132C" w:rsidP="005B6A7D">
      <w:r>
        <w:t xml:space="preserve">Table 2 </w:t>
      </w:r>
      <w:r w:rsidR="00786C7A">
        <w:t>includes a list of</w:t>
      </w:r>
      <w:r>
        <w:t xml:space="preserve"> changes in </w:t>
      </w:r>
      <w:r w:rsidR="00996247">
        <w:t xml:space="preserve">the </w:t>
      </w:r>
      <w:r>
        <w:t>Global Correlation</w:t>
      </w:r>
      <w:r w:rsidR="0024784B">
        <w:t xml:space="preserve"> </w:t>
      </w:r>
      <w:r>
        <w:t xml:space="preserve">statistic as a function of the number of </w:t>
      </w:r>
      <w:r w:rsidR="00996247">
        <w:t xml:space="preserve">preprocessing pipeline </w:t>
      </w:r>
      <w:r>
        <w:t>regressors (8-, 9-, 14- or 15)</w:t>
      </w:r>
      <w:r w:rsidR="00996247">
        <w:t xml:space="preserve">.  </w:t>
      </w:r>
      <w:r w:rsidR="00786C7A">
        <w:t>Utilizing</w:t>
      </w:r>
      <w:r w:rsidR="002A4A51">
        <w:t xml:space="preserve"> </w:t>
      </w:r>
      <w:r w:rsidR="00FE4BC9">
        <w:t xml:space="preserve">the </w:t>
      </w:r>
      <w:r w:rsidR="00786C7A">
        <w:rPr>
          <w:i/>
        </w:rPr>
        <w:t>P</w:t>
      </w:r>
      <w:r w:rsidR="00F255FB">
        <w:t>-value as a</w:t>
      </w:r>
      <w:r w:rsidR="0024784B">
        <w:t xml:space="preserve"> heuristic, the trend appears to be in the “right direction.”  Removing the global signal (8 vs 9 regressors; 14 vs 15 regressors) or adding motion derivative regressors (8 and 9 vs 14 and 15) reduces differences between the means across the three groups.</w:t>
      </w:r>
      <w:r w:rsidR="006512F8">
        <w:t xml:space="preserve">  Similarly, TSNR increases with additional regressors.</w:t>
      </w:r>
      <w:r w:rsidR="002A4A51">
        <w:t xml:space="preserve">  [Note.  A rigorous analysis of the role of number and type of regressor (which is beyond the scope of this study) would include a control experiment in which the 8-regressor-plus-GS (9-regressors) is compared to an 8-regressor-plus-random sequence.]  </w:t>
      </w:r>
    </w:p>
    <w:p w:rsidR="006039EC" w:rsidRPr="006039EC" w:rsidRDefault="006039EC" w:rsidP="006039EC">
      <w:pPr>
        <w:jc w:val="center"/>
      </w:pPr>
      <w:r w:rsidRPr="00C32089">
        <w:rPr>
          <w:b/>
        </w:rPr>
        <w:t>Table</w:t>
      </w:r>
      <w:r w:rsidRPr="006039EC">
        <w:rPr>
          <w:b/>
          <w:i/>
        </w:rPr>
        <w:t xml:space="preserve"> </w:t>
      </w:r>
      <w:r w:rsidRPr="006039EC">
        <w:rPr>
          <w:b/>
          <w:i/>
        </w:rPr>
        <w:fldChar w:fldCharType="begin"/>
      </w:r>
      <w:r w:rsidRPr="006039EC">
        <w:rPr>
          <w:b/>
          <w:i/>
        </w:rPr>
        <w:instrText xml:space="preserve"> SEQ Table \* ARABIC </w:instrText>
      </w:r>
      <w:r w:rsidRPr="006039EC">
        <w:rPr>
          <w:b/>
          <w:i/>
        </w:rPr>
        <w:fldChar w:fldCharType="separate"/>
      </w:r>
      <w:r w:rsidRPr="006039EC">
        <w:rPr>
          <w:b/>
          <w:i/>
          <w:noProof/>
        </w:rPr>
        <w:t>2</w:t>
      </w:r>
      <w:r w:rsidRPr="006039EC">
        <w:rPr>
          <w:b/>
          <w:i/>
        </w:rPr>
        <w:fldChar w:fldCharType="end"/>
      </w:r>
      <w:r>
        <w:rPr>
          <w:b/>
          <w:i/>
        </w:rPr>
        <w:t xml:space="preserve">.  </w:t>
      </w:r>
      <w:r w:rsidR="00C32089" w:rsidRPr="00C32089">
        <w:t>P</w:t>
      </w:r>
      <w:r>
        <w:t>reprocessing summary statistics by diagnostic class.</w:t>
      </w:r>
    </w:p>
    <w:tbl>
      <w:tblPr>
        <w:tblStyle w:val="TableGrid"/>
        <w:tblW w:w="8930" w:type="dxa"/>
        <w:jc w:val="center"/>
        <w:tblLook w:val="04A0" w:firstRow="1" w:lastRow="0" w:firstColumn="1" w:lastColumn="0" w:noHBand="0" w:noVBand="1"/>
      </w:tblPr>
      <w:tblGrid>
        <w:gridCol w:w="3430"/>
        <w:gridCol w:w="1526"/>
        <w:gridCol w:w="1527"/>
        <w:gridCol w:w="1527"/>
        <w:gridCol w:w="920"/>
      </w:tblGrid>
      <w:tr w:rsidR="006039EC" w:rsidRPr="006039EC" w:rsidTr="00411AF6">
        <w:trPr>
          <w:jc w:val="center"/>
        </w:trPr>
        <w:tc>
          <w:tcPr>
            <w:tcW w:w="3430" w:type="dxa"/>
          </w:tcPr>
          <w:p w:rsidR="006039EC" w:rsidRPr="006039EC" w:rsidRDefault="006039EC" w:rsidP="007C1C37">
            <w:pPr>
              <w:rPr>
                <w:sz w:val="20"/>
                <w:szCs w:val="20"/>
              </w:rPr>
            </w:pPr>
          </w:p>
        </w:tc>
        <w:tc>
          <w:tcPr>
            <w:tcW w:w="1526" w:type="dxa"/>
          </w:tcPr>
          <w:p w:rsidR="006039EC" w:rsidRPr="006039EC" w:rsidRDefault="006039EC" w:rsidP="007C1C37">
            <w:pPr>
              <w:rPr>
                <w:b/>
                <w:sz w:val="20"/>
                <w:szCs w:val="20"/>
              </w:rPr>
            </w:pPr>
            <w:r w:rsidRPr="006039EC">
              <w:rPr>
                <w:b/>
                <w:sz w:val="20"/>
                <w:szCs w:val="20"/>
              </w:rPr>
              <w:t>CN</w:t>
            </w:r>
          </w:p>
        </w:tc>
        <w:tc>
          <w:tcPr>
            <w:tcW w:w="1527" w:type="dxa"/>
          </w:tcPr>
          <w:p w:rsidR="006039EC" w:rsidRPr="006039EC" w:rsidRDefault="006039EC" w:rsidP="007C1C37">
            <w:pPr>
              <w:rPr>
                <w:b/>
                <w:sz w:val="20"/>
                <w:szCs w:val="20"/>
              </w:rPr>
            </w:pPr>
            <w:r w:rsidRPr="006039EC">
              <w:rPr>
                <w:b/>
                <w:sz w:val="20"/>
                <w:szCs w:val="20"/>
              </w:rPr>
              <w:t>MCI</w:t>
            </w:r>
          </w:p>
        </w:tc>
        <w:tc>
          <w:tcPr>
            <w:tcW w:w="1527" w:type="dxa"/>
          </w:tcPr>
          <w:p w:rsidR="006039EC" w:rsidRPr="006039EC" w:rsidRDefault="006039EC" w:rsidP="007C1C37">
            <w:pPr>
              <w:rPr>
                <w:b/>
                <w:sz w:val="20"/>
                <w:szCs w:val="20"/>
              </w:rPr>
            </w:pPr>
            <w:r w:rsidRPr="006039EC">
              <w:rPr>
                <w:b/>
                <w:sz w:val="20"/>
                <w:szCs w:val="20"/>
              </w:rPr>
              <w:t>D</w:t>
            </w:r>
          </w:p>
        </w:tc>
        <w:tc>
          <w:tcPr>
            <w:tcW w:w="920" w:type="dxa"/>
          </w:tcPr>
          <w:p w:rsidR="006039EC" w:rsidRPr="006039EC" w:rsidRDefault="006039EC" w:rsidP="007C1C37">
            <w:pPr>
              <w:rPr>
                <w:b/>
                <w:sz w:val="20"/>
                <w:szCs w:val="20"/>
              </w:rPr>
            </w:pPr>
            <w:r w:rsidRPr="006039EC">
              <w:rPr>
                <w:b/>
                <w:sz w:val="20"/>
                <w:szCs w:val="20"/>
              </w:rPr>
              <w:t>P value</w:t>
            </w:r>
            <w:r w:rsidR="008F12FE" w:rsidRPr="008F12FE">
              <w:rPr>
                <w:b/>
                <w:sz w:val="20"/>
                <w:szCs w:val="20"/>
                <w:vertAlign w:val="superscript"/>
              </w:rPr>
              <w:t>a</w:t>
            </w:r>
          </w:p>
        </w:tc>
      </w:tr>
      <w:tr w:rsidR="00EA762B" w:rsidRPr="006039EC" w:rsidTr="00411AF6">
        <w:trPr>
          <w:jc w:val="center"/>
        </w:trPr>
        <w:tc>
          <w:tcPr>
            <w:tcW w:w="3430" w:type="dxa"/>
          </w:tcPr>
          <w:p w:rsidR="00EA762B" w:rsidRPr="000B56BA" w:rsidRDefault="00EA762B" w:rsidP="00EA762B">
            <w:pPr>
              <w:rPr>
                <w:sz w:val="18"/>
                <w:szCs w:val="18"/>
              </w:rPr>
            </w:pPr>
            <w:r w:rsidRPr="000B56BA">
              <w:rPr>
                <w:sz w:val="18"/>
                <w:szCs w:val="18"/>
              </w:rPr>
              <w:t>Censor Fraction</w:t>
            </w:r>
            <w:r>
              <w:rPr>
                <w:sz w:val="18"/>
                <w:szCs w:val="18"/>
              </w:rPr>
              <w:t>,</w:t>
            </w:r>
            <w:r w:rsidRPr="000B56BA">
              <w:rPr>
                <w:sz w:val="18"/>
                <w:szCs w:val="18"/>
              </w:rPr>
              <w:t xml:space="preserve"> </w:t>
            </w:r>
            <w:r>
              <w:rPr>
                <w:sz w:val="18"/>
                <w:szCs w:val="18"/>
              </w:rPr>
              <w:t xml:space="preserve">median, </w:t>
            </w:r>
            <w:r w:rsidRPr="000B56BA">
              <w:rPr>
                <w:sz w:val="18"/>
                <w:szCs w:val="18"/>
              </w:rPr>
              <w:t>(min,max)</w:t>
            </w:r>
          </w:p>
        </w:tc>
        <w:tc>
          <w:tcPr>
            <w:tcW w:w="1526" w:type="dxa"/>
          </w:tcPr>
          <w:p w:rsidR="00EA762B" w:rsidRPr="000B56BA" w:rsidRDefault="00EA762B" w:rsidP="00EA762B">
            <w:pPr>
              <w:rPr>
                <w:sz w:val="18"/>
                <w:szCs w:val="18"/>
              </w:rPr>
            </w:pPr>
            <w:r>
              <w:rPr>
                <w:sz w:val="18"/>
                <w:szCs w:val="18"/>
              </w:rPr>
              <w:t>0.02 (0.0, 0.09)</w:t>
            </w:r>
          </w:p>
        </w:tc>
        <w:tc>
          <w:tcPr>
            <w:tcW w:w="1527" w:type="dxa"/>
          </w:tcPr>
          <w:p w:rsidR="00EA762B" w:rsidRPr="000B56BA" w:rsidRDefault="00EA762B" w:rsidP="00EA762B">
            <w:pPr>
              <w:rPr>
                <w:sz w:val="18"/>
                <w:szCs w:val="18"/>
              </w:rPr>
            </w:pPr>
            <w:r>
              <w:rPr>
                <w:sz w:val="18"/>
                <w:szCs w:val="18"/>
              </w:rPr>
              <w:t>0.01 (10.0, 0.07)</w:t>
            </w:r>
          </w:p>
        </w:tc>
        <w:tc>
          <w:tcPr>
            <w:tcW w:w="1527" w:type="dxa"/>
          </w:tcPr>
          <w:p w:rsidR="00EA762B" w:rsidRPr="000B56BA" w:rsidRDefault="00EA762B" w:rsidP="00EA762B">
            <w:pPr>
              <w:rPr>
                <w:sz w:val="18"/>
                <w:szCs w:val="18"/>
              </w:rPr>
            </w:pPr>
            <w:r>
              <w:rPr>
                <w:sz w:val="18"/>
                <w:szCs w:val="18"/>
              </w:rPr>
              <w:t>0.01 (0.0, 0.07)</w:t>
            </w:r>
          </w:p>
        </w:tc>
        <w:tc>
          <w:tcPr>
            <w:tcW w:w="920" w:type="dxa"/>
          </w:tcPr>
          <w:p w:rsidR="00EA762B" w:rsidRPr="000B56BA" w:rsidRDefault="00EA762B" w:rsidP="00EA762B">
            <w:pPr>
              <w:rPr>
                <w:sz w:val="18"/>
                <w:szCs w:val="18"/>
              </w:rPr>
            </w:pPr>
            <w:r>
              <w:rPr>
                <w:sz w:val="18"/>
                <w:szCs w:val="18"/>
              </w:rPr>
              <w:t>0.029</w:t>
            </w:r>
            <w:r>
              <w:rPr>
                <w:sz w:val="18"/>
                <w:szCs w:val="18"/>
                <w:vertAlign w:val="superscript"/>
              </w:rPr>
              <w:t>b</w:t>
            </w:r>
          </w:p>
        </w:tc>
      </w:tr>
      <w:tr w:rsidR="006039EC" w:rsidRPr="006039EC" w:rsidTr="00411AF6">
        <w:trPr>
          <w:jc w:val="center"/>
        </w:trPr>
        <w:tc>
          <w:tcPr>
            <w:tcW w:w="3430" w:type="dxa"/>
          </w:tcPr>
          <w:p w:rsidR="006039EC" w:rsidRPr="000B56BA" w:rsidRDefault="006039EC" w:rsidP="007C1C37">
            <w:pPr>
              <w:rPr>
                <w:sz w:val="18"/>
                <w:szCs w:val="18"/>
              </w:rPr>
            </w:pPr>
            <w:r w:rsidRPr="000B56BA">
              <w:rPr>
                <w:sz w:val="18"/>
                <w:szCs w:val="18"/>
              </w:rPr>
              <w:t>A</w:t>
            </w:r>
            <w:r w:rsidR="000B56BA">
              <w:rPr>
                <w:sz w:val="18"/>
                <w:szCs w:val="18"/>
              </w:rPr>
              <w:t xml:space="preserve">vg Censored Motion, median, </w:t>
            </w:r>
            <w:r w:rsidRPr="000B56BA">
              <w:rPr>
                <w:sz w:val="18"/>
                <w:szCs w:val="18"/>
              </w:rPr>
              <w:t>(min,max)</w:t>
            </w:r>
          </w:p>
        </w:tc>
        <w:tc>
          <w:tcPr>
            <w:tcW w:w="1526" w:type="dxa"/>
          </w:tcPr>
          <w:p w:rsidR="006039EC" w:rsidRPr="000B56BA" w:rsidRDefault="00EA762B" w:rsidP="007C1C37">
            <w:pPr>
              <w:rPr>
                <w:sz w:val="18"/>
                <w:szCs w:val="18"/>
              </w:rPr>
            </w:pPr>
            <w:r>
              <w:rPr>
                <w:sz w:val="18"/>
                <w:szCs w:val="18"/>
              </w:rPr>
              <w:t>0.10</w:t>
            </w:r>
            <w:r w:rsidR="006039EC" w:rsidRPr="000B56BA">
              <w:rPr>
                <w:sz w:val="18"/>
                <w:szCs w:val="18"/>
              </w:rPr>
              <w:t xml:space="preserve"> </w:t>
            </w:r>
            <w:r w:rsidR="001D38F6" w:rsidRPr="000B56BA">
              <w:rPr>
                <w:sz w:val="18"/>
                <w:szCs w:val="18"/>
              </w:rPr>
              <w:t>(0.05</w:t>
            </w:r>
            <w:r w:rsidR="000B56BA" w:rsidRPr="000B56BA">
              <w:rPr>
                <w:sz w:val="18"/>
                <w:szCs w:val="18"/>
              </w:rPr>
              <w:t xml:space="preserve">, </w:t>
            </w:r>
            <w:r w:rsidR="001D38F6" w:rsidRPr="000B56BA">
              <w:rPr>
                <w:sz w:val="18"/>
                <w:szCs w:val="18"/>
              </w:rPr>
              <w:t>0.14</w:t>
            </w:r>
            <w:r w:rsidR="006039EC" w:rsidRPr="000B56BA">
              <w:rPr>
                <w:sz w:val="18"/>
                <w:szCs w:val="18"/>
              </w:rPr>
              <w:t>)</w:t>
            </w:r>
          </w:p>
        </w:tc>
        <w:tc>
          <w:tcPr>
            <w:tcW w:w="1527" w:type="dxa"/>
          </w:tcPr>
          <w:p w:rsidR="006039EC" w:rsidRPr="000B56BA" w:rsidRDefault="001D38F6" w:rsidP="007C1C37">
            <w:pPr>
              <w:rPr>
                <w:sz w:val="18"/>
                <w:szCs w:val="18"/>
              </w:rPr>
            </w:pPr>
            <w:r w:rsidRPr="000B56BA">
              <w:rPr>
                <w:sz w:val="18"/>
                <w:szCs w:val="18"/>
              </w:rPr>
              <w:t>0</w:t>
            </w:r>
            <w:r w:rsidR="000B56BA" w:rsidRPr="000B56BA">
              <w:rPr>
                <w:sz w:val="18"/>
                <w:szCs w:val="18"/>
              </w:rPr>
              <w:t>.09</w:t>
            </w:r>
            <w:r w:rsidRPr="000B56BA">
              <w:rPr>
                <w:sz w:val="18"/>
                <w:szCs w:val="18"/>
              </w:rPr>
              <w:t xml:space="preserve"> </w:t>
            </w:r>
            <w:r w:rsidR="000B56BA">
              <w:rPr>
                <w:sz w:val="18"/>
                <w:szCs w:val="18"/>
              </w:rPr>
              <w:t>(0.06</w:t>
            </w:r>
            <w:r w:rsidRPr="000B56BA">
              <w:rPr>
                <w:sz w:val="18"/>
                <w:szCs w:val="18"/>
              </w:rPr>
              <w:t xml:space="preserve">, </w:t>
            </w:r>
            <w:r w:rsidR="000B56BA">
              <w:rPr>
                <w:sz w:val="18"/>
                <w:szCs w:val="18"/>
              </w:rPr>
              <w:t>0.15</w:t>
            </w:r>
            <w:r w:rsidRPr="000B56BA">
              <w:rPr>
                <w:sz w:val="18"/>
                <w:szCs w:val="18"/>
              </w:rPr>
              <w:t>)</w:t>
            </w:r>
          </w:p>
        </w:tc>
        <w:tc>
          <w:tcPr>
            <w:tcW w:w="1527" w:type="dxa"/>
          </w:tcPr>
          <w:p w:rsidR="006039EC" w:rsidRPr="000B56BA" w:rsidRDefault="001D38F6" w:rsidP="007C1C37">
            <w:pPr>
              <w:rPr>
                <w:sz w:val="18"/>
                <w:szCs w:val="18"/>
              </w:rPr>
            </w:pPr>
            <w:r w:rsidRPr="000B56BA">
              <w:rPr>
                <w:sz w:val="18"/>
                <w:szCs w:val="18"/>
              </w:rPr>
              <w:t>0</w:t>
            </w:r>
            <w:r w:rsidR="000B56BA">
              <w:rPr>
                <w:sz w:val="18"/>
                <w:szCs w:val="18"/>
              </w:rPr>
              <w:t>.10</w:t>
            </w:r>
            <w:r w:rsidRPr="000B56BA">
              <w:rPr>
                <w:sz w:val="18"/>
                <w:szCs w:val="18"/>
              </w:rPr>
              <w:t xml:space="preserve"> </w:t>
            </w:r>
            <w:r w:rsidR="000B56BA">
              <w:rPr>
                <w:sz w:val="18"/>
                <w:szCs w:val="18"/>
              </w:rPr>
              <w:t>(0.05</w:t>
            </w:r>
            <w:r w:rsidRPr="000B56BA">
              <w:rPr>
                <w:sz w:val="18"/>
                <w:szCs w:val="18"/>
              </w:rPr>
              <w:t>, 0.1</w:t>
            </w:r>
            <w:r w:rsidR="000B56BA">
              <w:rPr>
                <w:sz w:val="18"/>
                <w:szCs w:val="18"/>
              </w:rPr>
              <w:t>4</w:t>
            </w:r>
            <w:r w:rsidRPr="000B56BA">
              <w:rPr>
                <w:sz w:val="18"/>
                <w:szCs w:val="18"/>
              </w:rPr>
              <w:t>)</w:t>
            </w:r>
          </w:p>
        </w:tc>
        <w:tc>
          <w:tcPr>
            <w:tcW w:w="920" w:type="dxa"/>
          </w:tcPr>
          <w:p w:rsidR="006039EC" w:rsidRPr="000B56BA" w:rsidRDefault="00EA762B" w:rsidP="007C1C37">
            <w:pPr>
              <w:rPr>
                <w:sz w:val="18"/>
                <w:szCs w:val="18"/>
              </w:rPr>
            </w:pPr>
            <w:r>
              <w:rPr>
                <w:sz w:val="18"/>
                <w:szCs w:val="18"/>
              </w:rPr>
              <w:t>0.168</w:t>
            </w:r>
          </w:p>
        </w:tc>
      </w:tr>
      <w:tr w:rsidR="00DF3B8A" w:rsidRPr="006039EC" w:rsidTr="00411AF6">
        <w:trPr>
          <w:jc w:val="center"/>
        </w:trPr>
        <w:tc>
          <w:tcPr>
            <w:tcW w:w="3430" w:type="dxa"/>
          </w:tcPr>
          <w:p w:rsidR="00DF3B8A" w:rsidRPr="000B56BA" w:rsidRDefault="00DF3B8A" w:rsidP="00DF3B8A">
            <w:pPr>
              <w:rPr>
                <w:sz w:val="18"/>
                <w:szCs w:val="18"/>
              </w:rPr>
            </w:pPr>
            <w:r w:rsidRPr="000B56BA">
              <w:rPr>
                <w:sz w:val="18"/>
                <w:szCs w:val="18"/>
              </w:rPr>
              <w:t>Max Censored Displ</w:t>
            </w:r>
            <w:r>
              <w:rPr>
                <w:sz w:val="18"/>
                <w:szCs w:val="18"/>
              </w:rPr>
              <w:t xml:space="preserve">, median, </w:t>
            </w:r>
            <w:r w:rsidRPr="000B56BA">
              <w:rPr>
                <w:sz w:val="18"/>
                <w:szCs w:val="18"/>
              </w:rPr>
              <w:t>(min,max)</w:t>
            </w:r>
          </w:p>
        </w:tc>
        <w:tc>
          <w:tcPr>
            <w:tcW w:w="1526" w:type="dxa"/>
          </w:tcPr>
          <w:p w:rsidR="00DF3B8A" w:rsidRPr="000B56BA" w:rsidRDefault="00DF3B8A" w:rsidP="00DF3B8A">
            <w:pPr>
              <w:rPr>
                <w:sz w:val="18"/>
                <w:szCs w:val="18"/>
              </w:rPr>
            </w:pPr>
            <w:r w:rsidRPr="000B56BA">
              <w:rPr>
                <w:sz w:val="18"/>
                <w:szCs w:val="18"/>
              </w:rPr>
              <w:t>0</w:t>
            </w:r>
            <w:r w:rsidR="00EA762B">
              <w:rPr>
                <w:sz w:val="18"/>
                <w:szCs w:val="18"/>
              </w:rPr>
              <w:t>.49</w:t>
            </w:r>
            <w:r>
              <w:rPr>
                <w:sz w:val="18"/>
                <w:szCs w:val="18"/>
              </w:rPr>
              <w:t xml:space="preserve"> (0.21</w:t>
            </w:r>
            <w:r w:rsidRPr="000B56BA">
              <w:rPr>
                <w:sz w:val="18"/>
                <w:szCs w:val="18"/>
              </w:rPr>
              <w:t xml:space="preserve">, </w:t>
            </w:r>
            <w:r w:rsidR="00EA762B">
              <w:rPr>
                <w:sz w:val="18"/>
                <w:szCs w:val="18"/>
              </w:rPr>
              <w:t>0.79</w:t>
            </w:r>
            <w:r w:rsidRPr="000B56BA">
              <w:rPr>
                <w:sz w:val="18"/>
                <w:szCs w:val="18"/>
              </w:rPr>
              <w:t>)</w:t>
            </w:r>
          </w:p>
        </w:tc>
        <w:tc>
          <w:tcPr>
            <w:tcW w:w="1527" w:type="dxa"/>
          </w:tcPr>
          <w:p w:rsidR="00DF3B8A" w:rsidRPr="000B56BA" w:rsidRDefault="00DF3B8A" w:rsidP="00DF3B8A">
            <w:pPr>
              <w:rPr>
                <w:sz w:val="18"/>
                <w:szCs w:val="18"/>
              </w:rPr>
            </w:pPr>
            <w:r w:rsidRPr="000B56BA">
              <w:rPr>
                <w:sz w:val="18"/>
                <w:szCs w:val="18"/>
              </w:rPr>
              <w:t>0</w:t>
            </w:r>
            <w:r w:rsidR="00EA762B">
              <w:rPr>
                <w:sz w:val="18"/>
                <w:szCs w:val="18"/>
              </w:rPr>
              <w:t>.50 (0.25</w:t>
            </w:r>
            <w:r w:rsidRPr="000B56BA">
              <w:rPr>
                <w:sz w:val="18"/>
                <w:szCs w:val="18"/>
              </w:rPr>
              <w:t xml:space="preserve">, </w:t>
            </w:r>
            <w:r w:rsidR="00EA762B">
              <w:rPr>
                <w:sz w:val="18"/>
                <w:szCs w:val="18"/>
              </w:rPr>
              <w:t>0.91</w:t>
            </w:r>
            <w:r w:rsidRPr="000B56BA">
              <w:rPr>
                <w:sz w:val="18"/>
                <w:szCs w:val="18"/>
              </w:rPr>
              <w:t>)</w:t>
            </w:r>
          </w:p>
        </w:tc>
        <w:tc>
          <w:tcPr>
            <w:tcW w:w="1527" w:type="dxa"/>
          </w:tcPr>
          <w:p w:rsidR="00DF3B8A" w:rsidRPr="000B56BA" w:rsidRDefault="00DF3B8A" w:rsidP="00DF3B8A">
            <w:pPr>
              <w:rPr>
                <w:sz w:val="18"/>
                <w:szCs w:val="18"/>
              </w:rPr>
            </w:pPr>
            <w:r w:rsidRPr="000B56BA">
              <w:rPr>
                <w:sz w:val="18"/>
                <w:szCs w:val="18"/>
              </w:rPr>
              <w:t>0</w:t>
            </w:r>
            <w:r w:rsidR="00EA762B">
              <w:rPr>
                <w:sz w:val="18"/>
                <w:szCs w:val="18"/>
              </w:rPr>
              <w:t>.59 (0.32</w:t>
            </w:r>
            <w:r w:rsidRPr="000B56BA">
              <w:rPr>
                <w:sz w:val="18"/>
                <w:szCs w:val="18"/>
              </w:rPr>
              <w:t xml:space="preserve">, </w:t>
            </w:r>
            <w:r w:rsidR="00EA762B">
              <w:rPr>
                <w:sz w:val="18"/>
                <w:szCs w:val="18"/>
              </w:rPr>
              <w:t>0.89</w:t>
            </w:r>
            <w:r w:rsidRPr="000B56BA">
              <w:rPr>
                <w:sz w:val="18"/>
                <w:szCs w:val="18"/>
              </w:rPr>
              <w:t>)</w:t>
            </w:r>
          </w:p>
        </w:tc>
        <w:tc>
          <w:tcPr>
            <w:tcW w:w="920" w:type="dxa"/>
          </w:tcPr>
          <w:p w:rsidR="00DF3B8A" w:rsidRPr="000B56BA" w:rsidRDefault="00EA762B" w:rsidP="00DF3B8A">
            <w:pPr>
              <w:rPr>
                <w:sz w:val="18"/>
                <w:szCs w:val="18"/>
              </w:rPr>
            </w:pPr>
            <w:r>
              <w:rPr>
                <w:sz w:val="18"/>
                <w:szCs w:val="18"/>
              </w:rPr>
              <w:t>0.077</w:t>
            </w:r>
            <w:r w:rsidR="00DF3B8A">
              <w:rPr>
                <w:sz w:val="18"/>
                <w:szCs w:val="18"/>
                <w:vertAlign w:val="superscript"/>
              </w:rPr>
              <w:t>b</w:t>
            </w:r>
          </w:p>
        </w:tc>
      </w:tr>
      <w:tr w:rsidR="008F12FE" w:rsidRPr="006039EC" w:rsidTr="00411AF6">
        <w:trPr>
          <w:jc w:val="center"/>
        </w:trPr>
        <w:tc>
          <w:tcPr>
            <w:tcW w:w="3430" w:type="dxa"/>
          </w:tcPr>
          <w:p w:rsidR="008F12FE" w:rsidRPr="000B56BA" w:rsidRDefault="008F12FE" w:rsidP="008F12FE">
            <w:pPr>
              <w:rPr>
                <w:sz w:val="18"/>
                <w:szCs w:val="18"/>
              </w:rPr>
            </w:pPr>
            <w:r>
              <w:rPr>
                <w:sz w:val="18"/>
                <w:szCs w:val="18"/>
              </w:rPr>
              <w:t>DICE Coefficient</w:t>
            </w:r>
          </w:p>
        </w:tc>
        <w:tc>
          <w:tcPr>
            <w:tcW w:w="1526" w:type="dxa"/>
          </w:tcPr>
          <w:p w:rsidR="008F12FE" w:rsidRPr="000B56BA" w:rsidRDefault="008F12FE" w:rsidP="008F12FE">
            <w:pPr>
              <w:rPr>
                <w:sz w:val="18"/>
                <w:szCs w:val="18"/>
              </w:rPr>
            </w:pPr>
            <w:r>
              <w:rPr>
                <w:sz w:val="18"/>
                <w:szCs w:val="18"/>
              </w:rPr>
              <w:t>0.85 (0.73,0.90)</w:t>
            </w:r>
          </w:p>
        </w:tc>
        <w:tc>
          <w:tcPr>
            <w:tcW w:w="1527" w:type="dxa"/>
          </w:tcPr>
          <w:p w:rsidR="008F12FE" w:rsidRPr="000B56BA" w:rsidRDefault="00563411" w:rsidP="008F12FE">
            <w:pPr>
              <w:rPr>
                <w:sz w:val="18"/>
                <w:szCs w:val="18"/>
              </w:rPr>
            </w:pPr>
            <w:r>
              <w:rPr>
                <w:sz w:val="18"/>
                <w:szCs w:val="18"/>
              </w:rPr>
              <w:t>0.84</w:t>
            </w:r>
            <w:r w:rsidR="00EA762B">
              <w:rPr>
                <w:sz w:val="18"/>
                <w:szCs w:val="18"/>
              </w:rPr>
              <w:t xml:space="preserve"> (0.66</w:t>
            </w:r>
            <w:r w:rsidR="008F12FE">
              <w:rPr>
                <w:sz w:val="18"/>
                <w:szCs w:val="18"/>
              </w:rPr>
              <w:t>, 0.89)</w:t>
            </w:r>
          </w:p>
        </w:tc>
        <w:tc>
          <w:tcPr>
            <w:tcW w:w="1527" w:type="dxa"/>
          </w:tcPr>
          <w:p w:rsidR="008F12FE" w:rsidRPr="000B56BA" w:rsidRDefault="00EA762B" w:rsidP="008F12FE">
            <w:pPr>
              <w:rPr>
                <w:sz w:val="18"/>
                <w:szCs w:val="18"/>
              </w:rPr>
            </w:pPr>
            <w:r>
              <w:rPr>
                <w:sz w:val="18"/>
                <w:szCs w:val="18"/>
              </w:rPr>
              <w:t>0.84 (0.73</w:t>
            </w:r>
            <w:r w:rsidR="008F12FE">
              <w:rPr>
                <w:sz w:val="18"/>
                <w:szCs w:val="18"/>
              </w:rPr>
              <w:t>, 0.88)</w:t>
            </w:r>
          </w:p>
        </w:tc>
        <w:tc>
          <w:tcPr>
            <w:tcW w:w="920" w:type="dxa"/>
          </w:tcPr>
          <w:p w:rsidR="008F12FE" w:rsidRPr="000B56BA" w:rsidRDefault="00EA762B" w:rsidP="008F12FE">
            <w:pPr>
              <w:rPr>
                <w:sz w:val="18"/>
                <w:szCs w:val="18"/>
              </w:rPr>
            </w:pPr>
            <w:r>
              <w:rPr>
                <w:sz w:val="18"/>
                <w:szCs w:val="18"/>
              </w:rPr>
              <w:t>0.547</w:t>
            </w:r>
          </w:p>
        </w:tc>
      </w:tr>
      <w:tr w:rsidR="006039EC" w:rsidRPr="006039EC" w:rsidTr="00411AF6">
        <w:trPr>
          <w:jc w:val="center"/>
        </w:trPr>
        <w:tc>
          <w:tcPr>
            <w:tcW w:w="3430" w:type="dxa"/>
          </w:tcPr>
          <w:p w:rsidR="006039EC" w:rsidRPr="000B56BA" w:rsidRDefault="00DF3B8A" w:rsidP="007C1C37">
            <w:pPr>
              <w:rPr>
                <w:sz w:val="18"/>
                <w:szCs w:val="18"/>
              </w:rPr>
            </w:pPr>
            <w:r>
              <w:rPr>
                <w:sz w:val="18"/>
                <w:szCs w:val="18"/>
              </w:rPr>
              <w:t xml:space="preserve">8-Reg </w:t>
            </w:r>
            <w:r w:rsidR="000B56BA">
              <w:rPr>
                <w:sz w:val="18"/>
                <w:szCs w:val="18"/>
              </w:rPr>
              <w:t xml:space="preserve">Global </w:t>
            </w:r>
            <w:r>
              <w:rPr>
                <w:sz w:val="18"/>
                <w:szCs w:val="18"/>
              </w:rPr>
              <w:t>Correl</w:t>
            </w:r>
            <w:r w:rsidR="00411AF6">
              <w:rPr>
                <w:sz w:val="18"/>
                <w:szCs w:val="18"/>
              </w:rPr>
              <w:t>ation</w:t>
            </w:r>
            <w:r>
              <w:rPr>
                <w:sz w:val="18"/>
                <w:szCs w:val="18"/>
              </w:rPr>
              <w:t>, med., (min,max)</w:t>
            </w:r>
          </w:p>
        </w:tc>
        <w:tc>
          <w:tcPr>
            <w:tcW w:w="1526" w:type="dxa"/>
          </w:tcPr>
          <w:p w:rsidR="006039EC" w:rsidRPr="000B56BA" w:rsidRDefault="00981FB4" w:rsidP="007C1C37">
            <w:pPr>
              <w:rPr>
                <w:sz w:val="18"/>
                <w:szCs w:val="18"/>
              </w:rPr>
            </w:pPr>
            <w:r>
              <w:rPr>
                <w:sz w:val="18"/>
                <w:szCs w:val="18"/>
              </w:rPr>
              <w:t>0.02 (0.00, 0.06</w:t>
            </w:r>
            <w:r w:rsidR="000B56BA">
              <w:rPr>
                <w:sz w:val="18"/>
                <w:szCs w:val="18"/>
              </w:rPr>
              <w:t>)</w:t>
            </w:r>
          </w:p>
        </w:tc>
        <w:tc>
          <w:tcPr>
            <w:tcW w:w="1527" w:type="dxa"/>
          </w:tcPr>
          <w:p w:rsidR="006039EC" w:rsidRPr="000B56BA" w:rsidRDefault="00981FB4" w:rsidP="007C1C37">
            <w:pPr>
              <w:rPr>
                <w:sz w:val="18"/>
                <w:szCs w:val="18"/>
              </w:rPr>
            </w:pPr>
            <w:r>
              <w:rPr>
                <w:sz w:val="18"/>
                <w:szCs w:val="18"/>
              </w:rPr>
              <w:t>0.03</w:t>
            </w:r>
            <w:r w:rsidR="000B56BA">
              <w:rPr>
                <w:sz w:val="18"/>
                <w:szCs w:val="18"/>
              </w:rPr>
              <w:t xml:space="preserve"> (0.00, 0.05)</w:t>
            </w:r>
          </w:p>
        </w:tc>
        <w:tc>
          <w:tcPr>
            <w:tcW w:w="1527" w:type="dxa"/>
          </w:tcPr>
          <w:p w:rsidR="006039EC" w:rsidRPr="000B56BA" w:rsidRDefault="00981FB4" w:rsidP="007C1C37">
            <w:pPr>
              <w:rPr>
                <w:sz w:val="18"/>
                <w:szCs w:val="18"/>
              </w:rPr>
            </w:pPr>
            <w:r>
              <w:rPr>
                <w:sz w:val="18"/>
                <w:szCs w:val="18"/>
              </w:rPr>
              <w:t>0.03 (0.01, 0.06</w:t>
            </w:r>
            <w:r w:rsidR="000B56BA">
              <w:rPr>
                <w:sz w:val="18"/>
                <w:szCs w:val="18"/>
              </w:rPr>
              <w:t>)</w:t>
            </w:r>
          </w:p>
        </w:tc>
        <w:tc>
          <w:tcPr>
            <w:tcW w:w="920" w:type="dxa"/>
          </w:tcPr>
          <w:p w:rsidR="006039EC" w:rsidRPr="000B56BA" w:rsidRDefault="00981FB4" w:rsidP="007C1C37">
            <w:pPr>
              <w:rPr>
                <w:sz w:val="18"/>
                <w:szCs w:val="18"/>
              </w:rPr>
            </w:pPr>
            <w:r>
              <w:rPr>
                <w:sz w:val="18"/>
                <w:szCs w:val="18"/>
              </w:rPr>
              <w:t>0.515</w:t>
            </w:r>
          </w:p>
        </w:tc>
      </w:tr>
      <w:tr w:rsidR="00E158D3" w:rsidRPr="006039EC" w:rsidTr="00411AF6">
        <w:trPr>
          <w:jc w:val="center"/>
        </w:trPr>
        <w:tc>
          <w:tcPr>
            <w:tcW w:w="3430" w:type="dxa"/>
          </w:tcPr>
          <w:p w:rsidR="00E158D3" w:rsidRDefault="00DF3B8A" w:rsidP="007C1C37">
            <w:pPr>
              <w:rPr>
                <w:sz w:val="18"/>
                <w:szCs w:val="18"/>
              </w:rPr>
            </w:pPr>
            <w:r>
              <w:rPr>
                <w:sz w:val="18"/>
                <w:szCs w:val="18"/>
              </w:rPr>
              <w:lastRenderedPageBreak/>
              <w:t xml:space="preserve">9-Reg </w:t>
            </w:r>
            <w:r w:rsidR="00E158D3">
              <w:rPr>
                <w:sz w:val="18"/>
                <w:szCs w:val="18"/>
              </w:rPr>
              <w:t xml:space="preserve">Global </w:t>
            </w:r>
            <w:r>
              <w:rPr>
                <w:sz w:val="18"/>
                <w:szCs w:val="18"/>
              </w:rPr>
              <w:t>Correl</w:t>
            </w:r>
            <w:r w:rsidR="00411AF6">
              <w:rPr>
                <w:sz w:val="18"/>
                <w:szCs w:val="18"/>
              </w:rPr>
              <w:t>ation</w:t>
            </w:r>
            <w:r>
              <w:rPr>
                <w:sz w:val="18"/>
                <w:szCs w:val="18"/>
              </w:rPr>
              <w:t>,</w:t>
            </w:r>
            <w:r w:rsidR="0024784B">
              <w:rPr>
                <w:sz w:val="18"/>
                <w:szCs w:val="18"/>
              </w:rPr>
              <w:t xml:space="preserve"> </w:t>
            </w:r>
            <w:r>
              <w:rPr>
                <w:sz w:val="18"/>
                <w:szCs w:val="18"/>
              </w:rPr>
              <w:t>med., (min,max)</w:t>
            </w:r>
          </w:p>
        </w:tc>
        <w:tc>
          <w:tcPr>
            <w:tcW w:w="1526" w:type="dxa"/>
          </w:tcPr>
          <w:p w:rsidR="00E158D3" w:rsidRDefault="00981FB4" w:rsidP="007C1C37">
            <w:pPr>
              <w:rPr>
                <w:sz w:val="18"/>
                <w:szCs w:val="18"/>
              </w:rPr>
            </w:pPr>
            <w:r>
              <w:rPr>
                <w:sz w:val="18"/>
                <w:szCs w:val="18"/>
              </w:rPr>
              <w:t>0.02 (0.00, 0.05</w:t>
            </w:r>
            <w:r w:rsidR="00E158D3">
              <w:rPr>
                <w:sz w:val="18"/>
                <w:szCs w:val="18"/>
              </w:rPr>
              <w:t>)</w:t>
            </w:r>
          </w:p>
        </w:tc>
        <w:tc>
          <w:tcPr>
            <w:tcW w:w="1527" w:type="dxa"/>
          </w:tcPr>
          <w:p w:rsidR="00E158D3" w:rsidRDefault="00981FB4" w:rsidP="007C1C37">
            <w:pPr>
              <w:rPr>
                <w:sz w:val="18"/>
                <w:szCs w:val="18"/>
              </w:rPr>
            </w:pPr>
            <w:r>
              <w:rPr>
                <w:sz w:val="18"/>
                <w:szCs w:val="18"/>
              </w:rPr>
              <w:t>0.02</w:t>
            </w:r>
            <w:r w:rsidR="00E158D3">
              <w:rPr>
                <w:sz w:val="18"/>
                <w:szCs w:val="18"/>
              </w:rPr>
              <w:t xml:space="preserve"> (0.00, 0.04)</w:t>
            </w:r>
          </w:p>
        </w:tc>
        <w:tc>
          <w:tcPr>
            <w:tcW w:w="1527" w:type="dxa"/>
          </w:tcPr>
          <w:p w:rsidR="00E158D3" w:rsidRDefault="00981FB4" w:rsidP="007C1C37">
            <w:pPr>
              <w:rPr>
                <w:sz w:val="18"/>
                <w:szCs w:val="18"/>
              </w:rPr>
            </w:pPr>
            <w:r>
              <w:rPr>
                <w:sz w:val="18"/>
                <w:szCs w:val="18"/>
              </w:rPr>
              <w:t>0.02 (0.01, 0.05</w:t>
            </w:r>
            <w:r w:rsidR="00E158D3">
              <w:rPr>
                <w:sz w:val="18"/>
                <w:szCs w:val="18"/>
              </w:rPr>
              <w:t>)</w:t>
            </w:r>
          </w:p>
        </w:tc>
        <w:tc>
          <w:tcPr>
            <w:tcW w:w="920" w:type="dxa"/>
          </w:tcPr>
          <w:p w:rsidR="00E158D3" w:rsidRDefault="00AC3EBD" w:rsidP="007C1C37">
            <w:pPr>
              <w:rPr>
                <w:sz w:val="18"/>
                <w:szCs w:val="18"/>
              </w:rPr>
            </w:pPr>
            <w:r>
              <w:rPr>
                <w:sz w:val="18"/>
                <w:szCs w:val="18"/>
              </w:rPr>
              <w:t>0.</w:t>
            </w:r>
            <w:r w:rsidR="00981FB4">
              <w:rPr>
                <w:sz w:val="18"/>
                <w:szCs w:val="18"/>
              </w:rPr>
              <w:t>721</w:t>
            </w:r>
          </w:p>
        </w:tc>
      </w:tr>
      <w:tr w:rsidR="00DF3B8A" w:rsidRPr="006039EC" w:rsidTr="00411AF6">
        <w:trPr>
          <w:jc w:val="center"/>
        </w:trPr>
        <w:tc>
          <w:tcPr>
            <w:tcW w:w="3430" w:type="dxa"/>
          </w:tcPr>
          <w:p w:rsidR="00DF3B8A" w:rsidRPr="000B56BA" w:rsidRDefault="00DF3B8A" w:rsidP="00DF3B8A">
            <w:pPr>
              <w:rPr>
                <w:sz w:val="18"/>
                <w:szCs w:val="18"/>
              </w:rPr>
            </w:pPr>
            <w:r>
              <w:rPr>
                <w:sz w:val="18"/>
                <w:szCs w:val="18"/>
              </w:rPr>
              <w:t>14-Reg Global Correl</w:t>
            </w:r>
            <w:r w:rsidR="00411AF6">
              <w:rPr>
                <w:sz w:val="18"/>
                <w:szCs w:val="18"/>
              </w:rPr>
              <w:t>ation</w:t>
            </w:r>
            <w:r>
              <w:rPr>
                <w:sz w:val="18"/>
                <w:szCs w:val="18"/>
              </w:rPr>
              <w:t>, med., (min,max)</w:t>
            </w:r>
          </w:p>
        </w:tc>
        <w:tc>
          <w:tcPr>
            <w:tcW w:w="1526" w:type="dxa"/>
          </w:tcPr>
          <w:p w:rsidR="00DF3B8A" w:rsidRPr="000B56BA" w:rsidRDefault="00411AF6" w:rsidP="00DF3B8A">
            <w:pPr>
              <w:rPr>
                <w:sz w:val="18"/>
                <w:szCs w:val="18"/>
              </w:rPr>
            </w:pPr>
            <w:r>
              <w:rPr>
                <w:sz w:val="18"/>
                <w:szCs w:val="18"/>
              </w:rPr>
              <w:t>0.02 (0.00, 0.06</w:t>
            </w:r>
            <w:r w:rsidR="00DF3B8A">
              <w:rPr>
                <w:sz w:val="18"/>
                <w:szCs w:val="18"/>
              </w:rPr>
              <w:t>)</w:t>
            </w:r>
          </w:p>
        </w:tc>
        <w:tc>
          <w:tcPr>
            <w:tcW w:w="1527" w:type="dxa"/>
          </w:tcPr>
          <w:p w:rsidR="00DF3B8A" w:rsidRPr="000B56BA" w:rsidRDefault="00411AF6" w:rsidP="00DF3B8A">
            <w:pPr>
              <w:rPr>
                <w:sz w:val="18"/>
                <w:szCs w:val="18"/>
              </w:rPr>
            </w:pPr>
            <w:r>
              <w:rPr>
                <w:sz w:val="18"/>
                <w:szCs w:val="18"/>
              </w:rPr>
              <w:t>0.02</w:t>
            </w:r>
            <w:r w:rsidR="00DF3B8A">
              <w:rPr>
                <w:sz w:val="18"/>
                <w:szCs w:val="18"/>
              </w:rPr>
              <w:t xml:space="preserve"> (0.00, 0.05)</w:t>
            </w:r>
          </w:p>
        </w:tc>
        <w:tc>
          <w:tcPr>
            <w:tcW w:w="1527" w:type="dxa"/>
          </w:tcPr>
          <w:p w:rsidR="00DF3B8A" w:rsidRPr="000B56BA" w:rsidRDefault="00DF3B8A" w:rsidP="00DF3B8A">
            <w:pPr>
              <w:rPr>
                <w:sz w:val="18"/>
                <w:szCs w:val="18"/>
              </w:rPr>
            </w:pPr>
            <w:r>
              <w:rPr>
                <w:sz w:val="18"/>
                <w:szCs w:val="18"/>
              </w:rPr>
              <w:t>0.02</w:t>
            </w:r>
            <w:r w:rsidR="00411AF6">
              <w:rPr>
                <w:sz w:val="18"/>
                <w:szCs w:val="18"/>
              </w:rPr>
              <w:t xml:space="preserve"> (0.01, 0.07</w:t>
            </w:r>
            <w:r>
              <w:rPr>
                <w:sz w:val="18"/>
                <w:szCs w:val="18"/>
              </w:rPr>
              <w:t>)</w:t>
            </w:r>
          </w:p>
        </w:tc>
        <w:tc>
          <w:tcPr>
            <w:tcW w:w="920" w:type="dxa"/>
          </w:tcPr>
          <w:p w:rsidR="00DF3B8A" w:rsidRPr="000B56BA" w:rsidRDefault="00DF3B8A" w:rsidP="00DF3B8A">
            <w:pPr>
              <w:rPr>
                <w:sz w:val="18"/>
                <w:szCs w:val="18"/>
              </w:rPr>
            </w:pPr>
            <w:r>
              <w:rPr>
                <w:sz w:val="18"/>
                <w:szCs w:val="18"/>
              </w:rPr>
              <w:t>0.</w:t>
            </w:r>
            <w:r w:rsidR="00981FB4">
              <w:rPr>
                <w:sz w:val="18"/>
                <w:szCs w:val="18"/>
              </w:rPr>
              <w:t>613</w:t>
            </w:r>
          </w:p>
        </w:tc>
      </w:tr>
      <w:tr w:rsidR="00DF3B8A" w:rsidRPr="006039EC" w:rsidTr="00411AF6">
        <w:trPr>
          <w:jc w:val="center"/>
        </w:trPr>
        <w:tc>
          <w:tcPr>
            <w:tcW w:w="3430" w:type="dxa"/>
          </w:tcPr>
          <w:p w:rsidR="00DF3B8A" w:rsidRPr="000B56BA" w:rsidRDefault="00DF3B8A" w:rsidP="00DF3B8A">
            <w:pPr>
              <w:rPr>
                <w:sz w:val="18"/>
                <w:szCs w:val="18"/>
              </w:rPr>
            </w:pPr>
            <w:r>
              <w:rPr>
                <w:sz w:val="18"/>
                <w:szCs w:val="18"/>
              </w:rPr>
              <w:t>15-Reg Global Correl</w:t>
            </w:r>
            <w:r w:rsidR="00411AF6">
              <w:rPr>
                <w:sz w:val="18"/>
                <w:szCs w:val="18"/>
              </w:rPr>
              <w:t>ation</w:t>
            </w:r>
            <w:r>
              <w:rPr>
                <w:sz w:val="18"/>
                <w:szCs w:val="18"/>
              </w:rPr>
              <w:t>, med., (min,max)</w:t>
            </w:r>
          </w:p>
        </w:tc>
        <w:tc>
          <w:tcPr>
            <w:tcW w:w="1526" w:type="dxa"/>
          </w:tcPr>
          <w:p w:rsidR="00DF3B8A" w:rsidRDefault="00DF3B8A" w:rsidP="00DF3B8A">
            <w:pPr>
              <w:rPr>
                <w:sz w:val="18"/>
                <w:szCs w:val="18"/>
              </w:rPr>
            </w:pPr>
            <w:r>
              <w:rPr>
                <w:sz w:val="18"/>
                <w:szCs w:val="18"/>
              </w:rPr>
              <w:t>0.</w:t>
            </w:r>
            <w:r w:rsidR="00411AF6">
              <w:rPr>
                <w:sz w:val="18"/>
                <w:szCs w:val="18"/>
              </w:rPr>
              <w:t>02 (0.00, 0.05</w:t>
            </w:r>
            <w:r>
              <w:rPr>
                <w:sz w:val="18"/>
                <w:szCs w:val="18"/>
              </w:rPr>
              <w:t>)</w:t>
            </w:r>
          </w:p>
        </w:tc>
        <w:tc>
          <w:tcPr>
            <w:tcW w:w="1527" w:type="dxa"/>
          </w:tcPr>
          <w:p w:rsidR="00DF3B8A" w:rsidRDefault="00411AF6" w:rsidP="00DF3B8A">
            <w:pPr>
              <w:rPr>
                <w:sz w:val="18"/>
                <w:szCs w:val="18"/>
              </w:rPr>
            </w:pPr>
            <w:r>
              <w:rPr>
                <w:sz w:val="18"/>
                <w:szCs w:val="18"/>
              </w:rPr>
              <w:t>0.02</w:t>
            </w:r>
            <w:r w:rsidR="00DF3B8A">
              <w:rPr>
                <w:sz w:val="18"/>
                <w:szCs w:val="18"/>
              </w:rPr>
              <w:t xml:space="preserve"> (0.00, 0.04)</w:t>
            </w:r>
          </w:p>
        </w:tc>
        <w:tc>
          <w:tcPr>
            <w:tcW w:w="1527" w:type="dxa"/>
          </w:tcPr>
          <w:p w:rsidR="00DF3B8A" w:rsidRDefault="00411AF6" w:rsidP="00DF3B8A">
            <w:pPr>
              <w:rPr>
                <w:sz w:val="18"/>
                <w:szCs w:val="18"/>
              </w:rPr>
            </w:pPr>
            <w:r>
              <w:rPr>
                <w:sz w:val="18"/>
                <w:szCs w:val="18"/>
              </w:rPr>
              <w:t>0.02 (0.01, 0.05</w:t>
            </w:r>
            <w:r w:rsidR="00DF3B8A">
              <w:rPr>
                <w:sz w:val="18"/>
                <w:szCs w:val="18"/>
              </w:rPr>
              <w:t>)</w:t>
            </w:r>
          </w:p>
        </w:tc>
        <w:tc>
          <w:tcPr>
            <w:tcW w:w="920" w:type="dxa"/>
          </w:tcPr>
          <w:p w:rsidR="00DF3B8A" w:rsidRDefault="00DF3B8A" w:rsidP="00DF3B8A">
            <w:pPr>
              <w:rPr>
                <w:sz w:val="18"/>
                <w:szCs w:val="18"/>
              </w:rPr>
            </w:pPr>
            <w:r>
              <w:rPr>
                <w:sz w:val="18"/>
                <w:szCs w:val="18"/>
              </w:rPr>
              <w:t>0.</w:t>
            </w:r>
            <w:r w:rsidR="00981FB4">
              <w:rPr>
                <w:sz w:val="18"/>
                <w:szCs w:val="18"/>
              </w:rPr>
              <w:t>757</w:t>
            </w:r>
          </w:p>
        </w:tc>
      </w:tr>
      <w:tr w:rsidR="00DF3B8A" w:rsidRPr="006039EC" w:rsidTr="00411AF6">
        <w:trPr>
          <w:jc w:val="center"/>
        </w:trPr>
        <w:tc>
          <w:tcPr>
            <w:tcW w:w="3430" w:type="dxa"/>
          </w:tcPr>
          <w:p w:rsidR="00DF3B8A" w:rsidRPr="000B56BA" w:rsidRDefault="00DF3B8A" w:rsidP="00DF3B8A">
            <w:pPr>
              <w:rPr>
                <w:sz w:val="18"/>
                <w:szCs w:val="18"/>
              </w:rPr>
            </w:pPr>
            <w:r>
              <w:rPr>
                <w:sz w:val="18"/>
                <w:szCs w:val="18"/>
              </w:rPr>
              <w:t>8-Reg Avg TSNR, med., (min,max)</w:t>
            </w:r>
          </w:p>
        </w:tc>
        <w:tc>
          <w:tcPr>
            <w:tcW w:w="1526" w:type="dxa"/>
          </w:tcPr>
          <w:p w:rsidR="00DF3B8A" w:rsidRPr="000B56BA" w:rsidRDefault="00981FB4" w:rsidP="00DF3B8A">
            <w:pPr>
              <w:rPr>
                <w:sz w:val="18"/>
                <w:szCs w:val="18"/>
              </w:rPr>
            </w:pPr>
            <w:r>
              <w:rPr>
                <w:sz w:val="18"/>
                <w:szCs w:val="18"/>
              </w:rPr>
              <w:t>263</w:t>
            </w:r>
            <w:r w:rsidR="00DF3B8A">
              <w:rPr>
                <w:sz w:val="18"/>
                <w:szCs w:val="18"/>
              </w:rPr>
              <w:t xml:space="preserve"> (</w:t>
            </w:r>
            <w:r>
              <w:rPr>
                <w:sz w:val="18"/>
                <w:szCs w:val="18"/>
              </w:rPr>
              <w:t>182</w:t>
            </w:r>
            <w:r w:rsidR="00DF3B8A">
              <w:rPr>
                <w:sz w:val="18"/>
                <w:szCs w:val="18"/>
              </w:rPr>
              <w:t>,</w:t>
            </w:r>
            <w:r>
              <w:rPr>
                <w:sz w:val="18"/>
                <w:szCs w:val="18"/>
              </w:rPr>
              <w:t>323</w:t>
            </w:r>
            <w:r w:rsidR="00DF3B8A">
              <w:rPr>
                <w:sz w:val="18"/>
                <w:szCs w:val="18"/>
              </w:rPr>
              <w:t>)</w:t>
            </w:r>
          </w:p>
        </w:tc>
        <w:tc>
          <w:tcPr>
            <w:tcW w:w="1527" w:type="dxa"/>
          </w:tcPr>
          <w:p w:rsidR="00DF3B8A" w:rsidRPr="000B56BA" w:rsidRDefault="00981FB4" w:rsidP="00DF3B8A">
            <w:pPr>
              <w:rPr>
                <w:sz w:val="18"/>
                <w:szCs w:val="18"/>
              </w:rPr>
            </w:pPr>
            <w:r>
              <w:rPr>
                <w:sz w:val="18"/>
                <w:szCs w:val="18"/>
              </w:rPr>
              <w:t>263</w:t>
            </w:r>
            <w:r w:rsidR="00DF3B8A">
              <w:rPr>
                <w:sz w:val="18"/>
                <w:szCs w:val="18"/>
              </w:rPr>
              <w:t xml:space="preserve"> (</w:t>
            </w:r>
            <w:r>
              <w:rPr>
                <w:sz w:val="18"/>
                <w:szCs w:val="18"/>
              </w:rPr>
              <w:t>213</w:t>
            </w:r>
            <w:r w:rsidR="00DF3B8A">
              <w:rPr>
                <w:sz w:val="18"/>
                <w:szCs w:val="18"/>
              </w:rPr>
              <w:t>,</w:t>
            </w:r>
            <w:r>
              <w:rPr>
                <w:sz w:val="18"/>
                <w:szCs w:val="18"/>
              </w:rPr>
              <w:t>342</w:t>
            </w:r>
            <w:r w:rsidR="00DF3B8A">
              <w:rPr>
                <w:sz w:val="18"/>
                <w:szCs w:val="18"/>
              </w:rPr>
              <w:t>)</w:t>
            </w:r>
          </w:p>
        </w:tc>
        <w:tc>
          <w:tcPr>
            <w:tcW w:w="1527" w:type="dxa"/>
          </w:tcPr>
          <w:p w:rsidR="00DF3B8A" w:rsidRPr="000B56BA" w:rsidRDefault="00981FB4" w:rsidP="00DF3B8A">
            <w:pPr>
              <w:rPr>
                <w:sz w:val="18"/>
                <w:szCs w:val="18"/>
              </w:rPr>
            </w:pPr>
            <w:r>
              <w:rPr>
                <w:sz w:val="18"/>
                <w:szCs w:val="18"/>
              </w:rPr>
              <w:t>255</w:t>
            </w:r>
            <w:r w:rsidR="00DF3B8A">
              <w:rPr>
                <w:sz w:val="18"/>
                <w:szCs w:val="18"/>
              </w:rPr>
              <w:t xml:space="preserve"> (</w:t>
            </w:r>
            <w:r>
              <w:rPr>
                <w:sz w:val="18"/>
                <w:szCs w:val="18"/>
              </w:rPr>
              <w:t>169</w:t>
            </w:r>
            <w:r w:rsidR="00DF3B8A">
              <w:rPr>
                <w:sz w:val="18"/>
                <w:szCs w:val="18"/>
              </w:rPr>
              <w:t xml:space="preserve">, </w:t>
            </w:r>
            <w:r>
              <w:rPr>
                <w:sz w:val="18"/>
                <w:szCs w:val="18"/>
              </w:rPr>
              <w:t>308</w:t>
            </w:r>
            <w:r w:rsidR="00DF3B8A">
              <w:rPr>
                <w:sz w:val="18"/>
                <w:szCs w:val="18"/>
              </w:rPr>
              <w:t>)</w:t>
            </w:r>
          </w:p>
        </w:tc>
        <w:tc>
          <w:tcPr>
            <w:tcW w:w="920" w:type="dxa"/>
          </w:tcPr>
          <w:p w:rsidR="00DF3B8A" w:rsidRPr="000B56BA" w:rsidRDefault="00981FB4" w:rsidP="00DF3B8A">
            <w:pPr>
              <w:rPr>
                <w:sz w:val="18"/>
                <w:szCs w:val="18"/>
              </w:rPr>
            </w:pPr>
            <w:r>
              <w:rPr>
                <w:sz w:val="18"/>
                <w:szCs w:val="18"/>
              </w:rPr>
              <w:t>0.280</w:t>
            </w:r>
          </w:p>
        </w:tc>
      </w:tr>
      <w:tr w:rsidR="00DF3B8A" w:rsidRPr="006039EC" w:rsidTr="00411AF6">
        <w:trPr>
          <w:jc w:val="center"/>
        </w:trPr>
        <w:tc>
          <w:tcPr>
            <w:tcW w:w="3430" w:type="dxa"/>
          </w:tcPr>
          <w:p w:rsidR="00DF3B8A" w:rsidRPr="000B56BA" w:rsidRDefault="00DF3B8A" w:rsidP="00DF3B8A">
            <w:pPr>
              <w:rPr>
                <w:sz w:val="18"/>
                <w:szCs w:val="18"/>
              </w:rPr>
            </w:pPr>
            <w:r>
              <w:rPr>
                <w:sz w:val="18"/>
                <w:szCs w:val="18"/>
              </w:rPr>
              <w:t>9-Reg Avg TSNR, med., (min,max)</w:t>
            </w:r>
          </w:p>
        </w:tc>
        <w:tc>
          <w:tcPr>
            <w:tcW w:w="1526" w:type="dxa"/>
          </w:tcPr>
          <w:p w:rsidR="00DF3B8A" w:rsidRPr="000B56BA" w:rsidRDefault="00981FB4" w:rsidP="00DF3B8A">
            <w:pPr>
              <w:rPr>
                <w:sz w:val="18"/>
                <w:szCs w:val="18"/>
              </w:rPr>
            </w:pPr>
            <w:r>
              <w:rPr>
                <w:sz w:val="18"/>
                <w:szCs w:val="18"/>
              </w:rPr>
              <w:t>271</w:t>
            </w:r>
            <w:r w:rsidR="00DF3B8A">
              <w:rPr>
                <w:sz w:val="18"/>
                <w:szCs w:val="18"/>
              </w:rPr>
              <w:t xml:space="preserve"> (</w:t>
            </w:r>
            <w:r>
              <w:rPr>
                <w:sz w:val="18"/>
                <w:szCs w:val="18"/>
              </w:rPr>
              <w:t>186</w:t>
            </w:r>
            <w:r w:rsidR="00DF3B8A">
              <w:rPr>
                <w:sz w:val="18"/>
                <w:szCs w:val="18"/>
              </w:rPr>
              <w:t>,</w:t>
            </w:r>
            <w:r>
              <w:rPr>
                <w:sz w:val="18"/>
                <w:szCs w:val="18"/>
              </w:rPr>
              <w:t>326</w:t>
            </w:r>
            <w:r w:rsidR="00DF3B8A">
              <w:rPr>
                <w:sz w:val="18"/>
                <w:szCs w:val="18"/>
              </w:rPr>
              <w:t>)</w:t>
            </w:r>
          </w:p>
        </w:tc>
        <w:tc>
          <w:tcPr>
            <w:tcW w:w="1527" w:type="dxa"/>
          </w:tcPr>
          <w:p w:rsidR="00DF3B8A" w:rsidRPr="000B56BA" w:rsidRDefault="00981FB4" w:rsidP="00DF3B8A">
            <w:pPr>
              <w:rPr>
                <w:sz w:val="18"/>
                <w:szCs w:val="18"/>
              </w:rPr>
            </w:pPr>
            <w:r>
              <w:rPr>
                <w:sz w:val="18"/>
                <w:szCs w:val="18"/>
              </w:rPr>
              <w:t>267</w:t>
            </w:r>
            <w:r w:rsidR="00DF3B8A">
              <w:rPr>
                <w:sz w:val="18"/>
                <w:szCs w:val="18"/>
              </w:rPr>
              <w:t xml:space="preserve"> (</w:t>
            </w:r>
            <w:r w:rsidR="00411AF6">
              <w:rPr>
                <w:sz w:val="18"/>
                <w:szCs w:val="18"/>
              </w:rPr>
              <w:t>216</w:t>
            </w:r>
            <w:r w:rsidR="00DF3B8A">
              <w:rPr>
                <w:sz w:val="18"/>
                <w:szCs w:val="18"/>
              </w:rPr>
              <w:t>,</w:t>
            </w:r>
            <w:r w:rsidR="00411AF6">
              <w:rPr>
                <w:sz w:val="18"/>
                <w:szCs w:val="18"/>
              </w:rPr>
              <w:t>352</w:t>
            </w:r>
            <w:r w:rsidR="00DF3B8A">
              <w:rPr>
                <w:sz w:val="18"/>
                <w:szCs w:val="18"/>
              </w:rPr>
              <w:t>)</w:t>
            </w:r>
          </w:p>
        </w:tc>
        <w:tc>
          <w:tcPr>
            <w:tcW w:w="1527" w:type="dxa"/>
          </w:tcPr>
          <w:p w:rsidR="00DF3B8A" w:rsidRPr="000B56BA" w:rsidRDefault="00981FB4" w:rsidP="00DF3B8A">
            <w:pPr>
              <w:rPr>
                <w:sz w:val="18"/>
                <w:szCs w:val="18"/>
              </w:rPr>
            </w:pPr>
            <w:r>
              <w:rPr>
                <w:sz w:val="18"/>
                <w:szCs w:val="18"/>
              </w:rPr>
              <w:t>261</w:t>
            </w:r>
            <w:r w:rsidR="00DF3B8A">
              <w:rPr>
                <w:sz w:val="18"/>
                <w:szCs w:val="18"/>
              </w:rPr>
              <w:t xml:space="preserve"> (</w:t>
            </w:r>
            <w:r w:rsidR="00411AF6">
              <w:rPr>
                <w:sz w:val="18"/>
                <w:szCs w:val="18"/>
              </w:rPr>
              <w:t>171</w:t>
            </w:r>
            <w:r w:rsidR="00DF3B8A">
              <w:rPr>
                <w:sz w:val="18"/>
                <w:szCs w:val="18"/>
              </w:rPr>
              <w:t xml:space="preserve">, </w:t>
            </w:r>
            <w:r w:rsidR="00411AF6">
              <w:rPr>
                <w:sz w:val="18"/>
                <w:szCs w:val="18"/>
              </w:rPr>
              <w:t>315</w:t>
            </w:r>
            <w:r w:rsidR="00DF3B8A">
              <w:rPr>
                <w:sz w:val="18"/>
                <w:szCs w:val="18"/>
              </w:rPr>
              <w:t>)</w:t>
            </w:r>
          </w:p>
        </w:tc>
        <w:tc>
          <w:tcPr>
            <w:tcW w:w="920" w:type="dxa"/>
          </w:tcPr>
          <w:p w:rsidR="00DF3B8A" w:rsidRPr="000B56BA" w:rsidRDefault="00981FB4" w:rsidP="00DF3B8A">
            <w:pPr>
              <w:rPr>
                <w:sz w:val="18"/>
                <w:szCs w:val="18"/>
              </w:rPr>
            </w:pPr>
            <w:r>
              <w:rPr>
                <w:sz w:val="18"/>
                <w:szCs w:val="18"/>
              </w:rPr>
              <w:t>0.322</w:t>
            </w:r>
          </w:p>
        </w:tc>
      </w:tr>
      <w:tr w:rsidR="00DF3B8A" w:rsidRPr="006039EC" w:rsidTr="00411AF6">
        <w:trPr>
          <w:jc w:val="center"/>
        </w:trPr>
        <w:tc>
          <w:tcPr>
            <w:tcW w:w="3430" w:type="dxa"/>
          </w:tcPr>
          <w:p w:rsidR="00DF3B8A" w:rsidRPr="000B56BA" w:rsidRDefault="00DF3B8A" w:rsidP="00DF3B8A">
            <w:pPr>
              <w:rPr>
                <w:sz w:val="18"/>
                <w:szCs w:val="18"/>
              </w:rPr>
            </w:pPr>
            <w:r>
              <w:rPr>
                <w:sz w:val="18"/>
                <w:szCs w:val="18"/>
              </w:rPr>
              <w:t>14-Reg Avg TSNR, med., (min,max)</w:t>
            </w:r>
          </w:p>
        </w:tc>
        <w:tc>
          <w:tcPr>
            <w:tcW w:w="1526" w:type="dxa"/>
          </w:tcPr>
          <w:p w:rsidR="00DF3B8A" w:rsidRPr="000B56BA" w:rsidRDefault="00411AF6" w:rsidP="00DF3B8A">
            <w:pPr>
              <w:rPr>
                <w:sz w:val="18"/>
                <w:szCs w:val="18"/>
              </w:rPr>
            </w:pPr>
            <w:r>
              <w:rPr>
                <w:sz w:val="18"/>
                <w:szCs w:val="18"/>
              </w:rPr>
              <w:t>286</w:t>
            </w:r>
            <w:r w:rsidR="00DF3B8A">
              <w:rPr>
                <w:sz w:val="18"/>
                <w:szCs w:val="18"/>
              </w:rPr>
              <w:t xml:space="preserve"> (</w:t>
            </w:r>
            <w:r>
              <w:rPr>
                <w:sz w:val="18"/>
                <w:szCs w:val="18"/>
              </w:rPr>
              <w:t>194</w:t>
            </w:r>
            <w:r w:rsidR="00DF3B8A">
              <w:rPr>
                <w:sz w:val="18"/>
                <w:szCs w:val="18"/>
              </w:rPr>
              <w:t>,</w:t>
            </w:r>
            <w:r>
              <w:rPr>
                <w:sz w:val="18"/>
                <w:szCs w:val="18"/>
              </w:rPr>
              <w:t>343</w:t>
            </w:r>
            <w:r w:rsidR="00DF3B8A">
              <w:rPr>
                <w:sz w:val="18"/>
                <w:szCs w:val="18"/>
              </w:rPr>
              <w:t>)</w:t>
            </w:r>
          </w:p>
        </w:tc>
        <w:tc>
          <w:tcPr>
            <w:tcW w:w="1527" w:type="dxa"/>
          </w:tcPr>
          <w:p w:rsidR="00DF3B8A" w:rsidRPr="000B56BA" w:rsidRDefault="00411AF6" w:rsidP="00DF3B8A">
            <w:pPr>
              <w:rPr>
                <w:sz w:val="18"/>
                <w:szCs w:val="18"/>
              </w:rPr>
            </w:pPr>
            <w:r>
              <w:rPr>
                <w:sz w:val="18"/>
                <w:szCs w:val="18"/>
              </w:rPr>
              <w:t>284</w:t>
            </w:r>
            <w:r w:rsidR="00DF3B8A">
              <w:rPr>
                <w:sz w:val="18"/>
                <w:szCs w:val="18"/>
              </w:rPr>
              <w:t xml:space="preserve"> (</w:t>
            </w:r>
            <w:r>
              <w:rPr>
                <w:sz w:val="18"/>
                <w:szCs w:val="18"/>
              </w:rPr>
              <w:t>229</w:t>
            </w:r>
            <w:r w:rsidR="00DF3B8A">
              <w:rPr>
                <w:sz w:val="18"/>
                <w:szCs w:val="18"/>
              </w:rPr>
              <w:t>,</w:t>
            </w:r>
            <w:r>
              <w:rPr>
                <w:sz w:val="18"/>
                <w:szCs w:val="18"/>
              </w:rPr>
              <w:t>367</w:t>
            </w:r>
            <w:r w:rsidR="00DF3B8A">
              <w:rPr>
                <w:sz w:val="18"/>
                <w:szCs w:val="18"/>
              </w:rPr>
              <w:t>)</w:t>
            </w:r>
          </w:p>
        </w:tc>
        <w:tc>
          <w:tcPr>
            <w:tcW w:w="1527" w:type="dxa"/>
          </w:tcPr>
          <w:p w:rsidR="00DF3B8A" w:rsidRPr="000B56BA" w:rsidRDefault="00411AF6" w:rsidP="00DF3B8A">
            <w:pPr>
              <w:rPr>
                <w:sz w:val="18"/>
                <w:szCs w:val="18"/>
              </w:rPr>
            </w:pPr>
            <w:r>
              <w:rPr>
                <w:sz w:val="18"/>
                <w:szCs w:val="18"/>
              </w:rPr>
              <w:t>274</w:t>
            </w:r>
            <w:r w:rsidR="00DF3B8A">
              <w:rPr>
                <w:sz w:val="18"/>
                <w:szCs w:val="18"/>
              </w:rPr>
              <w:t xml:space="preserve"> (</w:t>
            </w:r>
            <w:r>
              <w:rPr>
                <w:sz w:val="18"/>
                <w:szCs w:val="18"/>
              </w:rPr>
              <w:t>181</w:t>
            </w:r>
            <w:r w:rsidR="00DF3B8A">
              <w:rPr>
                <w:sz w:val="18"/>
                <w:szCs w:val="18"/>
              </w:rPr>
              <w:t xml:space="preserve">, </w:t>
            </w:r>
            <w:r>
              <w:rPr>
                <w:sz w:val="18"/>
                <w:szCs w:val="18"/>
              </w:rPr>
              <w:t>332</w:t>
            </w:r>
            <w:r w:rsidR="00DF3B8A">
              <w:rPr>
                <w:sz w:val="18"/>
                <w:szCs w:val="18"/>
              </w:rPr>
              <w:t>)</w:t>
            </w:r>
          </w:p>
        </w:tc>
        <w:tc>
          <w:tcPr>
            <w:tcW w:w="920" w:type="dxa"/>
          </w:tcPr>
          <w:p w:rsidR="00DF3B8A" w:rsidRPr="000B56BA" w:rsidRDefault="00DF3B8A" w:rsidP="00DF3B8A">
            <w:pPr>
              <w:rPr>
                <w:sz w:val="18"/>
                <w:szCs w:val="18"/>
              </w:rPr>
            </w:pPr>
            <w:r>
              <w:rPr>
                <w:sz w:val="18"/>
                <w:szCs w:val="18"/>
              </w:rPr>
              <w:t>0.</w:t>
            </w:r>
            <w:r w:rsidR="00981FB4">
              <w:rPr>
                <w:sz w:val="18"/>
                <w:szCs w:val="18"/>
              </w:rPr>
              <w:t>401</w:t>
            </w:r>
          </w:p>
        </w:tc>
      </w:tr>
      <w:tr w:rsidR="00DF3B8A" w:rsidRPr="006039EC" w:rsidTr="00411AF6">
        <w:trPr>
          <w:jc w:val="center"/>
        </w:trPr>
        <w:tc>
          <w:tcPr>
            <w:tcW w:w="3430" w:type="dxa"/>
          </w:tcPr>
          <w:p w:rsidR="00DF3B8A" w:rsidRPr="000B56BA" w:rsidRDefault="00DF3B8A" w:rsidP="00DF3B8A">
            <w:pPr>
              <w:rPr>
                <w:sz w:val="18"/>
                <w:szCs w:val="18"/>
              </w:rPr>
            </w:pPr>
            <w:r>
              <w:rPr>
                <w:sz w:val="18"/>
                <w:szCs w:val="18"/>
              </w:rPr>
              <w:t>15-Reg Avg TSNR, med., (min,max)</w:t>
            </w:r>
          </w:p>
        </w:tc>
        <w:tc>
          <w:tcPr>
            <w:tcW w:w="1526" w:type="dxa"/>
          </w:tcPr>
          <w:p w:rsidR="00DF3B8A" w:rsidRPr="000B56BA" w:rsidRDefault="00411AF6" w:rsidP="00DF3B8A">
            <w:pPr>
              <w:rPr>
                <w:sz w:val="18"/>
                <w:szCs w:val="18"/>
              </w:rPr>
            </w:pPr>
            <w:r>
              <w:rPr>
                <w:sz w:val="18"/>
                <w:szCs w:val="18"/>
              </w:rPr>
              <w:t>292</w:t>
            </w:r>
            <w:r w:rsidR="00DF3B8A">
              <w:rPr>
                <w:sz w:val="18"/>
                <w:szCs w:val="18"/>
              </w:rPr>
              <w:t xml:space="preserve"> (</w:t>
            </w:r>
            <w:r>
              <w:rPr>
                <w:sz w:val="18"/>
                <w:szCs w:val="18"/>
              </w:rPr>
              <w:t>198</w:t>
            </w:r>
            <w:r w:rsidR="00DF3B8A">
              <w:rPr>
                <w:sz w:val="18"/>
                <w:szCs w:val="18"/>
              </w:rPr>
              <w:t>,</w:t>
            </w:r>
            <w:r>
              <w:rPr>
                <w:sz w:val="18"/>
                <w:szCs w:val="18"/>
              </w:rPr>
              <w:t>347</w:t>
            </w:r>
            <w:r w:rsidR="00DF3B8A">
              <w:rPr>
                <w:sz w:val="18"/>
                <w:szCs w:val="18"/>
              </w:rPr>
              <w:t>)</w:t>
            </w:r>
          </w:p>
        </w:tc>
        <w:tc>
          <w:tcPr>
            <w:tcW w:w="1527" w:type="dxa"/>
          </w:tcPr>
          <w:p w:rsidR="00DF3B8A" w:rsidRPr="000B56BA" w:rsidRDefault="00411AF6" w:rsidP="00DF3B8A">
            <w:pPr>
              <w:rPr>
                <w:sz w:val="18"/>
                <w:szCs w:val="18"/>
              </w:rPr>
            </w:pPr>
            <w:r>
              <w:rPr>
                <w:sz w:val="18"/>
                <w:szCs w:val="18"/>
              </w:rPr>
              <w:t>291</w:t>
            </w:r>
            <w:r w:rsidR="00DF3B8A">
              <w:rPr>
                <w:sz w:val="18"/>
                <w:szCs w:val="18"/>
              </w:rPr>
              <w:t xml:space="preserve"> (</w:t>
            </w:r>
            <w:r>
              <w:rPr>
                <w:sz w:val="18"/>
                <w:szCs w:val="18"/>
              </w:rPr>
              <w:t>231</w:t>
            </w:r>
            <w:r w:rsidR="00DF3B8A">
              <w:rPr>
                <w:sz w:val="18"/>
                <w:szCs w:val="18"/>
              </w:rPr>
              <w:t>,</w:t>
            </w:r>
            <w:r>
              <w:rPr>
                <w:sz w:val="18"/>
                <w:szCs w:val="18"/>
              </w:rPr>
              <w:t>377</w:t>
            </w:r>
            <w:r w:rsidR="00DF3B8A">
              <w:rPr>
                <w:sz w:val="18"/>
                <w:szCs w:val="18"/>
              </w:rPr>
              <w:t>)</w:t>
            </w:r>
          </w:p>
        </w:tc>
        <w:tc>
          <w:tcPr>
            <w:tcW w:w="1527" w:type="dxa"/>
          </w:tcPr>
          <w:p w:rsidR="00DF3B8A" w:rsidRPr="000B56BA" w:rsidRDefault="00411AF6" w:rsidP="00DF3B8A">
            <w:pPr>
              <w:rPr>
                <w:sz w:val="18"/>
                <w:szCs w:val="18"/>
              </w:rPr>
            </w:pPr>
            <w:r>
              <w:rPr>
                <w:sz w:val="18"/>
                <w:szCs w:val="18"/>
              </w:rPr>
              <w:t>281</w:t>
            </w:r>
            <w:r w:rsidR="00DF3B8A">
              <w:rPr>
                <w:sz w:val="18"/>
                <w:szCs w:val="18"/>
              </w:rPr>
              <w:t xml:space="preserve"> (</w:t>
            </w:r>
            <w:r>
              <w:rPr>
                <w:sz w:val="18"/>
                <w:szCs w:val="18"/>
              </w:rPr>
              <w:t>183</w:t>
            </w:r>
            <w:r w:rsidR="00DF3B8A">
              <w:rPr>
                <w:sz w:val="18"/>
                <w:szCs w:val="18"/>
              </w:rPr>
              <w:t xml:space="preserve">, </w:t>
            </w:r>
            <w:r>
              <w:rPr>
                <w:sz w:val="18"/>
                <w:szCs w:val="18"/>
              </w:rPr>
              <w:t>342</w:t>
            </w:r>
            <w:r w:rsidR="00DF3B8A">
              <w:rPr>
                <w:sz w:val="18"/>
                <w:szCs w:val="18"/>
              </w:rPr>
              <w:t>)</w:t>
            </w:r>
          </w:p>
        </w:tc>
        <w:tc>
          <w:tcPr>
            <w:tcW w:w="920" w:type="dxa"/>
          </w:tcPr>
          <w:p w:rsidR="00DF3B8A" w:rsidRPr="000B56BA" w:rsidRDefault="00DF3B8A" w:rsidP="00DF3B8A">
            <w:pPr>
              <w:rPr>
                <w:sz w:val="18"/>
                <w:szCs w:val="18"/>
              </w:rPr>
            </w:pPr>
            <w:r>
              <w:rPr>
                <w:sz w:val="18"/>
                <w:szCs w:val="18"/>
              </w:rPr>
              <w:t>0.</w:t>
            </w:r>
            <w:r w:rsidR="00981FB4">
              <w:rPr>
                <w:sz w:val="18"/>
                <w:szCs w:val="18"/>
              </w:rPr>
              <w:t>452</w:t>
            </w:r>
          </w:p>
        </w:tc>
      </w:tr>
      <w:tr w:rsidR="00DF3B8A" w:rsidRPr="006039EC" w:rsidTr="00411AF6">
        <w:trPr>
          <w:jc w:val="center"/>
        </w:trPr>
        <w:tc>
          <w:tcPr>
            <w:tcW w:w="8930" w:type="dxa"/>
            <w:gridSpan w:val="5"/>
          </w:tcPr>
          <w:p w:rsidR="00DF3B8A" w:rsidRPr="008F12FE" w:rsidRDefault="00DF3B8A" w:rsidP="00DF3B8A">
            <w:pPr>
              <w:rPr>
                <w:i/>
                <w:sz w:val="20"/>
                <w:szCs w:val="20"/>
              </w:rPr>
            </w:pPr>
            <w:r>
              <w:rPr>
                <w:i/>
                <w:sz w:val="20"/>
                <w:szCs w:val="20"/>
                <w:vertAlign w:val="superscript"/>
              </w:rPr>
              <w:t>a</w:t>
            </w:r>
            <w:r w:rsidRPr="008F12FE">
              <w:rPr>
                <w:i/>
                <w:sz w:val="20"/>
                <w:szCs w:val="20"/>
              </w:rPr>
              <w:t>(ANOVA);</w:t>
            </w:r>
            <w:r>
              <w:rPr>
                <w:i/>
                <w:sz w:val="20"/>
                <w:szCs w:val="20"/>
                <w:vertAlign w:val="superscript"/>
              </w:rPr>
              <w:t xml:space="preserve"> b</w:t>
            </w:r>
            <w:r>
              <w:rPr>
                <w:i/>
                <w:sz w:val="20"/>
                <w:szCs w:val="20"/>
              </w:rPr>
              <w:t>P</w:t>
            </w:r>
            <w:r w:rsidR="00EA762B">
              <w:rPr>
                <w:i/>
                <w:sz w:val="20"/>
                <w:szCs w:val="20"/>
              </w:rPr>
              <w:t>ost hoc p</w:t>
            </w:r>
            <w:r>
              <w:rPr>
                <w:i/>
                <w:sz w:val="20"/>
                <w:szCs w:val="20"/>
              </w:rPr>
              <w:t>air-wise t tests performed in those cases where ANOVA P value was “near” P = 0.05.</w:t>
            </w:r>
          </w:p>
        </w:tc>
      </w:tr>
    </w:tbl>
    <w:p w:rsidR="00BB0BD6" w:rsidRDefault="00BB0BD6" w:rsidP="005B6A7D">
      <w:pPr>
        <w:pStyle w:val="Heading2"/>
      </w:pPr>
      <w:r>
        <w:t>Seed ROI definition</w:t>
      </w:r>
    </w:p>
    <w:p w:rsidR="00425E55" w:rsidRDefault="00425E55" w:rsidP="005B6A7D">
      <w:r>
        <w:t>S</w:t>
      </w:r>
      <w:r w:rsidR="00017785">
        <w:t xml:space="preserve">eed ROI definitions were drawn from </w:t>
      </w:r>
      <w:r w:rsidR="004D26AC">
        <w:t>three</w:t>
      </w:r>
      <w:r w:rsidR="00017785">
        <w:t xml:space="preserve"> sources for a total of </w:t>
      </w:r>
      <w:r w:rsidR="002A4A51">
        <w:t>1</w:t>
      </w:r>
      <w:r>
        <w:t>96</w:t>
      </w:r>
      <w:r w:rsidR="00017785">
        <w:t xml:space="preserve"> ROIs.  Thirty-six (36) ROI seeds </w:t>
      </w:r>
      <w:r w:rsidR="00DA6867">
        <w:t>are</w:t>
      </w:r>
      <w:r w:rsidR="00017785">
        <w:t xml:space="preserve"> </w:t>
      </w:r>
      <w:r w:rsidR="0010107F">
        <w:t>those</w:t>
      </w:r>
      <w:r w:rsidR="00017785">
        <w:t xml:space="preserve"> listed in </w:t>
      </w:r>
      <w:r w:rsidR="00D64860">
        <w:t xml:space="preserve">Table 2 of </w:t>
      </w:r>
      <w:r w:rsidR="00B111DC">
        <w:t xml:space="preserve">the </w:t>
      </w:r>
      <w:r w:rsidR="00D64860">
        <w:t xml:space="preserve">Brier, et </w:t>
      </w:r>
      <w:r w:rsidR="00DA6867">
        <w:t>al. (2012)</w:t>
      </w:r>
      <w:r w:rsidR="00B111DC">
        <w:t xml:space="preserve"> study of resting state networks (RSN)</w:t>
      </w:r>
      <w:r w:rsidR="00AD57CC">
        <w:t xml:space="preserve">.  </w:t>
      </w:r>
      <w:r w:rsidR="00A85B89">
        <w:t>Each seed served as the origin for a 6mm radius sphere.  The continuous volumetric extent of ROI regions was ~33</w:t>
      </w:r>
      <w:r w:rsidR="00AD57CC">
        <w:t xml:space="preserve"> voxels</w:t>
      </w:r>
      <w:r w:rsidR="00A85B89">
        <w:t>.  Each ROI was assigned an additional label corresponding to an identified cortical</w:t>
      </w:r>
      <w:r w:rsidR="00B03071">
        <w:t xml:space="preserve"> RSN</w:t>
      </w:r>
      <w:r w:rsidR="00AD57CC">
        <w:t xml:space="preserve"> </w:t>
      </w:r>
      <w:r w:rsidR="00A85B89">
        <w:t xml:space="preserve">as in Brier, et al.  These included: a) Control (CON), 5 ROIs; b) Dorsal Attention (DAN), 8 ROIs; c) Default-Mode (DMN), 9 ROIs; d) Salience (SAL), 7 ROIs; and e) Sensory-Motor (SMN), 7 ROIs.  </w:t>
      </w:r>
      <w:r w:rsidR="004B4772">
        <w:t>In networking terms, each ROI is a node within</w:t>
      </w:r>
      <w:r w:rsidR="003F7F09">
        <w:t xml:space="preserve"> an </w:t>
      </w:r>
      <w:r w:rsidR="00AD57CC">
        <w:t xml:space="preserve">RSN </w:t>
      </w:r>
      <w:r w:rsidR="003F7F09">
        <w:t>with</w:t>
      </w:r>
      <w:r w:rsidR="004B4772">
        <w:t xml:space="preserve"> </w:t>
      </w:r>
      <w:r w:rsidR="003F7F09">
        <w:t>a quantifiable degree</w:t>
      </w:r>
      <w:r w:rsidR="004B4772">
        <w:t xml:space="preserve"> of functional connectivity</w:t>
      </w:r>
      <w:r w:rsidR="003F7F09">
        <w:t xml:space="preserve"> with other nodes both </w:t>
      </w:r>
      <w:r w:rsidR="000D67E2">
        <w:t xml:space="preserve">within </w:t>
      </w:r>
      <w:r w:rsidR="003F7F09">
        <w:t>RSN</w:t>
      </w:r>
      <w:r w:rsidR="000D67E2">
        <w:t xml:space="preserve"> and between </w:t>
      </w:r>
      <w:r w:rsidR="003F7F09">
        <w:t>RSNs (inter-RSN)</w:t>
      </w:r>
      <w:r w:rsidR="00AD57CC">
        <w:t xml:space="preserve">.  </w:t>
      </w:r>
      <w:r w:rsidR="00DA6867">
        <w:t xml:space="preserve">Thirty-three of thirty-six seeds </w:t>
      </w:r>
      <w:r w:rsidR="00B33B08">
        <w:t>sample</w:t>
      </w:r>
      <w:r w:rsidR="00893EF9">
        <w:t>d</w:t>
      </w:r>
      <w:r w:rsidR="00B33B08">
        <w:t xml:space="preserve"> cortical regions</w:t>
      </w:r>
      <w:r w:rsidR="00DA6867">
        <w:t xml:space="preserve">; 2 </w:t>
      </w:r>
      <w:r w:rsidR="00B33B08">
        <w:t>sample</w:t>
      </w:r>
      <w:r w:rsidR="00893EF9">
        <w:t>d</w:t>
      </w:r>
      <w:r w:rsidR="00B33B08">
        <w:t xml:space="preserve"> the posterior cerebellum</w:t>
      </w:r>
      <w:r w:rsidR="00893EF9">
        <w:t xml:space="preserve"> (left, right)</w:t>
      </w:r>
      <w:r w:rsidR="00B33B08">
        <w:t xml:space="preserve">; </w:t>
      </w:r>
      <w:r w:rsidR="00893EF9">
        <w:t>and 1 sampled</w:t>
      </w:r>
      <w:r w:rsidR="00B33B08">
        <w:t xml:space="preserve"> the media</w:t>
      </w:r>
      <w:r w:rsidR="00893EF9">
        <w:t>l</w:t>
      </w:r>
      <w:r w:rsidR="00AD57CC">
        <w:t xml:space="preserve"> thalamus.</w:t>
      </w:r>
    </w:p>
    <w:p w:rsidR="00425E55" w:rsidRDefault="003F7F09" w:rsidP="005B6A7D">
      <w:r>
        <w:t xml:space="preserve">Sixteen (16) ROI seeds </w:t>
      </w:r>
      <w:r w:rsidR="00425E55">
        <w:t>were obtained from the Mackey-Petrides anatomical atlas (Mackey-Petrides, 2014) of the human ventromedial pre-frontal cortex (VmPFC).</w:t>
      </w:r>
      <w:r w:rsidR="007907E2">
        <w:t xml:space="preserve">  The volumetric extent (number of voxels) for each ROI was controlled by a probability parameter set to 0.</w:t>
      </w:r>
      <w:r w:rsidR="002F776F">
        <w:t xml:space="preserve">5 and recorded as a brain mask.  </w:t>
      </w:r>
      <w:r w:rsidR="004B4772">
        <w:t>The volumetrically smallest extent was 33 voxels (Area 25); the largest 243</w:t>
      </w:r>
      <w:r>
        <w:t xml:space="preserve"> voxels</w:t>
      </w:r>
      <w:r w:rsidR="004B4772">
        <w:t xml:space="preserve"> (Area 14m).  </w:t>
      </w:r>
      <w:r w:rsidR="002F776F">
        <w:t xml:space="preserve">Analogously to the grouping of ROI seeds into RSNs, Mackey-Petrides regions were labelled as belonging to one of 8 </w:t>
      </w:r>
      <w:r>
        <w:t>VmPFC sub-regions</w:t>
      </w:r>
      <w:r w:rsidR="002F776F">
        <w:t xml:space="preserve"> </w:t>
      </w:r>
      <w:r>
        <w:t>each with</w:t>
      </w:r>
      <w:r w:rsidR="002F776F">
        <w:t xml:space="preserve"> bilateral extent: a) </w:t>
      </w:r>
      <w:r>
        <w:t xml:space="preserve">Area </w:t>
      </w:r>
      <w:r w:rsidR="002F776F">
        <w:t xml:space="preserve">11m; b) </w:t>
      </w:r>
      <w:r>
        <w:t xml:space="preserve">Area </w:t>
      </w:r>
      <w:r w:rsidR="002F776F">
        <w:t xml:space="preserve">14c; c) </w:t>
      </w:r>
      <w:r>
        <w:t xml:space="preserve">Area </w:t>
      </w:r>
      <w:r w:rsidR="002F776F">
        <w:t xml:space="preserve">14m; d) </w:t>
      </w:r>
      <w:r>
        <w:t xml:space="preserve">Area </w:t>
      </w:r>
      <w:r w:rsidR="002F776F">
        <w:t xml:space="preserve">14r; e) </w:t>
      </w:r>
      <w:r>
        <w:t xml:space="preserve">Area </w:t>
      </w:r>
      <w:r w:rsidR="002F776F">
        <w:t xml:space="preserve">14rr; f) </w:t>
      </w:r>
      <w:r>
        <w:t xml:space="preserve">Are 24; g) Area 25; and h) Area </w:t>
      </w:r>
      <w:r w:rsidR="002F776F">
        <w:t>32.</w:t>
      </w:r>
      <w:r w:rsidR="004B4772">
        <w:t xml:space="preserve">  </w:t>
      </w:r>
      <w:r>
        <w:t xml:space="preserve">In networking terms, each Mackey-Petrides ROI is a node within a VmPFC sub-region with a quantifiable degree of functional connectivity with other nodes both </w:t>
      </w:r>
      <w:r w:rsidR="000D67E2">
        <w:t xml:space="preserve">within </w:t>
      </w:r>
      <w:r>
        <w:t>VmPFC</w:t>
      </w:r>
      <w:r w:rsidR="000D67E2">
        <w:t xml:space="preserve"> sub-region</w:t>
      </w:r>
      <w:r>
        <w:t xml:space="preserve"> </w:t>
      </w:r>
      <w:r w:rsidR="000D67E2">
        <w:t>(intra-Network</w:t>
      </w:r>
      <w:r>
        <w:t xml:space="preserve">) </w:t>
      </w:r>
      <w:r w:rsidR="000D67E2">
        <w:t xml:space="preserve">and between </w:t>
      </w:r>
      <w:r>
        <w:t>VmPFC sub-regions (</w:t>
      </w:r>
      <w:r w:rsidR="000D67E2">
        <w:t>inter-Network</w:t>
      </w:r>
      <w:r>
        <w:t>).</w:t>
      </w:r>
    </w:p>
    <w:p w:rsidR="00425E55" w:rsidRDefault="00425E55" w:rsidP="005B6A7D">
      <w:r>
        <w:t>Finally, the</w:t>
      </w:r>
      <w:r w:rsidR="003A44B8">
        <w:t xml:space="preserve"> Eickhoff-Ziller probabilistic atlas (Eickhoff, et al., 2005) contributed </w:t>
      </w:r>
      <w:r w:rsidR="00D64860">
        <w:t>o</w:t>
      </w:r>
      <w:r w:rsidR="0010107F">
        <w:t xml:space="preserve">ne </w:t>
      </w:r>
      <w:r w:rsidR="00673683">
        <w:t>hundred forty-three</w:t>
      </w:r>
      <w:r w:rsidR="0010107F">
        <w:t xml:space="preserve"> </w:t>
      </w:r>
      <w:r w:rsidR="00017785">
        <w:t>(</w:t>
      </w:r>
      <w:r w:rsidR="00673683">
        <w:t>143</w:t>
      </w:r>
      <w:r w:rsidR="00017785">
        <w:t>) ROI seeds</w:t>
      </w:r>
      <w:r w:rsidR="00605E1E">
        <w:t xml:space="preserve">.  In AFNI </w:t>
      </w:r>
      <w:r w:rsidR="003A44B8">
        <w:t xml:space="preserve">the Eickhoff-Ziller atlas </w:t>
      </w:r>
      <w:r w:rsidR="00605E1E">
        <w:t xml:space="preserve">is </w:t>
      </w:r>
      <w:r w:rsidR="003A44B8">
        <w:t>implemented as the</w:t>
      </w:r>
      <w:r w:rsidR="00605E1E">
        <w:t xml:space="preserve"> CA_PM_18_MNIA atlas</w:t>
      </w:r>
      <w:r w:rsidR="00EB3300">
        <w:t xml:space="preserve"> daemon</w:t>
      </w:r>
      <w:r w:rsidR="001F3EDB">
        <w:t xml:space="preserve">.  The </w:t>
      </w:r>
      <w:r w:rsidR="00673683">
        <w:t>143</w:t>
      </w:r>
      <w:r w:rsidR="00605E1E">
        <w:t xml:space="preserve"> ROI seeds </w:t>
      </w:r>
      <w:r w:rsidR="003A44B8">
        <w:t>consist</w:t>
      </w:r>
      <w:r w:rsidR="00B03071">
        <w:t>ed</w:t>
      </w:r>
      <w:r w:rsidR="003A44B8">
        <w:t xml:space="preserve"> of</w:t>
      </w:r>
      <w:r w:rsidR="00605E1E">
        <w:t xml:space="preserve"> </w:t>
      </w:r>
      <w:r w:rsidR="00B806F9">
        <w:t xml:space="preserve">72 </w:t>
      </w:r>
      <w:r w:rsidR="00605E1E">
        <w:t>left</w:t>
      </w:r>
      <w:r w:rsidR="003A44B8">
        <w:t xml:space="preserve"> and </w:t>
      </w:r>
      <w:r w:rsidR="00156DEA">
        <w:t>71</w:t>
      </w:r>
      <w:r w:rsidR="00B806F9">
        <w:t xml:space="preserve"> </w:t>
      </w:r>
      <w:r w:rsidR="003A44B8">
        <w:t>right hemisphere</w:t>
      </w:r>
      <w:r w:rsidR="00605E1E">
        <w:t xml:space="preserve"> </w:t>
      </w:r>
      <w:r w:rsidR="00EB3300">
        <w:t xml:space="preserve">cytoarchitectonically identified </w:t>
      </w:r>
      <w:r w:rsidR="00605E1E">
        <w:t>regions</w:t>
      </w:r>
      <w:r w:rsidR="00EB3300">
        <w:t xml:space="preserve">.  </w:t>
      </w:r>
      <w:r w:rsidR="007907E2">
        <w:t xml:space="preserve">The </w:t>
      </w:r>
      <w:r w:rsidR="00B806F9">
        <w:t xml:space="preserve">continuous </w:t>
      </w:r>
      <w:r w:rsidR="007907E2">
        <w:t xml:space="preserve">volumetric extent (number of voxels) for each ROI was controlled by a </w:t>
      </w:r>
      <w:r w:rsidR="003F7F09">
        <w:t xml:space="preserve">floor </w:t>
      </w:r>
      <w:r w:rsidR="007907E2">
        <w:t>probability parameter set to 0.5</w:t>
      </w:r>
      <w:r w:rsidR="00B03071">
        <w:t xml:space="preserve"> </w:t>
      </w:r>
      <w:r w:rsidR="007907E2">
        <w:t xml:space="preserve">and recorded as a brain mask.  </w:t>
      </w:r>
      <w:r w:rsidR="00B806F9">
        <w:t xml:space="preserve">ROI extents varied </w:t>
      </w:r>
      <w:r w:rsidR="00B03071">
        <w:t>widely</w:t>
      </w:r>
      <w:r w:rsidR="00B806F9">
        <w:t xml:space="preserve">.  </w:t>
      </w:r>
      <w:r w:rsidR="00B03071">
        <w:t xml:space="preserve">For example, </w:t>
      </w:r>
      <w:r w:rsidR="00A85B89">
        <w:t>t</w:t>
      </w:r>
      <w:r w:rsidR="00044110">
        <w:t>he Area</w:t>
      </w:r>
      <w:r w:rsidR="00B03071">
        <w:t xml:space="preserve"> 1 voxel count was 229 voxels.  T</w:t>
      </w:r>
      <w:r w:rsidR="00A85B89">
        <w:t xml:space="preserve">he </w:t>
      </w:r>
      <w:r w:rsidR="00044110">
        <w:t>Amygdala CM voxel count was</w:t>
      </w:r>
      <w:r w:rsidR="00A85B89">
        <w:t xml:space="preserve"> 16.  </w:t>
      </w:r>
      <w:r w:rsidR="00B806F9">
        <w:t xml:space="preserve">Analogously to the grouping of ROI seeds into RSNs, </w:t>
      </w:r>
      <w:r w:rsidR="00044110">
        <w:t xml:space="preserve">Eickhoff-Ziller </w:t>
      </w:r>
      <w:r w:rsidR="00B806F9">
        <w:t xml:space="preserve">regions were </w:t>
      </w:r>
      <w:r w:rsidR="00A85B89">
        <w:t xml:space="preserve">assigned </w:t>
      </w:r>
      <w:r w:rsidR="00B806F9">
        <w:t xml:space="preserve">to one of </w:t>
      </w:r>
      <w:r w:rsidR="00BF0A7C">
        <w:t>fifteen (15)</w:t>
      </w:r>
      <w:r w:rsidR="00B806F9">
        <w:t xml:space="preserve"> </w:t>
      </w:r>
      <w:r w:rsidR="003F7F09">
        <w:t>sub-regions</w:t>
      </w:r>
      <w:r w:rsidR="00B806F9">
        <w:t xml:space="preserve"> </w:t>
      </w:r>
      <w:r w:rsidR="003F7F09">
        <w:t xml:space="preserve">each </w:t>
      </w:r>
      <w:r w:rsidR="00B806F9">
        <w:t xml:space="preserve">with bilateral extent: a) </w:t>
      </w:r>
      <w:r w:rsidR="00673683">
        <w:t>TE</w:t>
      </w:r>
      <w:r w:rsidR="00156DEA">
        <w:t>_3 (2)</w:t>
      </w:r>
      <w:r w:rsidR="00673683">
        <w:t>; b) A17.18</w:t>
      </w:r>
      <w:r w:rsidR="00156DEA">
        <w:t xml:space="preserve"> (4)</w:t>
      </w:r>
      <w:r w:rsidR="00673683">
        <w:t>; c) A44.45</w:t>
      </w:r>
      <w:r w:rsidR="00156DEA">
        <w:t xml:space="preserve"> (4)</w:t>
      </w:r>
      <w:r w:rsidR="00673683">
        <w:t>; d) Amyg</w:t>
      </w:r>
      <w:r w:rsidR="000C7A88">
        <w:t>dala</w:t>
      </w:r>
      <w:r w:rsidR="00156DEA">
        <w:t xml:space="preserve"> (6)</w:t>
      </w:r>
      <w:r w:rsidR="00673683">
        <w:t>; e) A4.6</w:t>
      </w:r>
      <w:r w:rsidR="00156DEA">
        <w:t xml:space="preserve"> (6)</w:t>
      </w:r>
      <w:r w:rsidR="00673683">
        <w:t>; f) hIP</w:t>
      </w:r>
      <w:r w:rsidR="00156DEA">
        <w:t xml:space="preserve"> (6)</w:t>
      </w:r>
      <w:r w:rsidR="00673683">
        <w:t>; g) hOC</w:t>
      </w:r>
      <w:r w:rsidR="00156DEA">
        <w:t xml:space="preserve"> (6)</w:t>
      </w:r>
      <w:r w:rsidR="00673683">
        <w:t>; h) Ins</w:t>
      </w:r>
      <w:r w:rsidR="00156DEA">
        <w:t xml:space="preserve"> (6)</w:t>
      </w:r>
      <w:r w:rsidR="00673683">
        <w:t>; i) A1.2.3</w:t>
      </w:r>
      <w:r w:rsidR="00156DEA">
        <w:t xml:space="preserve"> (8)</w:t>
      </w:r>
      <w:r w:rsidR="00673683">
        <w:t>; i) OP</w:t>
      </w:r>
      <w:r w:rsidR="00156DEA">
        <w:t xml:space="preserve"> (8)</w:t>
      </w:r>
      <w:r w:rsidR="00673683">
        <w:t xml:space="preserve">; j) </w:t>
      </w:r>
      <w:r w:rsidR="000C7A88">
        <w:t>Hippocampus (</w:t>
      </w:r>
      <w:r w:rsidR="00156DEA">
        <w:t>10)</w:t>
      </w:r>
      <w:r w:rsidR="00673683">
        <w:t>; k) IPC</w:t>
      </w:r>
      <w:r w:rsidR="00156DEA">
        <w:t xml:space="preserve"> (14)</w:t>
      </w:r>
      <w:r w:rsidR="00673683">
        <w:t>; l) Th</w:t>
      </w:r>
      <w:r w:rsidR="00156DEA">
        <w:t xml:space="preserve"> (14)</w:t>
      </w:r>
      <w:r w:rsidR="00673683">
        <w:t>; l) SPL</w:t>
      </w:r>
      <w:r w:rsidR="00156DEA">
        <w:t xml:space="preserve"> (14)</w:t>
      </w:r>
      <w:r w:rsidR="00673683">
        <w:t>; and m) CBLM</w:t>
      </w:r>
      <w:r w:rsidR="00156DEA">
        <w:t xml:space="preserve"> (35; left: 18; right:17)</w:t>
      </w:r>
      <w:r w:rsidR="00B806F9">
        <w:t xml:space="preserve">.  </w:t>
      </w:r>
      <w:r w:rsidR="003F7F09">
        <w:t>Notably, the</w:t>
      </w:r>
      <w:r w:rsidR="00B806F9">
        <w:t xml:space="preserve"> Eickhoff-Ziller </w:t>
      </w:r>
      <w:r w:rsidR="00044110">
        <w:t xml:space="preserve">atlas </w:t>
      </w:r>
      <w:r w:rsidR="003F7F09">
        <w:t>enables</w:t>
      </w:r>
      <w:r w:rsidR="00B806F9">
        <w:t xml:space="preserve"> analysis of subcortical structures bilaterally: a) </w:t>
      </w:r>
      <w:r w:rsidR="00044110">
        <w:t>amygdala</w:t>
      </w:r>
      <w:r w:rsidR="00DA6867">
        <w:t xml:space="preserve"> (3</w:t>
      </w:r>
      <w:r w:rsidR="00B806F9">
        <w:t xml:space="preserve"> sub-regions); </w:t>
      </w:r>
      <w:r w:rsidR="00044110">
        <w:t>hippocampus (5</w:t>
      </w:r>
      <w:r w:rsidR="00B806F9">
        <w:t xml:space="preserve"> sub-regions); </w:t>
      </w:r>
      <w:r w:rsidR="00044110">
        <w:t xml:space="preserve">and </w:t>
      </w:r>
      <w:r w:rsidR="00B806F9">
        <w:t xml:space="preserve">c) </w:t>
      </w:r>
      <w:r w:rsidR="00044110">
        <w:t>thalamus (7</w:t>
      </w:r>
      <w:r w:rsidR="00B806F9">
        <w:t xml:space="preserve"> sub-regions</w:t>
      </w:r>
      <w:r w:rsidR="00044110">
        <w:t>)</w:t>
      </w:r>
      <w:r w:rsidR="00B806F9">
        <w:t>.</w:t>
      </w:r>
      <w:r w:rsidR="004B4772">
        <w:t xml:space="preserve">  </w:t>
      </w:r>
      <w:r w:rsidR="003F7F09">
        <w:t xml:space="preserve">In networking terms, each Eickhoff-Ziller ROI is a node within an anatomical sub-region with a quantifiable degree of functional connectivity with other nodes both </w:t>
      </w:r>
      <w:r w:rsidR="000D67E2">
        <w:t>within sub-</w:t>
      </w:r>
      <w:r w:rsidR="003F7F09">
        <w:t xml:space="preserve">region </w:t>
      </w:r>
      <w:r w:rsidR="000D67E2">
        <w:t>(intra-Network</w:t>
      </w:r>
      <w:r w:rsidR="003F7F09">
        <w:t>) and between regions (</w:t>
      </w:r>
      <w:r w:rsidR="000D67E2">
        <w:t>inter-Network</w:t>
      </w:r>
      <w:r w:rsidR="003F7F09">
        <w:t>)</w:t>
      </w:r>
      <w:r w:rsidR="000D67E2">
        <w:t>.</w:t>
      </w:r>
    </w:p>
    <w:p w:rsidR="000642DB" w:rsidRDefault="00EA78F7" w:rsidP="005B6A7D">
      <w:r>
        <w:lastRenderedPageBreak/>
        <w:t xml:space="preserve">For each subject and </w:t>
      </w:r>
      <w:r w:rsidR="000642DB">
        <w:t xml:space="preserve">for each ROI the </w:t>
      </w:r>
      <w:r w:rsidR="007907E2">
        <w:t xml:space="preserve">volumetric </w:t>
      </w:r>
      <w:r w:rsidR="000642DB">
        <w:t>average time s</w:t>
      </w:r>
      <w:r w:rsidR="00094241">
        <w:t>eries was computed</w:t>
      </w:r>
      <w:r w:rsidR="00C424D6">
        <w:t xml:space="preserve"> </w:t>
      </w:r>
      <w:r w:rsidR="00B4155B">
        <w:t>and stored for p</w:t>
      </w:r>
      <w:r w:rsidR="00094241">
        <w:t xml:space="preserve">air-wise correlation analysis.  </w:t>
      </w:r>
      <w:r w:rsidR="00227396">
        <w:t>Volumetric c</w:t>
      </w:r>
      <w:r w:rsidR="000642DB">
        <w:t xml:space="preserve">orrelation maps were obtained by computing the Pearson correlation coefficient between the ROI time series average and </w:t>
      </w:r>
      <w:r w:rsidR="00227396">
        <w:t>all other brain voxels subject to a group mask</w:t>
      </w:r>
      <w:r w:rsidR="00B26557">
        <w:t xml:space="preserve">.  </w:t>
      </w:r>
      <w:r w:rsidR="00227396">
        <w:t>The group mask was formed as the union of all (n=98) subject-dependent anatomical brain masks</w:t>
      </w:r>
      <w:r w:rsidR="00A85B89">
        <w:t xml:space="preserve"> (as registered </w:t>
      </w:r>
      <w:r w:rsidR="00B03071">
        <w:t>to</w:t>
      </w:r>
      <w:r w:rsidR="00A85B89">
        <w:t xml:space="preserve"> the standard template MNI_avg152T1)</w:t>
      </w:r>
      <w:r w:rsidR="00227396">
        <w:t>.  [A variation on this procedure (not (yet) done) could be to apply segmentation (e.g., CSF) t</w:t>
      </w:r>
      <w:r w:rsidR="00A85B89">
        <w:t>o this group anatomical mask.]</w:t>
      </w:r>
    </w:p>
    <w:p w:rsidR="00DD3DF1" w:rsidRDefault="00EA78F7" w:rsidP="005B6A7D">
      <w:r>
        <w:t xml:space="preserve">Prior to inclusion in pair-wise correlation analysis individual average time series </w:t>
      </w:r>
      <w:r w:rsidR="00B03071">
        <w:t>were</w:t>
      </w:r>
      <w:r>
        <w:t xml:space="preserve"> </w:t>
      </w:r>
      <w:r w:rsidR="000F6158">
        <w:t>s</w:t>
      </w:r>
      <w:r w:rsidR="00B03071">
        <w:t xml:space="preserve">ubjected to a final </w:t>
      </w:r>
      <w:r w:rsidR="000F6158">
        <w:t>quality assurance check</w:t>
      </w:r>
      <w:r>
        <w:t xml:space="preserve"> for outliers.  For subject </w:t>
      </w:r>
      <w:r w:rsidRPr="00EA78F7">
        <w:rPr>
          <w:i/>
        </w:rPr>
        <w:t>k</w:t>
      </w:r>
      <w:r>
        <w:t xml:space="preserve">, ROI average time series </w:t>
      </w:r>
      <w:r w:rsidRPr="00EA78F7">
        <w:rPr>
          <w:i/>
        </w:rPr>
        <w:t xml:space="preserve">j </w:t>
      </w:r>
      <w:r w:rsidR="000F6158">
        <w:t xml:space="preserve">is rejected </w:t>
      </w:r>
      <w:r>
        <w:t xml:space="preserve">if </w:t>
      </w:r>
      <w:r w:rsidR="005D4D70">
        <w:t>any</w:t>
      </w:r>
      <w:r>
        <w:t xml:space="preserve"> of the following conditions </w:t>
      </w:r>
      <w:r w:rsidR="005D4D70">
        <w:t>is</w:t>
      </w:r>
      <w:r>
        <w:t xml:space="preserve"> true: a) </w:t>
      </w:r>
      <w:r w:rsidR="000F6158">
        <w:t xml:space="preserve">the time series is constant; b) </w:t>
      </w:r>
      <w:r>
        <w:t xml:space="preserve">the time series standard deviation, </w:t>
      </w:r>
      <w:r>
        <w:rPr>
          <w:rFonts w:cstheme="minorHAnsi"/>
        </w:rPr>
        <w:t>σ</w:t>
      </w:r>
      <w:r w:rsidR="000F6158">
        <w:rPr>
          <w:rFonts w:cstheme="minorHAnsi"/>
          <w:vertAlign w:val="subscript"/>
        </w:rPr>
        <w:t>j</w:t>
      </w:r>
      <w:r w:rsidRPr="00EA78F7">
        <w:rPr>
          <w:rFonts w:cstheme="minorHAnsi"/>
          <w:vertAlign w:val="subscript"/>
        </w:rPr>
        <w:t>k</w:t>
      </w:r>
      <w:r>
        <w:t xml:space="preserve"> &gt; 2.0; or </w:t>
      </w:r>
      <w:r w:rsidR="000F6158">
        <w:t>c</w:t>
      </w:r>
      <w:r>
        <w:t>) the fraction of time points with value</w:t>
      </w:r>
      <w:r w:rsidR="001C2800">
        <w:t>s</w:t>
      </w:r>
      <w:r>
        <w:t xml:space="preserve"> in excess of the outlier threshold </w:t>
      </w:r>
      <w:r w:rsidR="00B03071">
        <w:rPr>
          <w:rFonts w:cstheme="minorHAnsi"/>
        </w:rPr>
        <w:t>θ</w:t>
      </w:r>
      <w:r w:rsidR="005D4D70">
        <w:rPr>
          <w:rFonts w:cstheme="minorHAnsi"/>
          <w:vertAlign w:val="subscript"/>
        </w:rPr>
        <w:t>jk</w:t>
      </w:r>
      <w:r w:rsidR="00B03071">
        <w:t xml:space="preserve"> </w:t>
      </w:r>
      <w:r>
        <w:t xml:space="preserve">exceeds 0.05.  The outlier threshold is set as </w:t>
      </w:r>
      <w:r w:rsidR="000F6158">
        <w:rPr>
          <w:rFonts w:cstheme="minorHAnsi"/>
        </w:rPr>
        <w:t>θ</w:t>
      </w:r>
      <w:r w:rsidR="005D4D70" w:rsidRPr="005D4D70">
        <w:rPr>
          <w:rFonts w:cstheme="minorHAnsi"/>
          <w:vertAlign w:val="subscript"/>
        </w:rPr>
        <w:t>jk</w:t>
      </w:r>
      <w:r w:rsidR="000F6158">
        <w:t xml:space="preserve"> = </w:t>
      </w:r>
      <w:r w:rsidR="000F6158">
        <w:rPr>
          <w:rFonts w:cstheme="minorHAnsi"/>
        </w:rPr>
        <w:t>µ</w:t>
      </w:r>
      <w:r w:rsidR="000F6158">
        <w:rPr>
          <w:rFonts w:cstheme="minorHAnsi"/>
          <w:vertAlign w:val="subscript"/>
        </w:rPr>
        <w:t>j</w:t>
      </w:r>
      <w:r w:rsidR="000F6158" w:rsidRPr="000F6158">
        <w:rPr>
          <w:rFonts w:cstheme="minorHAnsi"/>
          <w:vertAlign w:val="subscript"/>
        </w:rPr>
        <w:t>k</w:t>
      </w:r>
      <w:r w:rsidR="000F6158">
        <w:t xml:space="preserve"> + 2</w:t>
      </w:r>
      <w:r w:rsidR="000F6158">
        <w:rPr>
          <w:rFonts w:cstheme="minorHAnsi"/>
        </w:rPr>
        <w:t>σ</w:t>
      </w:r>
      <w:r w:rsidR="005D3BA0">
        <w:rPr>
          <w:rFonts w:cstheme="minorHAnsi"/>
          <w:vertAlign w:val="subscript"/>
        </w:rPr>
        <w:t>j</w:t>
      </w:r>
      <w:r w:rsidR="000F6158" w:rsidRPr="00EA78F7">
        <w:rPr>
          <w:rFonts w:cstheme="minorHAnsi"/>
          <w:vertAlign w:val="subscript"/>
        </w:rPr>
        <w:t>k</w:t>
      </w:r>
      <w:r w:rsidR="000F6158">
        <w:t xml:space="preserve"> </w:t>
      </w:r>
      <w:r w:rsidR="002E42CB">
        <w:t xml:space="preserve">, </w:t>
      </w:r>
      <w:r w:rsidR="000F6158">
        <w:t xml:space="preserve">where </w:t>
      </w:r>
      <w:r w:rsidR="000F6158">
        <w:rPr>
          <w:rFonts w:cstheme="minorHAnsi"/>
        </w:rPr>
        <w:t>µ</w:t>
      </w:r>
      <w:r w:rsidR="000F6158">
        <w:rPr>
          <w:rFonts w:cstheme="minorHAnsi"/>
          <w:vertAlign w:val="subscript"/>
        </w:rPr>
        <w:t>j</w:t>
      </w:r>
      <w:r w:rsidR="000F6158" w:rsidRPr="000F6158">
        <w:rPr>
          <w:rFonts w:cstheme="minorHAnsi"/>
          <w:vertAlign w:val="subscript"/>
        </w:rPr>
        <w:t>k</w:t>
      </w:r>
      <w:r w:rsidR="00D9670F">
        <w:t xml:space="preserve"> is the time series average.  This </w:t>
      </w:r>
      <w:r w:rsidR="002E42CB">
        <w:t>final outlier</w:t>
      </w:r>
      <w:r w:rsidR="00D9670F">
        <w:t xml:space="preserve"> check arose following the observation that even in images that </w:t>
      </w:r>
      <w:r w:rsidR="005D3BA0">
        <w:t xml:space="preserve">met </w:t>
      </w:r>
      <w:r w:rsidR="00D9670F">
        <w:t xml:space="preserve">the subject-level </w:t>
      </w:r>
      <w:r w:rsidR="005D3BA0">
        <w:t>quality assurance</w:t>
      </w:r>
      <w:r w:rsidR="002E42CB">
        <w:t xml:space="preserve"> </w:t>
      </w:r>
      <w:r w:rsidR="005D3BA0">
        <w:t xml:space="preserve">criteria </w:t>
      </w:r>
      <w:r w:rsidR="002E42CB">
        <w:t>described above</w:t>
      </w:r>
      <w:r w:rsidR="00D9670F">
        <w:t xml:space="preserve">, individual ROI time series </w:t>
      </w:r>
      <w:r w:rsidR="005D4D70">
        <w:t>contained</w:t>
      </w:r>
      <w:r w:rsidR="00D9670F">
        <w:t xml:space="preserve"> anomalies (</w:t>
      </w:r>
      <w:r w:rsidR="005D3BA0">
        <w:t xml:space="preserve">e.g., spikes, bursts, </w:t>
      </w:r>
      <w:r w:rsidR="00D9670F">
        <w:t>and other no</w:t>
      </w:r>
      <w:r w:rsidR="00B5023C">
        <w:t xml:space="preserve">ise).  Roughly 4-8% of ROI time series </w:t>
      </w:r>
      <w:r w:rsidR="005D3BA0">
        <w:t>were</w:t>
      </w:r>
      <w:r w:rsidR="00B5023C">
        <w:t xml:space="preserve"> rejected on this basis.  </w:t>
      </w:r>
      <w:r w:rsidR="00D9670F">
        <w:t>A systematic analysis of the root causes for these</w:t>
      </w:r>
      <w:r w:rsidR="005D4D70">
        <w:t xml:space="preserve"> anomalies</w:t>
      </w:r>
      <w:r w:rsidR="00B5023C">
        <w:t xml:space="preserve"> has not been attempted.</w:t>
      </w:r>
    </w:p>
    <w:p w:rsidR="00094241" w:rsidRDefault="005D4D70" w:rsidP="005B6A7D">
      <w:r>
        <w:t>It is possible that the</w:t>
      </w:r>
      <w:r w:rsidR="005D3BA0">
        <w:t xml:space="preserve"> </w:t>
      </w:r>
      <w:r>
        <w:t>quality assurance criteria described here are too conservative as the data yield is only 11% (98 scans “survive”</w:t>
      </w:r>
      <w:r w:rsidR="00DD3DF1">
        <w:t xml:space="preserve"> from a starting set of 886).  The strategy here is to start with strict criteria to establish findings as solidly and cleanly as possible.  Conclusions could be revisited on an iterative basis wherein particular quality tests are systematically relaxed.</w:t>
      </w:r>
    </w:p>
    <w:p w:rsidR="00BB0BD6" w:rsidRDefault="000642DB" w:rsidP="005B6A7D">
      <w:pPr>
        <w:pStyle w:val="Heading2"/>
      </w:pPr>
      <w:r>
        <w:t>Statistical analysis</w:t>
      </w:r>
    </w:p>
    <w:p w:rsidR="00B4155B" w:rsidRDefault="00A85B89" w:rsidP="00A85B89">
      <w:pPr>
        <w:pStyle w:val="Heading3"/>
      </w:pPr>
      <w:r>
        <w:t>Volumetric correlation analysis</w:t>
      </w:r>
    </w:p>
    <w:p w:rsidR="00A85B89" w:rsidRPr="00A85B89" w:rsidRDefault="00A85B89" w:rsidP="00A85B89">
      <w:r>
        <w:t>Text here.</w:t>
      </w:r>
    </w:p>
    <w:p w:rsidR="00D93C9E" w:rsidRDefault="00B4155B" w:rsidP="00D93C9E">
      <w:pPr>
        <w:pStyle w:val="Heading3"/>
      </w:pPr>
      <w:r>
        <w:t>P</w:t>
      </w:r>
      <w:r w:rsidR="00D93C9E">
        <w:t>air-wise correlation analysis</w:t>
      </w:r>
    </w:p>
    <w:p w:rsidR="00D93C9E" w:rsidRDefault="002D0626" w:rsidP="00425E55">
      <w:r>
        <w:t>The goal of</w:t>
      </w:r>
      <w:r w:rsidR="000C7A88">
        <w:t xml:space="preserve"> pair-wise correlation analysis </w:t>
      </w:r>
      <w:r>
        <w:t xml:space="preserve">is to determine whether and to what degree there </w:t>
      </w:r>
      <w:r w:rsidR="00A85B89">
        <w:t>exist</w:t>
      </w:r>
      <w:r>
        <w:t xml:space="preserve"> statistically significant differences </w:t>
      </w:r>
      <w:r w:rsidR="00A73698">
        <w:t xml:space="preserve">in </w:t>
      </w:r>
      <w:r>
        <w:t>correlation structure between the Cognitively Normal, Mild Cognitively Impaired and Dementia cli</w:t>
      </w:r>
      <w:r w:rsidR="00A73698">
        <w:t>nical group</w:t>
      </w:r>
      <w:r>
        <w:t xml:space="preserve">.  </w:t>
      </w:r>
      <w:r w:rsidR="00A85B89">
        <w:t>The core statistical inference method is the</w:t>
      </w:r>
      <w:r w:rsidR="00990380">
        <w:t xml:space="preserve"> </w:t>
      </w:r>
      <w:r w:rsidR="00990380" w:rsidRPr="00990380">
        <w:rPr>
          <w:i/>
        </w:rPr>
        <w:t>post hoc</w:t>
      </w:r>
      <w:r w:rsidR="00990380">
        <w:t xml:space="preserve"> </w:t>
      </w:r>
      <w:r w:rsidR="00A85B89" w:rsidRPr="000C7A88">
        <w:rPr>
          <w:i/>
        </w:rPr>
        <w:t>t</w:t>
      </w:r>
      <w:r w:rsidR="00DD3DF1">
        <w:rPr>
          <w:i/>
        </w:rPr>
        <w:t xml:space="preserve"> </w:t>
      </w:r>
      <w:r w:rsidR="00DD3DF1" w:rsidRPr="00DD3DF1">
        <w:t>test</w:t>
      </w:r>
      <w:r w:rsidR="00990380">
        <w:t xml:space="preserve"> </w:t>
      </w:r>
      <w:r w:rsidR="000C7A88">
        <w:t xml:space="preserve">applied </w:t>
      </w:r>
      <w:r w:rsidR="00990380">
        <w:t>pair-wise between clinical subpopulations</w:t>
      </w:r>
      <w:r>
        <w:t xml:space="preserve"> taking into account </w:t>
      </w:r>
      <w:r w:rsidR="00A73698">
        <w:t xml:space="preserve">large-scale </w:t>
      </w:r>
      <w:r>
        <w:t>multiple testing</w:t>
      </w:r>
      <w:r w:rsidR="00BD6E9A">
        <w:t xml:space="preserve"> (Efron and Tibshirani, 1993; Westfall and Young, 1993; Benjamini and Hochberg, 1995; Nichols and Holmes, 2002; Westfall and Troendle, 2008; Efron, </w:t>
      </w:r>
      <w:r w:rsidR="00003390">
        <w:t>2004, 2010</w:t>
      </w:r>
      <w:r w:rsidR="00BD6E9A">
        <w:t>)</w:t>
      </w:r>
      <w:r>
        <w:t xml:space="preserve">.  </w:t>
      </w:r>
      <w:r w:rsidR="00990380">
        <w:t>P</w:t>
      </w:r>
      <w:r w:rsidR="00425E55">
        <w:t xml:space="preserve">air-wise correlation analysis </w:t>
      </w:r>
      <w:r w:rsidR="00A85B89">
        <w:t xml:space="preserve">is </w:t>
      </w:r>
      <w:r w:rsidR="00DD3DF1">
        <w:t>conducted</w:t>
      </w:r>
      <w:r w:rsidR="00A85B89">
        <w:t xml:space="preserve"> separately</w:t>
      </w:r>
      <w:r w:rsidR="00425E55">
        <w:t xml:space="preserve"> </w:t>
      </w:r>
      <w:r w:rsidR="00990380">
        <w:t>on</w:t>
      </w:r>
      <w:r w:rsidR="00425E55">
        <w:t xml:space="preserve"> </w:t>
      </w:r>
      <w:r w:rsidR="00705D68">
        <w:t xml:space="preserve">three levels: </w:t>
      </w:r>
      <w:r w:rsidR="007174D9">
        <w:t xml:space="preserve">a) </w:t>
      </w:r>
      <w:r w:rsidR="0069226B">
        <w:t>intra-N</w:t>
      </w:r>
      <w:r w:rsidR="00705D68">
        <w:t>etwork</w:t>
      </w:r>
      <w:r w:rsidR="00990380">
        <w:t xml:space="preserve"> (</w:t>
      </w:r>
      <w:r w:rsidR="007174D9">
        <w:t>RSN or anatomical region</w:t>
      </w:r>
      <w:r w:rsidR="00990380">
        <w:t xml:space="preserve">); </w:t>
      </w:r>
      <w:r w:rsidR="007174D9">
        <w:t>b</w:t>
      </w:r>
      <w:r w:rsidR="00705D68">
        <w:t>) int</w:t>
      </w:r>
      <w:r w:rsidR="0069226B">
        <w:t>er-N</w:t>
      </w:r>
      <w:r>
        <w:t>etwork</w:t>
      </w:r>
      <w:r w:rsidR="007174D9">
        <w:t xml:space="preserve"> (RSNs or anatomical regions</w:t>
      </w:r>
      <w:r w:rsidR="00990380">
        <w:t>)</w:t>
      </w:r>
      <w:r w:rsidR="007174D9">
        <w:t xml:space="preserve">; and c) </w:t>
      </w:r>
      <w:r w:rsidR="0069226B">
        <w:t>inter-N</w:t>
      </w:r>
      <w:r w:rsidR="007174D9">
        <w:t>ode (individual RSN nodes or individual anatomical sub-regions).</w:t>
      </w:r>
    </w:p>
    <w:p w:rsidR="00D93C9E" w:rsidRDefault="00705D68" w:rsidP="00425E55">
      <w:r w:rsidRPr="00E453DE">
        <w:rPr>
          <w:i/>
        </w:rPr>
        <w:t>I</w:t>
      </w:r>
      <w:r w:rsidR="000D67E2">
        <w:rPr>
          <w:i/>
        </w:rPr>
        <w:t>ntra-RSN (Intra-Network</w:t>
      </w:r>
      <w:r w:rsidR="00B111DC">
        <w:rPr>
          <w:i/>
        </w:rPr>
        <w:t>)</w:t>
      </w:r>
      <w:r w:rsidR="00B4155B" w:rsidRPr="00E453DE">
        <w:rPr>
          <w:i/>
        </w:rPr>
        <w:t>.</w:t>
      </w:r>
      <w:r w:rsidR="00B4155B">
        <w:t xml:space="preserve">  Brier, et al., defined a composite score </w:t>
      </w:r>
      <w:r w:rsidR="00E453DE">
        <w:t>that</w:t>
      </w:r>
      <w:r w:rsidR="00B4155B">
        <w:t xml:space="preserve"> </w:t>
      </w:r>
      <w:r w:rsidR="009A12FB">
        <w:t>provides an aggregate measure of the</w:t>
      </w:r>
      <w:r w:rsidR="00B4155B">
        <w:t xml:space="preserve"> internal correlation structure of an RSN</w:t>
      </w:r>
      <w:r w:rsidR="00D93C9E">
        <w:t xml:space="preserve">.  </w:t>
      </w:r>
      <w:r w:rsidR="00673683">
        <w:t>For example, the</w:t>
      </w:r>
      <w:r w:rsidR="00D93C9E">
        <w:t xml:space="preserve"> </w:t>
      </w:r>
      <w:r w:rsidR="00B4155B">
        <w:t xml:space="preserve">Brier composite score </w:t>
      </w:r>
      <w:r w:rsidR="00ED2422" w:rsidRPr="00ED2422">
        <w:rPr>
          <w:i/>
        </w:rPr>
        <w:t>c</w:t>
      </w:r>
      <w:r w:rsidR="00ED2422">
        <w:t xml:space="preserve"> </w:t>
      </w:r>
      <w:r w:rsidR="00B4155B">
        <w:t xml:space="preserve">for subject </w:t>
      </w:r>
      <w:r w:rsidR="00B4155B" w:rsidRPr="00E16356">
        <w:rPr>
          <w:i/>
        </w:rPr>
        <w:t>k</w:t>
      </w:r>
      <w:r w:rsidR="00B4155B">
        <w:t xml:space="preserve"> </w:t>
      </w:r>
      <w:r w:rsidR="00E02024">
        <w:t xml:space="preserve">DMN </w:t>
      </w:r>
      <w:r w:rsidR="00B4155B">
        <w:t xml:space="preserve">is the </w:t>
      </w:r>
      <w:r w:rsidR="00ED2422">
        <w:t xml:space="preserve">simple </w:t>
      </w:r>
      <w:r w:rsidR="00B4155B">
        <w:t xml:space="preserve">average of the Fisher z-transformed </w:t>
      </w:r>
      <w:r w:rsidR="00ED2422">
        <w:t>(</w:t>
      </w:r>
      <w:r w:rsidR="00ED2422" w:rsidRPr="00ED2422">
        <w:rPr>
          <w:i/>
        </w:rPr>
        <w:t>z</w:t>
      </w:r>
      <w:r w:rsidR="00ED2422">
        <w:t xml:space="preserve">) </w:t>
      </w:r>
      <w:r w:rsidR="00B4155B">
        <w:t xml:space="preserve">Pearson correlation </w:t>
      </w:r>
      <w:r w:rsidR="00E16356">
        <w:t xml:space="preserve">coefficients </w:t>
      </w:r>
      <w:r w:rsidR="00ED2422">
        <w:t>(</w:t>
      </w:r>
      <w:r w:rsidR="00ED2422" w:rsidRPr="00ED2422">
        <w:rPr>
          <w:i/>
        </w:rPr>
        <w:t>r</w:t>
      </w:r>
      <w:r w:rsidR="00ED2422">
        <w:t xml:space="preserve">) </w:t>
      </w:r>
      <w:r w:rsidR="00B4155B">
        <w:t xml:space="preserve">over the set of 36 possible </w:t>
      </w:r>
      <w:r w:rsidR="00E16356">
        <w:rPr>
          <w:i/>
        </w:rPr>
        <w:t xml:space="preserve">within </w:t>
      </w:r>
      <w:r w:rsidR="00E16356" w:rsidRPr="00E16356">
        <w:t>DMN</w:t>
      </w:r>
      <w:r w:rsidR="00E16356">
        <w:rPr>
          <w:i/>
        </w:rPr>
        <w:t xml:space="preserve"> </w:t>
      </w:r>
      <w:r w:rsidR="00B4155B" w:rsidRPr="00E16356">
        <w:t>RSN</w:t>
      </w:r>
      <w:r w:rsidR="009A12FB">
        <w:t xml:space="preserve"> node pairs</w:t>
      </w:r>
      <w:r w:rsidR="00E16356">
        <w:t>.</w:t>
      </w:r>
      <w:r w:rsidR="009A12FB">
        <w:t xml:space="preserve">  </w:t>
      </w:r>
      <w:r w:rsidR="000C7A88">
        <w:t>For</w:t>
      </w:r>
      <w:r w:rsidR="009A12FB">
        <w:t xml:space="preserve"> RSN network X, X </w:t>
      </w:r>
      <w:r w:rsidR="009A12FB">
        <w:rPr>
          <w:rFonts w:cstheme="minorHAnsi"/>
        </w:rPr>
        <w:t xml:space="preserve">ϵ </w:t>
      </w:r>
      <w:r w:rsidR="009A12FB">
        <w:t xml:space="preserve">{CON, DAN, DMN, SAL, SMN}, </w:t>
      </w:r>
      <w:r w:rsidR="00D93C9E">
        <w:t xml:space="preserve">the </w:t>
      </w:r>
      <w:r w:rsidR="00ED2422">
        <w:t xml:space="preserve">Brier </w:t>
      </w:r>
      <w:r w:rsidR="00D93C9E">
        <w:t>composite score for subject k is:</w:t>
      </w:r>
    </w:p>
    <w:p w:rsidR="009A12FB" w:rsidRPr="00ED2422" w:rsidRDefault="00D1001F" w:rsidP="00ED2422">
      <w:pPr>
        <w:jc w:val="center"/>
        <w:rPr>
          <w:rFonts w:eastAsiaTheme="minorEastAsia"/>
        </w:rPr>
      </w:pPr>
      <m:oMath>
        <m:sSubSup>
          <m:sSubSupPr>
            <m:ctrlPr>
              <w:rPr>
                <w:rFonts w:ascii="Cambria Math" w:hAnsi="Cambria Math"/>
                <w:i/>
              </w:rPr>
            </m:ctrlPr>
          </m:sSubSupPr>
          <m:e>
            <m:r>
              <w:rPr>
                <w:rFonts w:ascii="Cambria Math" w:hAnsi="Cambria Math"/>
              </w:rPr>
              <m:t>c</m:t>
            </m:r>
          </m:e>
          <m:sub>
            <m:r>
              <w:rPr>
                <w:rFonts w:ascii="Cambria Math" w:hAnsi="Cambria Math"/>
              </w:rPr>
              <m:t>k</m:t>
            </m:r>
          </m:sub>
          <m:sup>
            <m:r>
              <w:rPr>
                <w:rFonts w:ascii="Cambria Math" w:hAnsi="Cambria Math"/>
              </w:rPr>
              <m:t>X</m:t>
            </m:r>
          </m:sup>
        </m:sSubSup>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ijk</m:t>
                    </m:r>
                  </m:sub>
                </m:sSub>
              </m:e>
            </m:d>
          </m:e>
          <m:sub>
            <m:r>
              <w:rPr>
                <w:rFonts w:ascii="Cambria Math" w:hAnsi="Cambria Math"/>
              </w:rPr>
              <m:t>i</m:t>
            </m:r>
            <m:r>
              <m:rPr>
                <m:sty m:val="p"/>
              </m:rPr>
              <w:rPr>
                <w:rFonts w:ascii="Cambria Math" w:hAnsi="Cambria Math" w:cstheme="minorHAnsi"/>
              </w:rPr>
              <m:t>ϵ</m:t>
            </m:r>
            <m:r>
              <m:rPr>
                <m:sty m:val="p"/>
              </m:rPr>
              <w:rPr>
                <w:rFonts w:ascii="Cambria Math" w:cstheme="minorHAnsi"/>
              </w:rPr>
              <m:t>X,</m:t>
            </m:r>
            <m:r>
              <w:rPr>
                <w:rFonts w:ascii="Cambria Math" w:hAnsi="Cambria Math"/>
              </w:rPr>
              <m:t>j</m:t>
            </m:r>
            <m:r>
              <m:rPr>
                <m:sty m:val="p"/>
              </m:rPr>
              <w:rPr>
                <w:rFonts w:ascii="Cambria Math" w:hAnsi="Cambria Math" w:cstheme="minorHAnsi"/>
              </w:rPr>
              <m:t>ϵ</m:t>
            </m:r>
            <m:r>
              <m:rPr>
                <m:sty m:val="p"/>
              </m:rPr>
              <w:rPr>
                <w:rFonts w:ascii="Cambria Math" w:cstheme="minorHAnsi"/>
              </w:rPr>
              <m:t>X</m:t>
            </m:r>
          </m:sub>
        </m:sSub>
      </m:oMath>
      <w:r w:rsidR="00673683">
        <w:rPr>
          <w:rFonts w:eastAsiaTheme="minorEastAsia"/>
        </w:rPr>
        <w:tab/>
      </w:r>
      <w:r w:rsidR="00673683">
        <w:rPr>
          <w:rFonts w:eastAsiaTheme="minorEastAsia"/>
        </w:rPr>
        <w:tab/>
        <w:t>(1)</w:t>
      </w:r>
    </w:p>
    <w:p w:rsidR="009A12FB" w:rsidRPr="00A73698" w:rsidRDefault="009A12FB" w:rsidP="00ED2422">
      <w:pPr>
        <w:jc w:val="center"/>
        <w:rPr>
          <w:rFonts w:eastAsiaTheme="minorEastAsia"/>
        </w:rPr>
      </w:pPr>
      <m:oMath>
        <m:r>
          <w:rPr>
            <w:rFonts w:ascii="Cambria Math" w:eastAsiaTheme="minorEastAsia" w:hAnsi="Cambria Math"/>
          </w:rPr>
          <w:lastRenderedPageBreak/>
          <m:t>z</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(1+r)</m:t>
                </m:r>
              </m:num>
              <m:den>
                <m:r>
                  <w:rPr>
                    <w:rFonts w:ascii="Cambria Math" w:hAnsi="Cambria Math"/>
                  </w:rPr>
                  <m:t>(1-r)</m:t>
                </m:r>
              </m:den>
            </m:f>
          </m:e>
        </m:func>
      </m:oMath>
      <w:r w:rsidR="00ED2422" w:rsidRPr="00A73698">
        <w:rPr>
          <w:rFonts w:eastAsiaTheme="minorEastAsia"/>
        </w:rPr>
        <w:t>.</w:t>
      </w:r>
      <w:r w:rsidR="00673683" w:rsidRPr="00A73698">
        <w:rPr>
          <w:rFonts w:eastAsiaTheme="minorEastAsia"/>
        </w:rPr>
        <w:tab/>
      </w:r>
      <w:r w:rsidR="00673683" w:rsidRPr="00A73698">
        <w:rPr>
          <w:rFonts w:eastAsiaTheme="minorEastAsia"/>
        </w:rPr>
        <w:tab/>
        <w:t>(2)</w:t>
      </w:r>
    </w:p>
    <w:p w:rsidR="00111EC2" w:rsidRDefault="000C7A88" w:rsidP="00425E55">
      <w:r>
        <w:t xml:space="preserve">Brier, et al., then perform one-way ANOVA </w:t>
      </w:r>
      <w:r w:rsidR="00ED2422">
        <w:t xml:space="preserve">and </w:t>
      </w:r>
      <w:r w:rsidR="00DD3DF1" w:rsidRPr="00DD3DF1">
        <w:rPr>
          <w:i/>
        </w:rPr>
        <w:t xml:space="preserve">post </w:t>
      </w:r>
      <w:r w:rsidRPr="00DD3DF1">
        <w:rPr>
          <w:i/>
        </w:rPr>
        <w:t>hoc</w:t>
      </w:r>
      <w:r>
        <w:t xml:space="preserve"> pair-wise </w:t>
      </w:r>
      <w:r w:rsidRPr="007F079A">
        <w:rPr>
          <w:i/>
        </w:rPr>
        <w:t>t</w:t>
      </w:r>
      <w:r w:rsidR="00DD3DF1">
        <w:t xml:space="preserve"> </w:t>
      </w:r>
      <w:r>
        <w:t>tests</w:t>
      </w:r>
      <w:r w:rsidR="00ED2422">
        <w:t xml:space="preserve"> </w:t>
      </w:r>
      <w:r>
        <w:t>per RSN network</w:t>
      </w:r>
      <w:r w:rsidR="00D93C9E">
        <w:t xml:space="preserve"> for </w:t>
      </w:r>
      <w:r w:rsidR="007D52D6">
        <w:t>the three</w:t>
      </w:r>
      <w:r w:rsidR="00D93C9E">
        <w:t xml:space="preserve"> clinical group</w:t>
      </w:r>
      <w:r w:rsidR="007D52D6">
        <w:t>s</w:t>
      </w:r>
      <w:r w:rsidR="00E02024">
        <w:t xml:space="preserve"> </w:t>
      </w:r>
      <w:r w:rsidR="00BD6E9A">
        <w:t>(</w:t>
      </w:r>
      <w:r w:rsidR="00E02024">
        <w:t xml:space="preserve">Bonferroni </w:t>
      </w:r>
      <w:r w:rsidR="00BD6E9A">
        <w:t>corrected</w:t>
      </w:r>
      <w:r w:rsidR="00E02024">
        <w:t xml:space="preserve"> for N=5 tests</w:t>
      </w:r>
      <w:r w:rsidR="00BD6E9A">
        <w:t>)</w:t>
      </w:r>
      <w:r w:rsidR="00E02024">
        <w:t>.</w:t>
      </w:r>
      <w:r w:rsidR="00111EC2">
        <w:t xml:space="preserve">  The present study adopts </w:t>
      </w:r>
      <w:r w:rsidR="00DD3DF1">
        <w:t>a similar</w:t>
      </w:r>
      <w:r w:rsidR="00111EC2">
        <w:t xml:space="preserve"> approac</w:t>
      </w:r>
      <w:r w:rsidR="0069226B">
        <w:t xml:space="preserve">h for analysis of RSN networks in </w:t>
      </w:r>
      <w:r w:rsidR="00111EC2">
        <w:t xml:space="preserve">the ADNI </w:t>
      </w:r>
      <w:r w:rsidR="0069226B">
        <w:t xml:space="preserve">2 </w:t>
      </w:r>
      <w:r w:rsidR="00111EC2">
        <w:t>rsfMRI data.</w:t>
      </w:r>
    </w:p>
    <w:p w:rsidR="00111EC2" w:rsidRDefault="00111EC2" w:rsidP="00425E55">
      <w:r>
        <w:t xml:space="preserve">The present study </w:t>
      </w:r>
      <w:r w:rsidR="0069226B">
        <w:t xml:space="preserve">further </w:t>
      </w:r>
      <w:r>
        <w:t xml:space="preserve">applies the Brier composite score approach to atlas-derived ROI seeds.  For the Eickhoff-Ziller and Mackey-Petrides ROIs, the anatomical region labels are analogous to the RSN-level labels.  </w:t>
      </w:r>
      <w:r w:rsidR="00BF0A7C">
        <w:t xml:space="preserve">The Eickhoff-Ziller ROIs were grouped into 15 “networks”.  </w:t>
      </w:r>
      <w:r>
        <w:t xml:space="preserve">For example, in the Eickhoff-Ziller representation of the hippocampus, the intra-hippocampal “network” contains 10 </w:t>
      </w:r>
      <w:r w:rsidR="00DD3DF1">
        <w:t xml:space="preserve">anatomical sub-regions (e.g., </w:t>
      </w:r>
      <w:r>
        <w:t>nodes</w:t>
      </w:r>
      <w:r w:rsidR="00DD3DF1">
        <w:t>),</w:t>
      </w:r>
      <w:r>
        <w:t xml:space="preserve"> (5 left, 5 right) </w:t>
      </w:r>
      <w:r w:rsidR="000D67E2">
        <w:t xml:space="preserve">giving rise to 45 pair-wise intra-RSN correlations, </w:t>
      </w:r>
      <w:r>
        <w:t>and the thalamus “network” contains 14 (7 left, 7 right) nodes</w:t>
      </w:r>
      <w:r w:rsidR="000D67E2">
        <w:t xml:space="preserve"> giving rise to 91 pair-wise intra-RSN correlations</w:t>
      </w:r>
      <w:r>
        <w:t xml:space="preserve">.  For the Mackey-Petrides-derived ROI seeds, in perhaps a bit of overuse of this approach, the 16 </w:t>
      </w:r>
      <w:r w:rsidR="00BF0A7C">
        <w:t>sub-regions</w:t>
      </w:r>
      <w:r>
        <w:t xml:space="preserve"> </w:t>
      </w:r>
      <w:r w:rsidR="00BF0A7C">
        <w:t>were</w:t>
      </w:r>
      <w:r>
        <w:t xml:space="preserve"> partitioned into 8 t</w:t>
      </w:r>
      <w:r w:rsidR="000D67E2">
        <w:t xml:space="preserve">wo-node </w:t>
      </w:r>
      <w:r>
        <w:t>“networks”</w:t>
      </w:r>
      <w:r w:rsidR="00BF0A7C">
        <w:t xml:space="preserve"> such that the sole intra-Network correlation pair is that </w:t>
      </w:r>
      <w:r w:rsidR="000D67E2">
        <w:t>between corresponding left and right hemispheric anatomical sub-regions.</w:t>
      </w:r>
    </w:p>
    <w:p w:rsidR="00BF0A7C" w:rsidRDefault="00BF0A7C" w:rsidP="00BF0A7C">
      <w:r w:rsidRPr="00E453DE">
        <w:rPr>
          <w:i/>
        </w:rPr>
        <w:t>I</w:t>
      </w:r>
      <w:r>
        <w:rPr>
          <w:i/>
        </w:rPr>
        <w:t>nter-RSN (Inter-Network)</w:t>
      </w:r>
      <w:r w:rsidRPr="00E453DE">
        <w:rPr>
          <w:i/>
        </w:rPr>
        <w:t>.</w:t>
      </w:r>
      <w:r>
        <w:t xml:space="preserve">  Brier, et al., extended the definition of a composite score to provide an aggregate measure of the correlation between RSNs.  For RSN network X and Y, where X</w:t>
      </w:r>
      <w:r w:rsidR="00DD3DF1">
        <w:t>, Y</w:t>
      </w:r>
      <w:r>
        <w:t xml:space="preserve"> </w:t>
      </w:r>
      <w:r>
        <w:rPr>
          <w:rFonts w:cstheme="minorHAnsi"/>
        </w:rPr>
        <w:t xml:space="preserve">ϵ </w:t>
      </w:r>
      <w:r>
        <w:t>{CON, DAN, DMN, SAL, SMN}, the Brier composite score for subject k is:</w:t>
      </w:r>
    </w:p>
    <w:p w:rsidR="00BF0A7C" w:rsidRPr="00ED2422" w:rsidRDefault="00D1001F" w:rsidP="00BF0A7C">
      <w:pPr>
        <w:jc w:val="center"/>
        <w:rPr>
          <w:rFonts w:eastAsiaTheme="minorEastAsia"/>
        </w:rPr>
      </w:pPr>
      <m:oMath>
        <m:sSubSup>
          <m:sSubSupPr>
            <m:ctrlPr>
              <w:rPr>
                <w:rFonts w:ascii="Cambria Math" w:hAnsi="Cambria Math"/>
                <w:i/>
              </w:rPr>
            </m:ctrlPr>
          </m:sSubSupPr>
          <m:e>
            <m:r>
              <w:rPr>
                <w:rFonts w:ascii="Cambria Math" w:hAnsi="Cambria Math"/>
              </w:rPr>
              <m:t>c</m:t>
            </m:r>
          </m:e>
          <m:sub>
            <m:r>
              <w:rPr>
                <w:rFonts w:ascii="Cambria Math" w:hAnsi="Cambria Math"/>
              </w:rPr>
              <m:t>k</m:t>
            </m:r>
          </m:sub>
          <m:sup>
            <m:r>
              <w:rPr>
                <w:rFonts w:ascii="Cambria Math" w:hAnsi="Cambria Math"/>
              </w:rPr>
              <m:t>X,Y</m:t>
            </m:r>
          </m:sup>
        </m:sSubSup>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ijk</m:t>
                    </m:r>
                  </m:sub>
                </m:sSub>
              </m:e>
            </m:d>
          </m:e>
          <m:sub>
            <m:r>
              <w:rPr>
                <w:rFonts w:ascii="Cambria Math" w:hAnsi="Cambria Math"/>
              </w:rPr>
              <m:t>i</m:t>
            </m:r>
            <m:r>
              <m:rPr>
                <m:sty m:val="p"/>
              </m:rPr>
              <w:rPr>
                <w:rFonts w:ascii="Cambria Math" w:hAnsi="Cambria Math" w:cstheme="minorHAnsi"/>
              </w:rPr>
              <m:t>ϵ</m:t>
            </m:r>
            <m:r>
              <m:rPr>
                <m:sty m:val="p"/>
              </m:rPr>
              <w:rPr>
                <w:rFonts w:ascii="Cambria Math" w:cstheme="minorHAnsi"/>
              </w:rPr>
              <m:t>X,</m:t>
            </m:r>
            <m:r>
              <w:rPr>
                <w:rFonts w:ascii="Cambria Math" w:hAnsi="Cambria Math"/>
              </w:rPr>
              <m:t>j</m:t>
            </m:r>
            <m:r>
              <m:rPr>
                <m:sty m:val="p"/>
              </m:rPr>
              <w:rPr>
                <w:rFonts w:ascii="Cambria Math" w:hAnsi="Cambria Math" w:cstheme="minorHAnsi"/>
              </w:rPr>
              <m:t>ϵ</m:t>
            </m:r>
            <m:r>
              <m:rPr>
                <m:sty m:val="p"/>
              </m:rPr>
              <w:rPr>
                <w:rFonts w:ascii="Cambria Math" w:cstheme="minorHAnsi"/>
              </w:rPr>
              <m:t>Y</m:t>
            </m:r>
          </m:sub>
        </m:sSub>
      </m:oMath>
      <w:r w:rsidR="00BF0A7C">
        <w:rPr>
          <w:rFonts w:eastAsiaTheme="minorEastAsia"/>
        </w:rPr>
        <w:tab/>
      </w:r>
      <w:r w:rsidR="00BF0A7C">
        <w:rPr>
          <w:rFonts w:eastAsiaTheme="minorEastAsia"/>
        </w:rPr>
        <w:tab/>
        <w:t>(1)</w:t>
      </w:r>
    </w:p>
    <w:p w:rsidR="00BF0A7C" w:rsidRDefault="00BF0A7C" w:rsidP="00BF0A7C">
      <w:r>
        <w:t>Brier, et al., then</w:t>
      </w:r>
      <w:r w:rsidR="00DD3DF1">
        <w:t xml:space="preserve"> perform one-way ANOVA and </w:t>
      </w:r>
      <w:r w:rsidR="00DD3DF1" w:rsidRPr="00DD3DF1">
        <w:rPr>
          <w:i/>
        </w:rPr>
        <w:t xml:space="preserve">post </w:t>
      </w:r>
      <w:r w:rsidRPr="00DD3DF1">
        <w:rPr>
          <w:i/>
        </w:rPr>
        <w:t>hoc</w:t>
      </w:r>
      <w:r>
        <w:t xml:space="preserve"> pair-wise </w:t>
      </w:r>
      <w:r w:rsidRPr="007F079A">
        <w:rPr>
          <w:i/>
        </w:rPr>
        <w:t>t</w:t>
      </w:r>
      <w:r w:rsidR="00DD3DF1">
        <w:t xml:space="preserve"> </w:t>
      </w:r>
      <w:r>
        <w:t xml:space="preserve">tests per RSN network for the three clinical groups (Bonferroni corrected for N=10 tests).  The present study adopts </w:t>
      </w:r>
      <w:r w:rsidR="00DD3DF1">
        <w:t>a similar</w:t>
      </w:r>
      <w:r>
        <w:t xml:space="preserve"> approach for analysis of RSN networks in the ADNI 2 </w:t>
      </w:r>
      <w:r w:rsidR="0069226B">
        <w:t xml:space="preserve">rsfMRI data.  </w:t>
      </w:r>
      <w:r>
        <w:t xml:space="preserve">The present study </w:t>
      </w:r>
      <w:r w:rsidR="0069226B">
        <w:t xml:space="preserve">further </w:t>
      </w:r>
      <w:r>
        <w:t xml:space="preserve">applies the Brier composite score approach to atlas-derived ROI seeds and networks.  </w:t>
      </w:r>
      <w:r w:rsidR="0069226B">
        <w:t xml:space="preserve">The 15 </w:t>
      </w:r>
      <w:r>
        <w:t xml:space="preserve">Eickhoff-Ziller </w:t>
      </w:r>
      <w:r w:rsidR="0069226B">
        <w:t xml:space="preserve">“networks” give rise to N=105 pair-wise inter-Network tests.  The 8 </w:t>
      </w:r>
      <w:r>
        <w:t xml:space="preserve">Mackey-Petrides </w:t>
      </w:r>
      <w:r w:rsidR="0069226B">
        <w:t>“networks” give rise to N=28 pair-wise inter-Network tests.</w:t>
      </w:r>
    </w:p>
    <w:p w:rsidR="000C236C" w:rsidRDefault="00554B31" w:rsidP="00BF0A7C">
      <w:r w:rsidRPr="00E453DE">
        <w:rPr>
          <w:i/>
        </w:rPr>
        <w:t>I</w:t>
      </w:r>
      <w:r>
        <w:rPr>
          <w:i/>
        </w:rPr>
        <w:t>nter-Node</w:t>
      </w:r>
      <w:r w:rsidRPr="00E453DE">
        <w:rPr>
          <w:i/>
        </w:rPr>
        <w:t>.</w:t>
      </w:r>
      <w:r>
        <w:t xml:space="preserve">  Brier, et al., </w:t>
      </w:r>
      <w:r w:rsidR="008C61FB">
        <w:t xml:space="preserve">analyzed </w:t>
      </w:r>
      <w:r>
        <w:t xml:space="preserve">correlation at the level of RSN node pairs by computing </w:t>
      </w:r>
      <w:r w:rsidR="00DD3DF1">
        <w:t xml:space="preserve">an </w:t>
      </w:r>
      <w:r>
        <w:t>“</w:t>
      </w:r>
      <w:r w:rsidR="00AD18DD">
        <w:t>expanded seed ROI</w:t>
      </w:r>
      <w:r>
        <w:t>”</w:t>
      </w:r>
      <w:r w:rsidR="00AD18DD">
        <w:t xml:space="preserve"> for </w:t>
      </w:r>
      <w:r w:rsidR="008C61FB">
        <w:t xml:space="preserve">each of </w:t>
      </w:r>
      <w:r w:rsidR="00AD18DD">
        <w:t xml:space="preserve">the </w:t>
      </w:r>
      <w:r w:rsidR="008C61FB">
        <w:t xml:space="preserve">nine (9) </w:t>
      </w:r>
      <w:r w:rsidR="00AD18DD">
        <w:t>DMN node</w:t>
      </w:r>
      <w:r w:rsidR="008C61FB">
        <w:t xml:space="preserve">s.  An </w:t>
      </w:r>
      <w:r>
        <w:t xml:space="preserve">expanded seed ROI was obtained by sub-sampling the </w:t>
      </w:r>
      <w:r w:rsidR="008C61FB">
        <w:t xml:space="preserve">(equally-weighted) </w:t>
      </w:r>
      <w:r>
        <w:t xml:space="preserve">group-averaged Fisher z-transformed </w:t>
      </w:r>
      <w:r w:rsidR="00DD3DF1">
        <w:t xml:space="preserve">Pearson </w:t>
      </w:r>
      <w:r>
        <w:t xml:space="preserve">correlation maps in the regions surrounding the original </w:t>
      </w:r>
      <w:r w:rsidR="008C61FB">
        <w:t xml:space="preserve">seeds </w:t>
      </w:r>
      <w:r>
        <w:t>s</w:t>
      </w:r>
      <w:r w:rsidR="00AD18DD">
        <w:t xml:space="preserve">ubject to a threshold criterion (|z|=0.3).  The average time series was obtained from </w:t>
      </w:r>
      <w:r w:rsidR="008C61FB">
        <w:t xml:space="preserve">each of </w:t>
      </w:r>
      <w:r w:rsidR="00DD3DF1">
        <w:t>the expanded regions.  Their</w:t>
      </w:r>
      <w:r w:rsidR="008C61FB">
        <w:t xml:space="preserve"> </w:t>
      </w:r>
      <w:r w:rsidR="00D4745C">
        <w:t xml:space="preserve">pair-wise </w:t>
      </w:r>
      <w:r w:rsidR="008C61FB">
        <w:t>Pearson correlation coe</w:t>
      </w:r>
      <w:r w:rsidR="00D4745C">
        <w:t xml:space="preserve">fficients </w:t>
      </w:r>
      <w:r w:rsidR="00DD3DF1">
        <w:t xml:space="preserve">were computed, Fisher z-transformed, </w:t>
      </w:r>
      <w:r w:rsidR="00D4745C">
        <w:t xml:space="preserve">and stored.  </w:t>
      </w:r>
      <w:r w:rsidR="00DD3DF1">
        <w:t xml:space="preserve">Brier, et al., reported “inter-Node” results only </w:t>
      </w:r>
      <w:r w:rsidR="00D4745C">
        <w:t xml:space="preserve">for the DMN node posterior cingulate cortex (PCC) pair-wise with each of the other eight (8) nodes in the DMN.  Results </w:t>
      </w:r>
      <w:r w:rsidR="00DD3DF1">
        <w:t>comprised</w:t>
      </w:r>
      <w:r w:rsidR="00D4745C">
        <w:t xml:space="preserve"> a one-way ANOVA with three diagnosis group levels where </w:t>
      </w:r>
      <w:r w:rsidR="00D4745C" w:rsidRPr="00D4745C">
        <w:rPr>
          <w:i/>
        </w:rPr>
        <w:t>p</w:t>
      </w:r>
      <w:r w:rsidR="00DD3DF1">
        <w:t xml:space="preserve"> </w:t>
      </w:r>
      <w:r w:rsidR="00D4745C">
        <w:t>values were false discovery rate corrected to (</w:t>
      </w:r>
      <w:r w:rsidR="00D4745C" w:rsidRPr="00D4745C">
        <w:rPr>
          <w:i/>
        </w:rPr>
        <w:t>q</w:t>
      </w:r>
      <w:r w:rsidR="00D4745C">
        <w:t xml:space="preserve"> = 0.05) and select pair-wise </w:t>
      </w:r>
      <w:r w:rsidR="00D4745C" w:rsidRPr="00D4745C">
        <w:rPr>
          <w:i/>
        </w:rPr>
        <w:t>post hoc</w:t>
      </w:r>
      <w:r w:rsidR="00D4745C">
        <w:t xml:space="preserve"> </w:t>
      </w:r>
      <w:r w:rsidR="00D4745C" w:rsidRPr="007F079A">
        <w:rPr>
          <w:i/>
        </w:rPr>
        <w:t>t</w:t>
      </w:r>
      <w:r w:rsidR="00DD3DF1">
        <w:t xml:space="preserve"> </w:t>
      </w:r>
      <w:r w:rsidR="00D4745C">
        <w:t xml:space="preserve">tests were performed for significance and size effects with </w:t>
      </w:r>
      <w:r w:rsidR="00D4745C" w:rsidRPr="00D4745C">
        <w:rPr>
          <w:i/>
        </w:rPr>
        <w:t>p</w:t>
      </w:r>
      <w:r w:rsidR="00D4745C">
        <w:t xml:space="preserve"> &lt; 0.05.</w:t>
      </w:r>
    </w:p>
    <w:p w:rsidR="000C6F3D" w:rsidRDefault="00D4745C" w:rsidP="00BF0A7C">
      <w:r>
        <w:t>The present study completes analyses at the level of RSN and anatomical pairs using correlation matrices derived from original ROI seeds and expanded ROI seeds.  The approach taken here to computation of expanded ROI seeds is alm</w:t>
      </w:r>
      <w:r w:rsidR="00D60683">
        <w:t xml:space="preserve">ost exactly the same as </w:t>
      </w:r>
      <w:r w:rsidR="000C6F3D">
        <w:t xml:space="preserve">that described by </w:t>
      </w:r>
      <w:r w:rsidR="00D60683">
        <w:t>Brier</w:t>
      </w:r>
      <w:r w:rsidR="000C6F3D">
        <w:t>, et al</w:t>
      </w:r>
      <w:r w:rsidR="00D60683">
        <w:t xml:space="preserve">.  </w:t>
      </w:r>
      <w:r>
        <w:t>Brier</w:t>
      </w:r>
      <w:r w:rsidR="00D60683">
        <w:t>, et al.</w:t>
      </w:r>
      <w:r w:rsidR="000C6F3D">
        <w:t xml:space="preserve"> implemented </w:t>
      </w:r>
      <w:r>
        <w:t>equal</w:t>
      </w:r>
      <w:r w:rsidR="00D60683">
        <w:t xml:space="preserve"> weighting of diagnosis groups.  This was perhaps necessary as the cognitively normal group size was 4X and 10X the other diagnosis groups.  In the present study, the </w:t>
      </w:r>
      <w:r w:rsidR="000C6F3D">
        <w:t xml:space="preserve">maximum </w:t>
      </w:r>
      <w:r w:rsidR="00D60683">
        <w:t xml:space="preserve">ratio is </w:t>
      </w:r>
      <w:r w:rsidR="000C6F3D">
        <w:t xml:space="preserve">2:1.  </w:t>
      </w:r>
      <w:r w:rsidR="00204CE5">
        <w:t xml:space="preserve">Another difference is that in the present study the threshold was lowered to |z| = 0.015 in order to assure &gt;0 volumetric extent for all possible seeds (although even with the lowered threshold there </w:t>
      </w:r>
      <w:r w:rsidR="00204CE5">
        <w:lastRenderedPageBreak/>
        <w:t xml:space="preserve">were 6 ROI seeds that yielded no surviving voxels).  </w:t>
      </w:r>
      <w:r w:rsidR="000C6F3D">
        <w:t>It is possible that the present expanded seed ROI procedure may have to be revisit</w:t>
      </w:r>
      <w:r w:rsidR="0079010B">
        <w:t>ed.</w:t>
      </w:r>
      <w:r w:rsidR="00204CE5">
        <w:t xml:space="preserve">  ROI and expanded ROI seed </w:t>
      </w:r>
      <w:r w:rsidR="0079010B">
        <w:t xml:space="preserve">analysis </w:t>
      </w:r>
      <w:r w:rsidR="00204CE5">
        <w:t>each yield</w:t>
      </w:r>
      <w:r w:rsidR="0079010B">
        <w:t xml:space="preserve"> N=630 pair-wise correlation</w:t>
      </w:r>
      <w:r w:rsidR="00204CE5">
        <w:t xml:space="preserve"> values for the RSN nodes.  For </w:t>
      </w:r>
      <w:r w:rsidR="0079010B">
        <w:t>the Mackey-Petrides nodes there are N=</w:t>
      </w:r>
      <w:r w:rsidR="00204CE5">
        <w:t xml:space="preserve">120 pairs.  For the </w:t>
      </w:r>
      <w:r w:rsidR="00B7642F">
        <w:t>Eickhoff-Ziller</w:t>
      </w:r>
      <w:r w:rsidR="00204CE5">
        <w:t xml:space="preserve"> there are N=10,153 pairs.</w:t>
      </w:r>
    </w:p>
    <w:p w:rsidR="00D070D9" w:rsidRDefault="00204CE5" w:rsidP="00111EC2">
      <w:r w:rsidRPr="00204CE5">
        <w:rPr>
          <w:i/>
        </w:rPr>
        <w:t>Further extensions.</w:t>
      </w:r>
      <w:r>
        <w:t xml:space="preserve">  </w:t>
      </w:r>
      <w:r w:rsidR="00111EC2">
        <w:t>The present study extends the work of Brier, et al. (2012).  First, it was observed in the present data that the distributions of within-RSN network correlation values have more complex structure (e.g., asymmetric tails) than might be captured by a mean value.  Consequently, where Brier, et al., computed a single overall composite score</w:t>
      </w:r>
      <w:r w:rsidR="00DD3DF1">
        <w:t xml:space="preserve"> for the nodes comprising an RSN</w:t>
      </w:r>
      <w:r w:rsidR="00111EC2">
        <w:t>, the present study computes six composite scores</w:t>
      </w:r>
      <w:r w:rsidR="00DD3DF1">
        <w:t xml:space="preserve"> per RSN</w:t>
      </w:r>
      <w:r w:rsidR="00111EC2">
        <w:t>: a) overall mean; b) overall median; c) mean, positive-only values; d) mean, negative-only values; e) median, positive-only values; and f) median, negative-only values.</w:t>
      </w:r>
    </w:p>
    <w:p w:rsidR="00111EC2" w:rsidRDefault="00111EC2" w:rsidP="00111EC2">
      <w:r>
        <w:t xml:space="preserve">[A further extension that at the time of this writing is in </w:t>
      </w:r>
      <w:r w:rsidR="003D60BA">
        <w:t xml:space="preserve">the </w:t>
      </w:r>
      <w:r>
        <w:t xml:space="preserve">pilot stage is to perform (multiple) hypothesis testing </w:t>
      </w:r>
      <w:r w:rsidR="003D60BA">
        <w:t xml:space="preserve">directly </w:t>
      </w:r>
      <w:r>
        <w:t xml:space="preserve">at the distribution-level </w:t>
      </w:r>
      <w:r w:rsidR="003D60BA">
        <w:t xml:space="preserve">using non-parametric approaches, e.g., Wilcoxon tests.  </w:t>
      </w:r>
      <w:r>
        <w:t>Another extension is to treat the question of intra-RSN (</w:t>
      </w:r>
      <w:r w:rsidR="00F956FB">
        <w:t>intra-Network</w:t>
      </w:r>
      <w:r>
        <w:t xml:space="preserve">) internal structure as an N-dimensional </w:t>
      </w:r>
      <w:r w:rsidR="003D60BA">
        <w:t>M-</w:t>
      </w:r>
      <w:r>
        <w:t xml:space="preserve">classification problem, where N is the number of pair-wise correlation values </w:t>
      </w:r>
      <w:r w:rsidR="00D070D9">
        <w:t>computed for the given RSN (anatomical region)</w:t>
      </w:r>
      <w:r w:rsidR="003D60BA">
        <w:t xml:space="preserve"> and where M is the number of diagnosis labels (e.g., CN, MCI, D)</w:t>
      </w:r>
      <w:r w:rsidR="00D070D9">
        <w:t>.  The experimental approach is to compare the performance of a naïve Bayes classifier against a more sophisticated approach such a</w:t>
      </w:r>
      <w:r w:rsidR="003D60BA">
        <w:t>s support vector machines (SVM), all under a</w:t>
      </w:r>
      <w:r w:rsidR="00D070D9">
        <w:t xml:space="preserve"> data resampling </w:t>
      </w:r>
      <w:r w:rsidR="003D60BA">
        <w:t xml:space="preserve">framework </w:t>
      </w:r>
      <w:r w:rsidR="00D070D9">
        <w:t>to estimate true performance.]</w:t>
      </w:r>
    </w:p>
    <w:p w:rsidR="00B111DC" w:rsidRDefault="00DD3DF1" w:rsidP="007174D9">
      <w:r>
        <w:t>The</w:t>
      </w:r>
      <w:r w:rsidR="007174D9">
        <w:t xml:space="preserve"> second extension of the Brier, et al., approach to intra-RSN network analysis follows the observation during pilot studies here that results not infrequently varied with different subsets of the available data.  Observed differences were at times quantitatively minor (e.g., </w:t>
      </w:r>
      <w:r w:rsidR="00FA6F4E">
        <w:t>remaining</w:t>
      </w:r>
      <w:r w:rsidR="007174D9">
        <w:t xml:space="preserve"> statistically significant with a </w:t>
      </w:r>
      <w:r w:rsidR="007174D9" w:rsidRPr="007D52D6">
        <w:rPr>
          <w:i/>
        </w:rPr>
        <w:t>p</w:t>
      </w:r>
      <w:r w:rsidR="00FA6F4E">
        <w:t xml:space="preserve"> </w:t>
      </w:r>
      <w:r w:rsidR="007174D9" w:rsidRPr="00FE4BC9">
        <w:t>value</w:t>
      </w:r>
      <w:r w:rsidR="007174D9">
        <w:t xml:space="preserve"> &lt; 0.05, though with differences in the group average and </w:t>
      </w:r>
      <w:r w:rsidR="007174D9" w:rsidRPr="007F079A">
        <w:rPr>
          <w:i/>
        </w:rPr>
        <w:t>t</w:t>
      </w:r>
      <w:r w:rsidR="007174D9">
        <w:t>-statistics values), or qualitative (e.g., non-reproducible findings</w:t>
      </w:r>
      <w:r w:rsidR="00FA6F4E">
        <w:t xml:space="preserve"> of statistical significance</w:t>
      </w:r>
      <w:r w:rsidR="007174D9">
        <w:t xml:space="preserve">).  The core question raised by these observations is what should the </w:t>
      </w:r>
      <w:r w:rsidR="007174D9" w:rsidRPr="007D52D6">
        <w:rPr>
          <w:i/>
        </w:rPr>
        <w:t>p</w:t>
      </w:r>
      <w:r w:rsidR="007174D9" w:rsidRPr="00FE4BC9">
        <w:t>-value</w:t>
      </w:r>
      <w:r w:rsidR="007174D9">
        <w:t xml:space="preserve"> be for the</w:t>
      </w:r>
      <w:r w:rsidR="00F956FB">
        <w:t xml:space="preserve"> multiple</w:t>
      </w:r>
      <w:r w:rsidR="007174D9">
        <w:t xml:space="preserve"> </w:t>
      </w:r>
      <w:r w:rsidR="007174D9" w:rsidRPr="007D52D6">
        <w:rPr>
          <w:i/>
        </w:rPr>
        <w:t>post hoc</w:t>
      </w:r>
      <w:r w:rsidR="007174D9">
        <w:t xml:space="preserve"> pair-wise </w:t>
      </w:r>
      <w:r w:rsidR="007174D9" w:rsidRPr="007F079A">
        <w:rPr>
          <w:i/>
        </w:rPr>
        <w:t>t</w:t>
      </w:r>
      <w:r w:rsidR="00FA6F4E">
        <w:t xml:space="preserve"> </w:t>
      </w:r>
      <w:r w:rsidR="007174D9">
        <w:t xml:space="preserve">tests?  How shall the </w:t>
      </w:r>
      <w:r w:rsidR="007174D9" w:rsidRPr="00EA29EA">
        <w:rPr>
          <w:i/>
        </w:rPr>
        <w:t>p</w:t>
      </w:r>
      <w:r w:rsidR="00FA6F4E">
        <w:t xml:space="preserve"> </w:t>
      </w:r>
      <w:r w:rsidR="007174D9" w:rsidRPr="00FE4BC9">
        <w:t>value</w:t>
      </w:r>
      <w:r w:rsidR="007174D9">
        <w:t xml:space="preserve"> be adjusted to reflect multiple comparisons?</w:t>
      </w:r>
    </w:p>
    <w:p w:rsidR="00111D63" w:rsidRDefault="007174D9" w:rsidP="007174D9">
      <w:r>
        <w:t xml:space="preserve">This study adopts a </w:t>
      </w:r>
      <w:r w:rsidR="008E06B8">
        <w:t>bootstrap</w:t>
      </w:r>
      <w:r w:rsidR="00FA6F4E">
        <w:t xml:space="preserve"> resampling procedure </w:t>
      </w:r>
      <w:r w:rsidR="00AE6133">
        <w:t>to</w:t>
      </w:r>
      <w:r w:rsidR="00204CE5">
        <w:t xml:space="preserve"> </w:t>
      </w:r>
      <w:r w:rsidR="008E06B8">
        <w:t>compute</w:t>
      </w:r>
      <w:r w:rsidR="00204CE5">
        <w:t xml:space="preserve"> </w:t>
      </w:r>
      <w:r>
        <w:t xml:space="preserve">false discovery rate corrected </w:t>
      </w:r>
      <w:r w:rsidRPr="007D52D6">
        <w:rPr>
          <w:i/>
        </w:rPr>
        <w:t>p</w:t>
      </w:r>
      <w:r w:rsidR="00FA6F4E">
        <w:t xml:space="preserve"> </w:t>
      </w:r>
      <w:r w:rsidRPr="00FE4BC9">
        <w:t>value</w:t>
      </w:r>
      <w:r w:rsidR="00204CE5">
        <w:t>s</w:t>
      </w:r>
      <w:r>
        <w:t xml:space="preserve">.  Consider as an example the </w:t>
      </w:r>
      <w:r w:rsidR="00204CE5">
        <w:t xml:space="preserve">pair-wise group comparison CN vs MCI for a </w:t>
      </w:r>
      <w:r w:rsidR="00F956FB">
        <w:t xml:space="preserve">single </w:t>
      </w:r>
      <w:r w:rsidR="00204CE5">
        <w:t xml:space="preserve">node pair X and Y.  The same procedure is applied </w:t>
      </w:r>
      <w:r w:rsidR="007919BA">
        <w:t>when</w:t>
      </w:r>
      <w:r w:rsidR="00204CE5">
        <w:t xml:space="preserve"> X and Y are RSN composite scores </w:t>
      </w:r>
      <w:r w:rsidR="00111D63">
        <w:t>(for i</w:t>
      </w:r>
      <w:r w:rsidR="007919BA">
        <w:t>ntra-RSN or inter-RSN analysis).</w:t>
      </w:r>
    </w:p>
    <w:p w:rsidR="00111D63" w:rsidRDefault="007174D9" w:rsidP="00F510F3">
      <w:pPr>
        <w:pStyle w:val="ListParagraph"/>
        <w:numPr>
          <w:ilvl w:val="0"/>
          <w:numId w:val="2"/>
        </w:numPr>
      </w:pPr>
      <w:r>
        <w:t xml:space="preserve">Step one is to apply the </w:t>
      </w:r>
      <w:r w:rsidRPr="00F510F3">
        <w:rPr>
          <w:i/>
        </w:rPr>
        <w:t>t</w:t>
      </w:r>
      <w:r w:rsidR="007A495C">
        <w:t>-</w:t>
      </w:r>
      <w:r>
        <w:t xml:space="preserve">test using all of the available CN and MCI data and to store the resultant </w:t>
      </w:r>
      <w:r w:rsidRPr="00F510F3">
        <w:rPr>
          <w:i/>
        </w:rPr>
        <w:t>t</w:t>
      </w:r>
      <w:r w:rsidR="00FA6F4E">
        <w:t xml:space="preserve"> </w:t>
      </w:r>
      <w:r>
        <w:t xml:space="preserve">statistic as the sample </w:t>
      </w:r>
      <w:r w:rsidRPr="00F510F3">
        <w:rPr>
          <w:i/>
        </w:rPr>
        <w:t>t</w:t>
      </w:r>
      <w:r w:rsidR="00FA6F4E">
        <w:t xml:space="preserve"> </w:t>
      </w:r>
      <w:r>
        <w:t>statistic</w:t>
      </w:r>
      <w:r w:rsidR="00F956FB">
        <w:t xml:space="preserve">, </w:t>
      </w:r>
      <m:oMath>
        <m:acc>
          <m:accPr>
            <m:ctrlPr>
              <w:rPr>
                <w:rFonts w:ascii="Cambria Math" w:hAnsi="Cambria Math"/>
                <w:i/>
              </w:rPr>
            </m:ctrlPr>
          </m:accPr>
          <m:e>
            <m:r>
              <w:rPr>
                <w:rFonts w:ascii="Cambria Math" w:hAnsi="Cambria Math"/>
              </w:rPr>
              <m:t>t</m:t>
            </m:r>
          </m:e>
        </m:acc>
      </m:oMath>
      <w:r w:rsidR="00111D63">
        <w:t>.</w:t>
      </w:r>
    </w:p>
    <w:p w:rsidR="004D542A" w:rsidRDefault="004D542A" w:rsidP="004D542A">
      <w:pPr>
        <w:pStyle w:val="ListParagraph"/>
      </w:pPr>
    </w:p>
    <w:p w:rsidR="00F510F3" w:rsidRDefault="007174D9" w:rsidP="00CF7C4C">
      <w:pPr>
        <w:pStyle w:val="ListParagraph"/>
        <w:numPr>
          <w:ilvl w:val="0"/>
          <w:numId w:val="2"/>
        </w:numPr>
      </w:pPr>
      <w:r>
        <w:t>The goal of step two is to estimate the</w:t>
      </w:r>
      <w:r w:rsidRPr="00F510F3">
        <w:rPr>
          <w:i/>
        </w:rPr>
        <w:t xml:space="preserve"> t</w:t>
      </w:r>
      <w:r w:rsidR="00FA6F4E">
        <w:t xml:space="preserve"> </w:t>
      </w:r>
      <w:r>
        <w:t>statistic distribution under the null hypothesis tha</w:t>
      </w:r>
      <w:r w:rsidR="007919BA">
        <w:t>t</w:t>
      </w:r>
      <w:r>
        <w:t xml:space="preserve"> the CN and MCI groups have the same mean.  To do this, the CN and MCI data are first resampled (with replacement </w:t>
      </w:r>
      <w:r w:rsidRPr="00FA6F4E">
        <w:rPr>
          <w:i/>
        </w:rPr>
        <w:t>per class</w:t>
      </w:r>
      <w:r>
        <w:t>) and the means adjusted per equations (3) – (</w:t>
      </w:r>
      <w:r w:rsidR="00F956FB">
        <w:t>7</w:t>
      </w:r>
      <w:r>
        <w:t>) below to enforce the null condition (the “null dataset”)</w:t>
      </w:r>
      <w:r w:rsidR="008E06B8">
        <w:t xml:space="preserve">.  A </w:t>
      </w:r>
      <w:r w:rsidRPr="00F510F3">
        <w:rPr>
          <w:i/>
        </w:rPr>
        <w:t>t</w:t>
      </w:r>
      <w:r w:rsidR="008E06B8">
        <w:t xml:space="preserve"> </w:t>
      </w:r>
      <w:r>
        <w:t xml:space="preserve">test is </w:t>
      </w:r>
      <w:r w:rsidR="008E06B8">
        <w:t>t</w:t>
      </w:r>
      <w:r w:rsidR="00AE6133">
        <w:t>h</w:t>
      </w:r>
      <w:r w:rsidR="00B7642F">
        <w:t xml:space="preserve">en </w:t>
      </w:r>
      <w:r w:rsidR="008E06B8">
        <w:t xml:space="preserve">applied to the null dataset with </w:t>
      </w:r>
      <w:r>
        <w:t xml:space="preserve">the resultant resampled </w:t>
      </w:r>
      <w:r w:rsidRPr="00F510F3">
        <w:rPr>
          <w:i/>
        </w:rPr>
        <w:t>t</w:t>
      </w:r>
      <w:r w:rsidR="00AE6133">
        <w:t xml:space="preserve"> </w:t>
      </w:r>
      <w:r w:rsidR="00F956FB">
        <w:t xml:space="preserve">statistic </w:t>
      </w:r>
      <w:r>
        <w:t>stored</w:t>
      </w:r>
      <w:r w:rsidR="00F956FB">
        <w:t xml:space="preserve"> as </w:t>
      </w:r>
      <m:oMath>
        <m:sSup>
          <m:sSupPr>
            <m:ctrlPr>
              <w:rPr>
                <w:rFonts w:ascii="Cambria Math" w:hAnsi="Cambria Math"/>
                <w:i/>
              </w:rPr>
            </m:ctrlPr>
          </m:sSupPr>
          <m:e>
            <m:acc>
              <m:accPr>
                <m:ctrlPr>
                  <w:rPr>
                    <w:rFonts w:ascii="Cambria Math" w:hAnsi="Cambria Math"/>
                    <w:i/>
                  </w:rPr>
                </m:ctrlPr>
              </m:accPr>
              <m:e>
                <m:r>
                  <w:rPr>
                    <w:rFonts w:ascii="Cambria Math" w:hAnsi="Cambria Math"/>
                  </w:rPr>
                  <m:t>t</m:t>
                </m:r>
              </m:e>
            </m:acc>
          </m:e>
          <m:sup>
            <m:r>
              <w:rPr>
                <w:rFonts w:ascii="Cambria Math" w:hAnsi="Cambria Math"/>
              </w:rPr>
              <m:t>*(1)</m:t>
            </m:r>
          </m:sup>
        </m:sSup>
      </m:oMath>
      <w:r w:rsidR="00F956FB">
        <w:t xml:space="preserve">.  </w:t>
      </w:r>
      <w:r>
        <w:t xml:space="preserve">The resampling procedure is repeated </w:t>
      </w:r>
      <w:r w:rsidR="008E06B8">
        <w:t>B times</w:t>
      </w:r>
      <w:r>
        <w:t xml:space="preserve"> </w:t>
      </w:r>
      <w:r w:rsidR="00AE6133">
        <w:t xml:space="preserve">on the null dataset </w:t>
      </w:r>
      <w:r>
        <w:t>to generate the distribution</w:t>
      </w:r>
      <w:r w:rsidR="00B7642F">
        <w:t xml:space="preserve"> </w:t>
      </w:r>
      <m:oMath>
        <m:sSup>
          <m:sSupPr>
            <m:ctrlPr>
              <w:rPr>
                <w:rFonts w:ascii="Cambria Math" w:hAnsi="Cambria Math"/>
                <w:i/>
              </w:rPr>
            </m:ctrlPr>
          </m:sSupPr>
          <m:e>
            <m:acc>
              <m:accPr>
                <m:ctrlPr>
                  <w:rPr>
                    <w:rFonts w:ascii="Cambria Math" w:hAnsi="Cambria Math"/>
                    <w:i/>
                  </w:rPr>
                </m:ctrlPr>
              </m:accPr>
              <m:e>
                <m:r>
                  <w:rPr>
                    <w:rFonts w:ascii="Cambria Math" w:hAnsi="Cambria Math"/>
                  </w:rPr>
                  <m:t>t</m:t>
                </m:r>
              </m:e>
            </m:acc>
          </m:e>
          <m:sup>
            <m:r>
              <w:rPr>
                <w:rFonts w:ascii="Cambria Math" w:hAnsi="Cambria Math"/>
              </w:rPr>
              <m:t>*(1)</m:t>
            </m:r>
          </m:sup>
        </m:sSup>
        <m:r>
          <w:rPr>
            <w:rFonts w:ascii="Cambria Math" w:hAnsi="Cambria Math"/>
          </w:rPr>
          <m:t xml:space="preserve">, </m:t>
        </m:r>
        <m:sSup>
          <m:sSupPr>
            <m:ctrlPr>
              <w:rPr>
                <w:rFonts w:ascii="Cambria Math" w:hAnsi="Cambria Math"/>
                <w:i/>
              </w:rPr>
            </m:ctrlPr>
          </m:sSupPr>
          <m:e>
            <m:acc>
              <m:accPr>
                <m:ctrlPr>
                  <w:rPr>
                    <w:rFonts w:ascii="Cambria Math" w:hAnsi="Cambria Math"/>
                    <w:i/>
                  </w:rPr>
                </m:ctrlPr>
              </m:accPr>
              <m:e>
                <m:r>
                  <w:rPr>
                    <w:rFonts w:ascii="Cambria Math" w:hAnsi="Cambria Math"/>
                  </w:rPr>
                  <m:t>t</m:t>
                </m:r>
              </m:e>
            </m:acc>
          </m:e>
          <m:sup>
            <m:r>
              <w:rPr>
                <w:rFonts w:ascii="Cambria Math" w:hAnsi="Cambria Math"/>
              </w:rPr>
              <m:t>*(2)</m:t>
            </m:r>
          </m:sup>
        </m:sSup>
      </m:oMath>
      <w:r w:rsidR="008E06B8">
        <w:t>,…,</w:t>
      </w:r>
      <m:oMath>
        <m:r>
          <w:rPr>
            <w:rFonts w:ascii="Cambria Math" w:hAnsi="Cambria Math"/>
          </w:rPr>
          <m:t xml:space="preserve"> </m:t>
        </m:r>
        <m:sSup>
          <m:sSupPr>
            <m:ctrlPr>
              <w:rPr>
                <w:rFonts w:ascii="Cambria Math" w:hAnsi="Cambria Math"/>
                <w:i/>
              </w:rPr>
            </m:ctrlPr>
          </m:sSupPr>
          <m:e>
            <m:acc>
              <m:accPr>
                <m:ctrlPr>
                  <w:rPr>
                    <w:rFonts w:ascii="Cambria Math" w:hAnsi="Cambria Math"/>
                    <w:i/>
                  </w:rPr>
                </m:ctrlPr>
              </m:accPr>
              <m:e>
                <m:r>
                  <w:rPr>
                    <w:rFonts w:ascii="Cambria Math" w:hAnsi="Cambria Math"/>
                  </w:rPr>
                  <m:t>t</m:t>
                </m:r>
              </m:e>
            </m:acc>
          </m:e>
          <m:sup>
            <m:r>
              <w:rPr>
                <w:rFonts w:ascii="Cambria Math" w:hAnsi="Cambria Math"/>
              </w:rPr>
              <m:t>*(B)</m:t>
            </m:r>
          </m:sup>
        </m:sSup>
      </m:oMath>
      <w:r w:rsidR="008E06B8">
        <w:rPr>
          <w:rFonts w:eastAsiaTheme="minorEastAsia"/>
        </w:rPr>
        <w:t>,</w:t>
      </w:r>
      <w:r w:rsidR="00D90A95">
        <w:rPr>
          <w:rFonts w:eastAsiaTheme="minorEastAsia"/>
        </w:rPr>
        <w:t xml:space="preserve"> B=10,000.</w:t>
      </w:r>
    </w:p>
    <w:p w:rsidR="00F510F3" w:rsidRDefault="00F510F3" w:rsidP="00F510F3">
      <w:pPr>
        <w:ind w:left="720"/>
      </w:pPr>
      <w:r>
        <w:t>To establish the null hypothesis condition for the input dataset consisting of n</w:t>
      </w:r>
      <w:r w:rsidRPr="00F510F3">
        <w:rPr>
          <w:vertAlign w:val="subscript"/>
        </w:rPr>
        <w:t>1</w:t>
      </w:r>
      <w:r>
        <w:t xml:space="preserve"> scalar values </w:t>
      </w:r>
      <w:r w:rsidRPr="00F510F3">
        <w:rPr>
          <w:b/>
        </w:rPr>
        <w:t>X</w:t>
      </w:r>
      <w:r>
        <w:t xml:space="preserve"> = {x</w:t>
      </w:r>
      <w:r w:rsidRPr="00F510F3">
        <w:rPr>
          <w:vertAlign w:val="subscript"/>
        </w:rPr>
        <w:t>1</w:t>
      </w:r>
      <w:r>
        <w:t>, x</w:t>
      </w:r>
      <w:r w:rsidRPr="00F510F3">
        <w:rPr>
          <w:vertAlign w:val="subscript"/>
        </w:rPr>
        <w:t>2</w:t>
      </w:r>
      <w:r>
        <w:t>, …, x</w:t>
      </w:r>
      <w:r w:rsidRPr="00F510F3">
        <w:rPr>
          <w:vertAlign w:val="subscript"/>
        </w:rPr>
        <w:t>n1</w:t>
      </w:r>
      <w:r>
        <w:t>} from group 1 and n</w:t>
      </w:r>
      <w:r w:rsidRPr="00F510F3">
        <w:rPr>
          <w:vertAlign w:val="subscript"/>
        </w:rPr>
        <w:t>2</w:t>
      </w:r>
      <w:r>
        <w:t xml:space="preserve"> scalar values </w:t>
      </w:r>
      <w:r w:rsidRPr="00F510F3">
        <w:rPr>
          <w:b/>
        </w:rPr>
        <w:t>Y</w:t>
      </w:r>
      <w:r>
        <w:t xml:space="preserve"> = {y</w:t>
      </w:r>
      <w:r w:rsidRPr="00F510F3">
        <w:rPr>
          <w:vertAlign w:val="subscript"/>
        </w:rPr>
        <w:t>1</w:t>
      </w:r>
      <w:r>
        <w:t>, y</w:t>
      </w:r>
      <w:r w:rsidRPr="00F510F3">
        <w:rPr>
          <w:vertAlign w:val="subscript"/>
        </w:rPr>
        <w:t>2</w:t>
      </w:r>
      <w:r>
        <w:t>, …, y</w:t>
      </w:r>
      <w:r w:rsidRPr="00F510F3">
        <w:rPr>
          <w:vertAlign w:val="subscript"/>
        </w:rPr>
        <w:t>n1</w:t>
      </w:r>
      <w:r>
        <w:t>} from group 2 apply the following transformation:</w:t>
      </w:r>
    </w:p>
    <w:p w:rsidR="00F510F3" w:rsidRDefault="00D1001F" w:rsidP="005E03F0">
      <w:pPr>
        <w:ind w:firstLine="720"/>
        <w:jc w:val="center"/>
        <w:rPr>
          <w:rFonts w:eastAsiaTheme="minorEastAsia"/>
        </w:rPr>
      </w:pPr>
      <m:oMath>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0</m:t>
            </m:r>
          </m:sub>
        </m:sSub>
        <m:r>
          <w:rPr>
            <w:rFonts w:ascii="Cambria Math" w:hAnsi="Cambria Math"/>
          </w:rPr>
          <m:t>=</m:t>
        </m:r>
        <m:r>
          <m:rPr>
            <m:sty m:val="bi"/>
          </m:rPr>
          <w:rPr>
            <w:rFonts w:ascii="Cambria Math" w:hAnsi="Cambria Math"/>
          </w:rPr>
          <m:t>X</m:t>
        </m:r>
        <m:r>
          <w:rPr>
            <w:rFonts w:ascii="Cambria Math" w:hAnsi="Cambria Math"/>
          </w:rPr>
          <m:t xml:space="preserve">- </m:t>
        </m:r>
        <m:acc>
          <m:accPr>
            <m:chr m:val="̅"/>
            <m:ctrlPr>
              <w:rPr>
                <w:rFonts w:ascii="Cambria Math" w:hAnsi="Cambria Math"/>
                <w:i/>
              </w:rPr>
            </m:ctrlPr>
          </m:accPr>
          <m:e>
            <m:r>
              <w:rPr>
                <w:rFonts w:ascii="Cambria Math" w:hAnsi="Cambria Math"/>
              </w:rPr>
              <m:t xml:space="preserve">X </m:t>
            </m:r>
          </m:e>
        </m:acc>
        <m:r>
          <w:rPr>
            <w:rFonts w:ascii="Cambria Math" w:hAnsi="Cambria Math"/>
          </w:rPr>
          <m:t xml:space="preserve"> </m:t>
        </m:r>
      </m:oMath>
      <w:r w:rsidR="00CF7C4C">
        <w:rPr>
          <w:rFonts w:eastAsiaTheme="minorEastAsia"/>
        </w:rPr>
        <w:t>+ Z</w:t>
      </w:r>
      <w:r w:rsidR="005E03F0">
        <w:rPr>
          <w:rFonts w:eastAsiaTheme="minorEastAsia"/>
        </w:rPr>
        <w:tab/>
      </w:r>
      <w:r w:rsidR="005E03F0">
        <w:rPr>
          <w:rFonts w:eastAsiaTheme="minorEastAsia"/>
        </w:rPr>
        <w:tab/>
      </w:r>
      <w:r w:rsidR="005E03F0">
        <w:rPr>
          <w:rFonts w:eastAsiaTheme="minorEastAsia"/>
        </w:rPr>
        <w:tab/>
        <w:t>(3)</w:t>
      </w:r>
    </w:p>
    <w:p w:rsidR="005E03F0" w:rsidRDefault="00D1001F" w:rsidP="005E03F0">
      <w:pPr>
        <w:ind w:firstLine="720"/>
        <w:jc w:val="center"/>
        <w:rPr>
          <w:rFonts w:eastAsiaTheme="minorEastAsia"/>
        </w:rPr>
      </w:pPr>
      <m:oMath>
        <m:sSub>
          <m:sSubPr>
            <m:ctrlPr>
              <w:rPr>
                <w:rFonts w:ascii="Cambria Math" w:eastAsiaTheme="minorEastAsia" w:hAnsi="Cambria Math"/>
                <w:b/>
                <w:i/>
              </w:rPr>
            </m:ctrlPr>
          </m:sSubPr>
          <m:e>
            <m:r>
              <m:rPr>
                <m:sty m:val="bi"/>
              </m:rPr>
              <w:rPr>
                <w:rFonts w:ascii="Cambria Math" w:eastAsiaTheme="minorEastAsia" w:hAnsi="Cambria Math"/>
              </w:rPr>
              <m:t>Y</m:t>
            </m:r>
          </m:e>
          <m:sub>
            <m:r>
              <m:rPr>
                <m:sty m:val="bi"/>
              </m:rPr>
              <w:rPr>
                <w:rFonts w:ascii="Cambria Math" w:eastAsiaTheme="minorEastAsia" w:hAnsi="Cambria Math"/>
              </w:rPr>
              <m:t>0</m:t>
            </m:r>
          </m:sub>
        </m:sSub>
        <m:r>
          <w:rPr>
            <w:rFonts w:ascii="Cambria Math" w:hAnsi="Cambria Math"/>
          </w:rPr>
          <m:t>=</m:t>
        </m:r>
        <m:r>
          <m:rPr>
            <m:sty m:val="bi"/>
          </m:rPr>
          <w:rPr>
            <w:rFonts w:ascii="Cambria Math" w:hAnsi="Cambria Math"/>
          </w:rPr>
          <m:t>Y</m:t>
        </m:r>
        <m:r>
          <w:rPr>
            <w:rFonts w:ascii="Cambria Math" w:hAnsi="Cambria Math"/>
          </w:rPr>
          <m:t xml:space="preserve">- </m:t>
        </m:r>
        <m:acc>
          <m:accPr>
            <m:chr m:val="̅"/>
            <m:ctrlPr>
              <w:rPr>
                <w:rFonts w:ascii="Cambria Math" w:hAnsi="Cambria Math"/>
                <w:i/>
              </w:rPr>
            </m:ctrlPr>
          </m:accPr>
          <m:e>
            <m:r>
              <w:rPr>
                <w:rFonts w:ascii="Cambria Math" w:hAnsi="Cambria Math"/>
              </w:rPr>
              <m:t xml:space="preserve">Y </m:t>
            </m:r>
          </m:e>
        </m:acc>
        <m:r>
          <w:rPr>
            <w:rFonts w:ascii="Cambria Math" w:hAnsi="Cambria Math"/>
          </w:rPr>
          <m:t xml:space="preserve"> </m:t>
        </m:r>
      </m:oMath>
      <w:r w:rsidR="00CF7C4C">
        <w:rPr>
          <w:rFonts w:eastAsiaTheme="minorEastAsia"/>
        </w:rPr>
        <w:t>+ Z</w:t>
      </w:r>
      <w:r w:rsidR="00CF7C4C">
        <w:rPr>
          <w:rFonts w:eastAsiaTheme="minorEastAsia"/>
        </w:rPr>
        <w:tab/>
      </w:r>
      <w:r w:rsidR="00CF7C4C">
        <w:rPr>
          <w:rFonts w:eastAsiaTheme="minorEastAsia"/>
        </w:rPr>
        <w:tab/>
      </w:r>
      <w:r w:rsidR="005E03F0">
        <w:rPr>
          <w:rFonts w:eastAsiaTheme="minorEastAsia"/>
        </w:rPr>
        <w:tab/>
      </w:r>
      <w:r w:rsidR="00CF7C4C">
        <w:rPr>
          <w:rFonts w:eastAsiaTheme="minorEastAsia"/>
        </w:rPr>
        <w:t>(4)</w:t>
      </w:r>
    </w:p>
    <w:p w:rsidR="00CF7C4C" w:rsidRDefault="00CF7C4C" w:rsidP="005E03F0">
      <w:pPr>
        <w:ind w:firstLine="720"/>
        <w:jc w:val="center"/>
        <w:rPr>
          <w:rFonts w:eastAsiaTheme="minorEastAsia"/>
        </w:rPr>
      </w:pPr>
      <m:oMath>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den>
        </m:f>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e>
        </m:d>
      </m:oMath>
      <w:r w:rsidR="005E03F0">
        <w:rPr>
          <w:rFonts w:eastAsiaTheme="minorEastAsia"/>
        </w:rPr>
        <w:t>,</w:t>
      </w:r>
      <w:r w:rsidR="005E03F0">
        <w:rPr>
          <w:rFonts w:eastAsiaTheme="minorEastAsia"/>
        </w:rPr>
        <w:tab/>
      </w:r>
      <w:r>
        <w:rPr>
          <w:rFonts w:eastAsiaTheme="minorEastAsia"/>
        </w:rPr>
        <w:t>(5)</w:t>
      </w:r>
    </w:p>
    <w:p w:rsidR="00CF7C4C" w:rsidRPr="00CF7C4C" w:rsidRDefault="00D1001F" w:rsidP="005E03F0">
      <w:pPr>
        <w:ind w:left="720" w:firstLine="720"/>
        <w:jc w:val="center"/>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oMath>
      <w:r w:rsidR="00CF7C4C">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Y</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oMath>
      <w:r w:rsidR="005E03F0">
        <w:rPr>
          <w:rFonts w:eastAsiaTheme="minorEastAsia"/>
        </w:rPr>
        <w:tab/>
        <w:t xml:space="preserve">(6) and </w:t>
      </w:r>
      <w:r w:rsidR="00CF7C4C">
        <w:rPr>
          <w:rFonts w:eastAsiaTheme="minorEastAsia"/>
        </w:rPr>
        <w:t>(7)</w:t>
      </w:r>
    </w:p>
    <w:p w:rsidR="00F510F3" w:rsidRDefault="005E03F0" w:rsidP="005E03F0">
      <w:r>
        <w:tab/>
        <w:t xml:space="preserve">Perform </w:t>
      </w:r>
      <w:r w:rsidR="00AE6133">
        <w:t xml:space="preserve">all </w:t>
      </w:r>
      <w:r>
        <w:t xml:space="preserve">subsequent </w:t>
      </w:r>
      <w:r w:rsidR="008E06B8">
        <w:t xml:space="preserve">resampling </w:t>
      </w:r>
      <w:r>
        <w:t xml:space="preserve">operations on the dataset consisting of </w:t>
      </w:r>
      <m:oMath>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0</m:t>
            </m:r>
          </m:sub>
        </m:sSub>
      </m:oMath>
      <w:r>
        <w:t xml:space="preserve"> and </w:t>
      </w:r>
      <m:oMath>
        <m:sSub>
          <m:sSubPr>
            <m:ctrlPr>
              <w:rPr>
                <w:rFonts w:ascii="Cambria Math" w:eastAsiaTheme="minorEastAsia" w:hAnsi="Cambria Math"/>
                <w:b/>
                <w:i/>
              </w:rPr>
            </m:ctrlPr>
          </m:sSubPr>
          <m:e>
            <m:r>
              <m:rPr>
                <m:sty m:val="bi"/>
              </m:rPr>
              <w:rPr>
                <w:rFonts w:ascii="Cambria Math" w:eastAsiaTheme="minorEastAsia" w:hAnsi="Cambria Math"/>
              </w:rPr>
              <m:t>Y</m:t>
            </m:r>
          </m:e>
          <m:sub>
            <m:r>
              <m:rPr>
                <m:sty m:val="bi"/>
              </m:rPr>
              <w:rPr>
                <w:rFonts w:ascii="Cambria Math" w:eastAsiaTheme="minorEastAsia" w:hAnsi="Cambria Math"/>
              </w:rPr>
              <m:t>0</m:t>
            </m:r>
          </m:sub>
        </m:sSub>
      </m:oMath>
      <w:r w:rsidR="004F5A1F">
        <w:t>.</w:t>
      </w:r>
    </w:p>
    <w:p w:rsidR="00D90A95" w:rsidRDefault="00D90A95" w:rsidP="00D90A95">
      <w:pPr>
        <w:ind w:left="720"/>
      </w:pPr>
      <w:r>
        <w:t xml:space="preserve">Alternatively, and for good measure, results obtained with the above procedure are compared and contrasted with the Fisher-type permutation approach.  In the present running example, permutation means that the </w:t>
      </w:r>
      <w:r w:rsidRPr="00D90A95">
        <w:rPr>
          <w:i/>
        </w:rPr>
        <w:t>n</w:t>
      </w:r>
      <w:r w:rsidRPr="00D90A95">
        <w:rPr>
          <w:i/>
          <w:vertAlign w:val="subscript"/>
        </w:rPr>
        <w:t>1</w:t>
      </w:r>
      <w:r w:rsidRPr="00D90A95">
        <w:rPr>
          <w:i/>
        </w:rPr>
        <w:t xml:space="preserve"> + n</w:t>
      </w:r>
      <w:r w:rsidRPr="00D90A95">
        <w:rPr>
          <w:i/>
          <w:vertAlign w:val="subscript"/>
        </w:rPr>
        <w:t>2</w:t>
      </w:r>
      <w:r>
        <w:t xml:space="preserve"> values are randomly divided (e.g., without replacement) into disjoint sets of size n</w:t>
      </w:r>
      <w:r w:rsidRPr="00D90A95">
        <w:rPr>
          <w:vertAlign w:val="subscript"/>
        </w:rPr>
        <w:t>1</w:t>
      </w:r>
      <w:r>
        <w:t xml:space="preserve"> and n</w:t>
      </w:r>
      <w:r w:rsidRPr="00D90A95">
        <w:rPr>
          <w:vertAlign w:val="subscript"/>
        </w:rPr>
        <w:t>2</w:t>
      </w:r>
      <w:r>
        <w:t xml:space="preserve">.  The two-sample </w:t>
      </w:r>
      <w:r w:rsidRPr="00D90A95">
        <w:rPr>
          <w:i/>
        </w:rPr>
        <w:t>t</w:t>
      </w:r>
      <w:r>
        <w:t xml:space="preserve">-statistic is computed on the shuffled data set.  The procedure is repeated B times to generate the distribution </w:t>
      </w:r>
      <m:oMath>
        <m:sSup>
          <m:sSupPr>
            <m:ctrlPr>
              <w:rPr>
                <w:rFonts w:ascii="Cambria Math" w:hAnsi="Cambria Math"/>
                <w:i/>
              </w:rPr>
            </m:ctrlPr>
          </m:sSupPr>
          <m:e>
            <m:acc>
              <m:accPr>
                <m:ctrlPr>
                  <w:rPr>
                    <w:rFonts w:ascii="Cambria Math" w:hAnsi="Cambria Math"/>
                    <w:i/>
                  </w:rPr>
                </m:ctrlPr>
              </m:accPr>
              <m:e>
                <m:r>
                  <w:rPr>
                    <w:rFonts w:ascii="Cambria Math" w:hAnsi="Cambria Math"/>
                  </w:rPr>
                  <m:t>t</m:t>
                </m:r>
              </m:e>
            </m:acc>
          </m:e>
          <m:sup>
            <m:r>
              <w:rPr>
                <w:rFonts w:ascii="Cambria Math" w:hAnsi="Cambria Math"/>
              </w:rPr>
              <m:t>*(1)</m:t>
            </m:r>
          </m:sup>
        </m:sSup>
        <m:r>
          <w:rPr>
            <w:rFonts w:ascii="Cambria Math" w:hAnsi="Cambria Math"/>
          </w:rPr>
          <m:t xml:space="preserve">, </m:t>
        </m:r>
        <m:sSup>
          <m:sSupPr>
            <m:ctrlPr>
              <w:rPr>
                <w:rFonts w:ascii="Cambria Math" w:hAnsi="Cambria Math"/>
                <w:i/>
              </w:rPr>
            </m:ctrlPr>
          </m:sSupPr>
          <m:e>
            <m:acc>
              <m:accPr>
                <m:ctrlPr>
                  <w:rPr>
                    <w:rFonts w:ascii="Cambria Math" w:hAnsi="Cambria Math"/>
                    <w:i/>
                  </w:rPr>
                </m:ctrlPr>
              </m:accPr>
              <m:e>
                <m:r>
                  <w:rPr>
                    <w:rFonts w:ascii="Cambria Math" w:hAnsi="Cambria Math"/>
                  </w:rPr>
                  <m:t>t</m:t>
                </m:r>
              </m:e>
            </m:acc>
          </m:e>
          <m:sup>
            <m:r>
              <w:rPr>
                <w:rFonts w:ascii="Cambria Math" w:hAnsi="Cambria Math"/>
              </w:rPr>
              <m:t>*(2)</m:t>
            </m:r>
          </m:sup>
        </m:sSup>
      </m:oMath>
      <w:r>
        <w:t>,…,</w:t>
      </w:r>
      <m:oMath>
        <m:r>
          <w:rPr>
            <w:rFonts w:ascii="Cambria Math" w:hAnsi="Cambria Math"/>
          </w:rPr>
          <m:t xml:space="preserve"> </m:t>
        </m:r>
        <m:sSup>
          <m:sSupPr>
            <m:ctrlPr>
              <w:rPr>
                <w:rFonts w:ascii="Cambria Math" w:hAnsi="Cambria Math"/>
                <w:i/>
              </w:rPr>
            </m:ctrlPr>
          </m:sSupPr>
          <m:e>
            <m:acc>
              <m:accPr>
                <m:ctrlPr>
                  <w:rPr>
                    <w:rFonts w:ascii="Cambria Math" w:hAnsi="Cambria Math"/>
                    <w:i/>
                  </w:rPr>
                </m:ctrlPr>
              </m:accPr>
              <m:e>
                <m:r>
                  <w:rPr>
                    <w:rFonts w:ascii="Cambria Math" w:hAnsi="Cambria Math"/>
                  </w:rPr>
                  <m:t>t</m:t>
                </m:r>
              </m:e>
            </m:acc>
          </m:e>
          <m:sup>
            <m:r>
              <w:rPr>
                <w:rFonts w:ascii="Cambria Math" w:hAnsi="Cambria Math"/>
              </w:rPr>
              <m:t>*(B)</m:t>
            </m:r>
          </m:sup>
        </m:sSup>
      </m:oMath>
      <w:r>
        <w:rPr>
          <w:rFonts w:eastAsiaTheme="minorEastAsia"/>
        </w:rPr>
        <w:t>, B=10,000.</w:t>
      </w:r>
    </w:p>
    <w:p w:rsidR="008E06B8" w:rsidRPr="00AE6133" w:rsidRDefault="007174D9" w:rsidP="008E06B8">
      <w:pPr>
        <w:pStyle w:val="ListParagraph"/>
        <w:numPr>
          <w:ilvl w:val="0"/>
          <w:numId w:val="2"/>
        </w:numPr>
      </w:pPr>
      <w:r>
        <w:t xml:space="preserve">The goal of step three is to compute the resampling estimate </w:t>
      </w:r>
      <w:r w:rsidRPr="00F510F3">
        <w:rPr>
          <w:i/>
        </w:rPr>
        <w:t>p</w:t>
      </w:r>
      <w:r w:rsidR="008E06B8">
        <w:t xml:space="preserve"> </w:t>
      </w:r>
      <w:r w:rsidRPr="00FE4BC9">
        <w:t>value</w:t>
      </w:r>
      <w:r w:rsidR="009E620A">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oMath>
      <w:r w:rsidR="009E620A">
        <w:t>, for the k</w:t>
      </w:r>
      <w:r w:rsidR="009E620A" w:rsidRPr="009E620A">
        <w:rPr>
          <w:i/>
          <w:vertAlign w:val="superscript"/>
        </w:rPr>
        <w:t>th</w:t>
      </w:r>
      <w:r w:rsidR="009E620A">
        <w:t xml:space="preserve"> of N simultaneous hypothesis tests</w:t>
      </w:r>
      <w:r>
        <w:t xml:space="preserve">.  Step three </w:t>
      </w:r>
      <w:r w:rsidR="00AE6133">
        <w:t>counts the number of occurrences in {</w:t>
      </w:r>
      <m:oMath>
        <m:sSup>
          <m:sSupPr>
            <m:ctrlPr>
              <w:rPr>
                <w:rFonts w:ascii="Cambria Math" w:hAnsi="Cambria Math"/>
                <w:i/>
              </w:rPr>
            </m:ctrlPr>
          </m:sSupPr>
          <m:e>
            <m:acc>
              <m:accPr>
                <m:ctrlPr>
                  <w:rPr>
                    <w:rFonts w:ascii="Cambria Math" w:hAnsi="Cambria Math"/>
                    <w:i/>
                  </w:rPr>
                </m:ctrlPr>
              </m:accPr>
              <m:e>
                <m:r>
                  <w:rPr>
                    <w:rFonts w:ascii="Cambria Math" w:hAnsi="Cambria Math"/>
                  </w:rPr>
                  <m:t>t</m:t>
                </m:r>
              </m:e>
            </m:acc>
          </m:e>
          <m:sup>
            <m:r>
              <w:rPr>
                <w:rFonts w:ascii="Cambria Math" w:hAnsi="Cambria Math"/>
              </w:rPr>
              <m:t>*(1)</m:t>
            </m:r>
          </m:sup>
        </m:sSup>
        <m:r>
          <w:rPr>
            <w:rFonts w:ascii="Cambria Math" w:hAnsi="Cambria Math"/>
          </w:rPr>
          <m:t xml:space="preserve">, </m:t>
        </m:r>
        <m:sSup>
          <m:sSupPr>
            <m:ctrlPr>
              <w:rPr>
                <w:rFonts w:ascii="Cambria Math" w:hAnsi="Cambria Math"/>
                <w:i/>
              </w:rPr>
            </m:ctrlPr>
          </m:sSupPr>
          <m:e>
            <m:acc>
              <m:accPr>
                <m:ctrlPr>
                  <w:rPr>
                    <w:rFonts w:ascii="Cambria Math" w:hAnsi="Cambria Math"/>
                    <w:i/>
                  </w:rPr>
                </m:ctrlPr>
              </m:accPr>
              <m:e>
                <m:r>
                  <w:rPr>
                    <w:rFonts w:ascii="Cambria Math" w:hAnsi="Cambria Math"/>
                  </w:rPr>
                  <m:t>t</m:t>
                </m:r>
              </m:e>
            </m:acc>
          </m:e>
          <m:sup>
            <m:r>
              <w:rPr>
                <w:rFonts w:ascii="Cambria Math" w:hAnsi="Cambria Math"/>
              </w:rPr>
              <m:t>*(2)</m:t>
            </m:r>
          </m:sup>
        </m:sSup>
      </m:oMath>
      <w:r w:rsidR="00AE6133">
        <w:t>,…,</w:t>
      </w:r>
      <m:oMath>
        <m:r>
          <w:rPr>
            <w:rFonts w:ascii="Cambria Math" w:hAnsi="Cambria Math"/>
          </w:rPr>
          <m:t xml:space="preserve"> </m:t>
        </m:r>
        <m:sSup>
          <m:sSupPr>
            <m:ctrlPr>
              <w:rPr>
                <w:rFonts w:ascii="Cambria Math" w:hAnsi="Cambria Math"/>
                <w:i/>
              </w:rPr>
            </m:ctrlPr>
          </m:sSupPr>
          <m:e>
            <m:acc>
              <m:accPr>
                <m:ctrlPr>
                  <w:rPr>
                    <w:rFonts w:ascii="Cambria Math" w:hAnsi="Cambria Math"/>
                    <w:i/>
                  </w:rPr>
                </m:ctrlPr>
              </m:accPr>
              <m:e>
                <m:r>
                  <w:rPr>
                    <w:rFonts w:ascii="Cambria Math" w:hAnsi="Cambria Math"/>
                  </w:rPr>
                  <m:t>t</m:t>
                </m:r>
              </m:e>
            </m:acc>
          </m:e>
          <m:sup>
            <m:r>
              <w:rPr>
                <w:rFonts w:ascii="Cambria Math" w:hAnsi="Cambria Math"/>
              </w:rPr>
              <m:t>*(B)</m:t>
            </m:r>
          </m:sup>
        </m:sSup>
      </m:oMath>
      <w:r w:rsidR="00AE6133">
        <w:rPr>
          <w:rFonts w:eastAsiaTheme="minorEastAsia"/>
        </w:rPr>
        <w:t xml:space="preserve">} where </w:t>
      </w:r>
      <m:oMath>
        <m:sSup>
          <m:sSupPr>
            <m:ctrlPr>
              <w:rPr>
                <w:rFonts w:ascii="Cambria Math" w:hAnsi="Cambria Math"/>
                <w:i/>
              </w:rPr>
            </m:ctrlPr>
          </m:sSupPr>
          <m:e>
            <m:acc>
              <m:accPr>
                <m:ctrlPr>
                  <w:rPr>
                    <w:rFonts w:ascii="Cambria Math" w:hAnsi="Cambria Math"/>
                    <w:i/>
                  </w:rPr>
                </m:ctrlPr>
              </m:accPr>
              <m:e>
                <m:r>
                  <w:rPr>
                    <w:rFonts w:ascii="Cambria Math" w:hAnsi="Cambria Math"/>
                  </w:rPr>
                  <m:t>t</m:t>
                </m:r>
              </m:e>
            </m:acc>
          </m:e>
          <m:sup>
            <m:r>
              <w:rPr>
                <w:rFonts w:ascii="Cambria Math" w:hAnsi="Cambria Math"/>
              </w:rPr>
              <m:t>*(1)</m:t>
            </m:r>
          </m:sup>
        </m:sSup>
        <m:r>
          <w:rPr>
            <w:rFonts w:ascii="Cambria Math" w:hAnsi="Cambria Math"/>
          </w:rPr>
          <m:t xml:space="preserve">&gt; </m:t>
        </m:r>
        <m:acc>
          <m:accPr>
            <m:ctrlPr>
              <w:rPr>
                <w:rFonts w:ascii="Cambria Math" w:hAnsi="Cambria Math"/>
                <w:i/>
              </w:rPr>
            </m:ctrlPr>
          </m:accPr>
          <m:e>
            <m:r>
              <w:rPr>
                <w:rFonts w:ascii="Cambria Math" w:hAnsi="Cambria Math"/>
              </w:rPr>
              <m:t>t</m:t>
            </m:r>
          </m:e>
        </m:acc>
      </m:oMath>
      <w:r w:rsidR="00AE6133">
        <w:rPr>
          <w:rFonts w:eastAsiaTheme="minorEastAsia"/>
        </w:rPr>
        <w:t xml:space="preserve"> and normalizes:</w:t>
      </w:r>
    </w:p>
    <w:p w:rsidR="00AE6133" w:rsidRDefault="00AE6133" w:rsidP="00AE6133">
      <w:pPr>
        <w:pStyle w:val="ListParagraph"/>
      </w:pPr>
    </w:p>
    <w:p w:rsidR="008E06B8" w:rsidRDefault="00D1001F" w:rsidP="00AE6133">
      <w:pPr>
        <w:pStyle w:val="ListParagraph"/>
        <w:jc w:val="center"/>
      </w:pPr>
      <m:oMath>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r>
          <w:rPr>
            <w:rFonts w:ascii="Cambria Math" w:hAnsi="Cambria Math"/>
          </w:rPr>
          <m:t xml:space="preserve">=  </m:t>
        </m:r>
        <m:f>
          <m:fPr>
            <m:type m:val="lin"/>
            <m:ctrlPr>
              <w:rPr>
                <w:rFonts w:ascii="Cambria Math" w:hAnsi="Cambria Math"/>
                <w:i/>
              </w:rPr>
            </m:ctrlPr>
          </m:fPr>
          <m:num>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t</m:t>
                        </m:r>
                      </m:e>
                    </m:acc>
                  </m:e>
                  <m:sup>
                    <m:r>
                      <w:rPr>
                        <w:rFonts w:ascii="Cambria Math" w:hAnsi="Cambria Math"/>
                      </w:rPr>
                      <m:t>*</m:t>
                    </m:r>
                    <m:d>
                      <m:dPr>
                        <m:ctrlPr>
                          <w:rPr>
                            <w:rFonts w:ascii="Cambria Math" w:hAnsi="Cambria Math"/>
                            <w:i/>
                          </w:rPr>
                        </m:ctrlPr>
                      </m:dPr>
                      <m:e>
                        <m:r>
                          <w:rPr>
                            <w:rFonts w:ascii="Cambria Math" w:hAnsi="Cambria Math"/>
                          </w:rPr>
                          <m:t>i</m:t>
                        </m:r>
                      </m:e>
                    </m:d>
                  </m:sup>
                </m:sSup>
                <m:r>
                  <w:rPr>
                    <w:rFonts w:ascii="Cambria Math" w:hAnsi="Cambria Math"/>
                  </w:rPr>
                  <m:t xml:space="preserve">&gt; </m:t>
                </m:r>
                <m:acc>
                  <m:accPr>
                    <m:ctrlPr>
                      <w:rPr>
                        <w:rFonts w:ascii="Cambria Math" w:hAnsi="Cambria Math"/>
                        <w:i/>
                      </w:rPr>
                    </m:ctrlPr>
                  </m:accPr>
                  <m:e>
                    <m:r>
                      <w:rPr>
                        <w:rFonts w:ascii="Cambria Math" w:hAnsi="Cambria Math"/>
                      </w:rPr>
                      <m:t>t</m:t>
                    </m:r>
                  </m:e>
                </m:acc>
              </m:e>
            </m:d>
          </m:num>
          <m:den>
            <m:r>
              <w:rPr>
                <w:rFonts w:ascii="Cambria Math" w:hAnsi="Cambria Math"/>
              </w:rPr>
              <m:t>B</m:t>
            </m:r>
          </m:den>
        </m:f>
      </m:oMath>
      <w:r w:rsidR="00AE6133">
        <w:t xml:space="preserve"> </w:t>
      </w:r>
      <w:r w:rsidR="00AE6133">
        <w:tab/>
      </w:r>
      <w:r w:rsidR="00AE6133">
        <w:tab/>
      </w:r>
      <w:r w:rsidR="00AE6133">
        <w:tab/>
        <w:t>(8)</w:t>
      </w:r>
    </w:p>
    <w:p w:rsidR="00D90A95" w:rsidRDefault="00D90A95" w:rsidP="008E06B8">
      <w:pPr>
        <w:pStyle w:val="ListParagraph"/>
      </w:pPr>
    </w:p>
    <w:p w:rsidR="008E06B8" w:rsidRDefault="00D90A95" w:rsidP="008E06B8">
      <w:pPr>
        <w:pStyle w:val="ListParagraph"/>
      </w:pPr>
      <w:r>
        <w:t>Step three operates in the same fashion for the distributions obtained either by bootstrap or by permutation.</w:t>
      </w:r>
    </w:p>
    <w:p w:rsidR="00D90A95" w:rsidRDefault="00D90A95" w:rsidP="008E06B8">
      <w:pPr>
        <w:pStyle w:val="ListParagraph"/>
      </w:pPr>
    </w:p>
    <w:p w:rsidR="007174D9" w:rsidRDefault="007174D9" w:rsidP="00F510F3">
      <w:pPr>
        <w:pStyle w:val="ListParagraph"/>
        <w:numPr>
          <w:ilvl w:val="0"/>
          <w:numId w:val="2"/>
        </w:numPr>
      </w:pPr>
      <w:r>
        <w:t xml:space="preserve">Step four implements the Benjamini-Hochberg false detection rate (FDR) control procedure.  The FDR control procedure operates on the set of resampled estimates of </w:t>
      </w:r>
      <m:oMath>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oMath>
      <w:r w:rsidR="00AE6133">
        <w:t xml:space="preserve"> </w:t>
      </w:r>
      <w:r w:rsidR="004D542A">
        <w:t xml:space="preserve">values </w:t>
      </w:r>
      <w:r w:rsidR="009E620A" w:rsidRPr="009E620A">
        <w:rPr>
          <w:i/>
        </w:rPr>
        <w:t>k = 1,...,</w:t>
      </w:r>
      <w:r w:rsidR="004D542A" w:rsidRPr="009E620A">
        <w:rPr>
          <w:i/>
        </w:rPr>
        <w:t>N</w:t>
      </w:r>
      <w:r w:rsidR="004D542A">
        <w:t xml:space="preserve"> </w:t>
      </w:r>
      <w:r w:rsidR="009E620A">
        <w:t xml:space="preserve">for the N </w:t>
      </w:r>
      <w:r w:rsidR="004D542A">
        <w:t xml:space="preserve">simultaneous hypothesis tests under consideration, e.g., </w:t>
      </w:r>
      <w:r w:rsidR="00B7642F">
        <w:t xml:space="preserve">Eickhoff-Ziller </w:t>
      </w:r>
      <w:r w:rsidR="004D542A">
        <w:rPr>
          <w:i/>
        </w:rPr>
        <w:t>N</w:t>
      </w:r>
      <w:r w:rsidR="004D542A">
        <w:t xml:space="preserve"> = </w:t>
      </w:r>
      <w:r w:rsidR="00B7642F">
        <w:t xml:space="preserve">10,153.  </w:t>
      </w:r>
      <w:r w:rsidR="004D542A">
        <w:t xml:space="preserve">To obtain the FDR-corrected </w:t>
      </w:r>
      <w:r w:rsidR="004D542A" w:rsidRPr="004D542A">
        <w:rPr>
          <w:i/>
        </w:rPr>
        <w:t>p</w:t>
      </w:r>
      <w:r w:rsidR="004D542A">
        <w:t xml:space="preserve"> value, </w:t>
      </w:r>
      <w:r w:rsidR="004D542A" w:rsidRPr="004D542A">
        <w:rPr>
          <w:i/>
        </w:rPr>
        <w:t>p</w:t>
      </w:r>
      <w:r w:rsidR="004D542A" w:rsidRPr="004D542A">
        <w:rPr>
          <w:i/>
          <w:vertAlign w:val="superscript"/>
        </w:rPr>
        <w:t>FDR</w:t>
      </w:r>
      <w:r w:rsidR="004D542A">
        <w:t xml:space="preserve">, </w:t>
      </w:r>
      <w:r w:rsidR="009E620A">
        <w:t xml:space="preserve">sort </w:t>
      </w:r>
      <w:r w:rsidR="00B7642F">
        <w:t>the</w:t>
      </w:r>
      <w:r w:rsidR="009E620A">
        <w:rPr>
          <w:i/>
        </w:rPr>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oMath>
      <w:r w:rsidR="004D542A">
        <w:t xml:space="preserve"> </w:t>
      </w:r>
      <w:r>
        <w:t xml:space="preserve">values </w:t>
      </w:r>
      <w:r w:rsidR="004D542A">
        <w:t xml:space="preserve">from </w:t>
      </w:r>
      <w:r w:rsidR="00B7642F">
        <w:t>smallest to largest.  C</w:t>
      </w:r>
      <w:r>
        <w:t xml:space="preserve">ompute the largest index </w:t>
      </w:r>
      <w:r w:rsidRPr="00F510F3">
        <w:rPr>
          <w:i/>
        </w:rPr>
        <w:t>i</w:t>
      </w:r>
      <w:r w:rsidRPr="00F510F3">
        <w:rPr>
          <w:i/>
          <w:vertAlign w:val="subscript"/>
        </w:rPr>
        <w:t>max</w:t>
      </w:r>
      <w:r>
        <w:t xml:space="preserve"> for which</w:t>
      </w:r>
    </w:p>
    <w:p w:rsidR="004D542A" w:rsidRDefault="00D1001F" w:rsidP="004D542A">
      <w:pPr>
        <w:pStyle w:val="ListParagraph"/>
        <w:jc w:val="center"/>
        <w:rPr>
          <w:rFonts w:eastAsiaTheme="minorEastAsia"/>
        </w:rPr>
      </w:pP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N</m:t>
            </m:r>
          </m:den>
        </m:f>
        <m:r>
          <w:rPr>
            <w:rFonts w:ascii="Cambria Math" w:hAnsi="Cambria Math"/>
          </w:rPr>
          <m:t>q</m:t>
        </m:r>
      </m:oMath>
      <w:r w:rsidR="007174D9" w:rsidRPr="00F510F3">
        <w:rPr>
          <w:rFonts w:eastAsiaTheme="minorEastAsia"/>
        </w:rPr>
        <w:t>.</w:t>
      </w:r>
      <w:r w:rsidR="00F510F3">
        <w:rPr>
          <w:rFonts w:eastAsiaTheme="minorEastAsia"/>
        </w:rPr>
        <w:tab/>
        <w:t>(6)</w:t>
      </w:r>
    </w:p>
    <w:p w:rsidR="009E620A" w:rsidRDefault="009E620A" w:rsidP="004D542A">
      <w:pPr>
        <w:pStyle w:val="ListParagraph"/>
        <w:rPr>
          <w:rFonts w:eastAsiaTheme="minorEastAsia"/>
        </w:rPr>
      </w:pPr>
    </w:p>
    <w:p w:rsidR="004D542A" w:rsidRDefault="009E620A" w:rsidP="004D542A">
      <w:pPr>
        <w:pStyle w:val="ListParagraph"/>
        <w:rPr>
          <w:rFonts w:eastAsiaTheme="minorEastAsia"/>
        </w:rPr>
      </w:pPr>
      <w:r>
        <w:rPr>
          <w:rFonts w:eastAsiaTheme="minorEastAsia"/>
        </w:rPr>
        <w:t xml:space="preserve">The null hypothesis is rejected for tests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oMath>
    </w:p>
    <w:p w:rsidR="009E620A" w:rsidRDefault="009E620A" w:rsidP="004D542A">
      <w:pPr>
        <w:pStyle w:val="ListParagraph"/>
        <w:rPr>
          <w:rFonts w:eastAsiaTheme="minorEastAsia"/>
        </w:rPr>
      </w:pPr>
    </w:p>
    <w:p w:rsidR="009E620A" w:rsidRDefault="009E620A" w:rsidP="00303CF8">
      <w:pPr>
        <w:rPr>
          <w:rFonts w:eastAsiaTheme="minorEastAsia"/>
        </w:rPr>
      </w:pPr>
      <w:r w:rsidRPr="00303CF8">
        <w:rPr>
          <w:rFonts w:eastAsiaTheme="minorEastAsia"/>
        </w:rPr>
        <w:t xml:space="preserve">The </w:t>
      </w:r>
      <w:r w:rsidR="007971F5" w:rsidRPr="00303CF8">
        <w:rPr>
          <w:rFonts w:eastAsiaTheme="minorEastAsia"/>
        </w:rPr>
        <w:t xml:space="preserve">above </w:t>
      </w:r>
      <w:r w:rsidRPr="00303CF8">
        <w:rPr>
          <w:rFonts w:eastAsiaTheme="minorEastAsia"/>
        </w:rPr>
        <w:t xml:space="preserve">approach </w:t>
      </w:r>
      <w:r w:rsidR="007971F5" w:rsidRPr="00303CF8">
        <w:rPr>
          <w:rFonts w:eastAsiaTheme="minorEastAsia"/>
        </w:rPr>
        <w:t>to significance testing</w:t>
      </w:r>
      <w:r w:rsidRPr="00303CF8">
        <w:rPr>
          <w:rFonts w:eastAsiaTheme="minorEastAsia"/>
        </w:rPr>
        <w:t xml:space="preserve"> differs from that of traditional individual hypothesis testing.  In individual hypothesis testing, the goal is often to reject the null hypothesis with high probability.  In the present case, the goal is </w:t>
      </w:r>
      <w:r w:rsidR="007971F5" w:rsidRPr="00303CF8">
        <w:rPr>
          <w:rFonts w:eastAsiaTheme="minorEastAsia"/>
        </w:rPr>
        <w:t>to identify a subset of “interesting” cases.  That is, it is expected that for many, most, or perhaps even all of the hypothesis tests, the null hypothesis cannot be rejected.</w:t>
      </w:r>
    </w:p>
    <w:p w:rsidR="00B7015B" w:rsidRDefault="00B7015B" w:rsidP="00B7015B">
      <w:pPr>
        <w:pStyle w:val="Heading3"/>
      </w:pPr>
      <w:r>
        <w:t>Multi-dimensional pattern classification</w:t>
      </w:r>
    </w:p>
    <w:p w:rsidR="00B7015B" w:rsidRPr="00B7015B" w:rsidRDefault="00B7015B" w:rsidP="00B7015B">
      <w:r>
        <w:t>Text here.</w:t>
      </w:r>
    </w:p>
    <w:p w:rsidR="00A5798B" w:rsidRDefault="00A5798B" w:rsidP="00A5798B">
      <w:pPr>
        <w:pStyle w:val="Heading1"/>
      </w:pPr>
      <w:r>
        <w:lastRenderedPageBreak/>
        <w:t>Results</w:t>
      </w:r>
    </w:p>
    <w:p w:rsidR="00A5798B" w:rsidRDefault="00626C75" w:rsidP="00544CC5">
      <w:pPr>
        <w:pStyle w:val="Heading2"/>
      </w:pPr>
      <w:r>
        <w:t>RSN</w:t>
      </w:r>
    </w:p>
    <w:p w:rsidR="00F8693D" w:rsidRDefault="00F8693D" w:rsidP="00F8693D">
      <w:r>
        <w:t xml:space="preserve">Figures 1-5 </w:t>
      </w:r>
      <w:r w:rsidR="000F2AC8">
        <w:t>demonstrate</w:t>
      </w:r>
      <w:r>
        <w:t xml:space="preserve"> </w:t>
      </w:r>
      <w:r w:rsidR="008B1895">
        <w:t xml:space="preserve">that the CON, DAN, DMN, SAL and SMN RSNs </w:t>
      </w:r>
      <w:r w:rsidR="00E23CE3">
        <w:t>are</w:t>
      </w:r>
      <w:r w:rsidR="008B1895">
        <w:t xml:space="preserve"> </w:t>
      </w:r>
      <w:r w:rsidR="00E23CE3">
        <w:t>present</w:t>
      </w:r>
      <w:r w:rsidR="008B1895">
        <w:t xml:space="preserve"> in group average correlation maps derived from the ADNI 2 experimental sub-study on resting state fMRI functional connectivity (rsfMRI).  The Figures provide </w:t>
      </w:r>
      <w:r w:rsidR="006A5F74">
        <w:t xml:space="preserve">initial </w:t>
      </w:r>
      <w:r w:rsidR="001A0381">
        <w:t xml:space="preserve">qualitative </w:t>
      </w:r>
      <w:r w:rsidR="008B1895">
        <w:t>visual evidence of possible changes in RSN correlation structure and RSN volumetric extent as a f</w:t>
      </w:r>
      <w:r w:rsidR="00E23CE3">
        <w:t>unction of clinical progression.</w:t>
      </w:r>
    </w:p>
    <w:p w:rsidR="00C073BD" w:rsidRDefault="00923035" w:rsidP="00F8693D">
      <w:r>
        <w:t xml:space="preserve">Figures </w:t>
      </w:r>
      <w:r w:rsidR="00E23CE3">
        <w:t>1-5</w:t>
      </w:r>
      <w:r>
        <w:t xml:space="preserve"> </w:t>
      </w:r>
      <w:r w:rsidR="001A0381">
        <w:t>show</w:t>
      </w:r>
      <w:r>
        <w:t xml:space="preserve"> the output of volumetric one-sample </w:t>
      </w:r>
      <w:r w:rsidRPr="00923035">
        <w:rPr>
          <w:i/>
        </w:rPr>
        <w:t>t</w:t>
      </w:r>
      <w:r>
        <w:t xml:space="preserve"> tests on group </w:t>
      </w:r>
      <w:r w:rsidR="00A4480A">
        <w:t>averaged correlation map</w:t>
      </w:r>
      <w:r w:rsidR="00E23CE3">
        <w:t>s.  A group average correlation map consists</w:t>
      </w:r>
      <w:r>
        <w:t xml:space="preserve"> of </w:t>
      </w:r>
      <w:r w:rsidR="00E23CE3">
        <w:t xml:space="preserve">the group average of individual subject </w:t>
      </w:r>
      <w:r>
        <w:t xml:space="preserve">Fisher z-transformed Pearson correlation </w:t>
      </w:r>
      <w:r w:rsidR="000F2AC8">
        <w:t xml:space="preserve">coefficient </w:t>
      </w:r>
      <w:r>
        <w:t xml:space="preserve">maps.  The displayed values </w:t>
      </w:r>
      <w:r w:rsidR="00A87295">
        <w:t xml:space="preserve">are </w:t>
      </w:r>
      <w:r w:rsidR="00E23CE3">
        <w:t>in units of the standard normal</w:t>
      </w:r>
      <w:r w:rsidR="00AF5CB0">
        <w:t xml:space="preserve">, </w:t>
      </w:r>
      <w:r w:rsidR="00AF5CB0" w:rsidRPr="00AF5CB0">
        <w:rPr>
          <w:i/>
        </w:rPr>
        <w:t>Z</w:t>
      </w:r>
      <w:r w:rsidR="00E23CE3">
        <w:t xml:space="preserve">.  </w:t>
      </w:r>
      <w:r w:rsidR="001A0381">
        <w:t xml:space="preserve">  An </w:t>
      </w:r>
      <w:r w:rsidR="001A0381" w:rsidRPr="001A0381">
        <w:rPr>
          <w:i/>
        </w:rPr>
        <w:t>ad hoc</w:t>
      </w:r>
      <w:r w:rsidR="001A0381">
        <w:t xml:space="preserve"> thresholding approach is used to identify clusters</w:t>
      </w:r>
      <w:r w:rsidR="00E23CE3">
        <w:t xml:space="preserve"> for </w:t>
      </w:r>
      <w:r w:rsidR="00E23CE3" w:rsidRPr="00E23CE3">
        <w:rPr>
          <w:i/>
        </w:rPr>
        <w:t>display purposes only</w:t>
      </w:r>
      <w:r w:rsidR="00E23CE3">
        <w:t xml:space="preserve">.  </w:t>
      </w:r>
      <w:r w:rsidR="001A0381">
        <w:t>An uncorrected</w:t>
      </w:r>
      <w:r>
        <w:t xml:space="preserve"> voxel level </w:t>
      </w:r>
      <w:r w:rsidR="001A0381">
        <w:rPr>
          <w:i/>
        </w:rPr>
        <w:t>P</w:t>
      </w:r>
      <w:r w:rsidR="00F662B2">
        <w:rPr>
          <w:i/>
          <w:vertAlign w:val="subscript"/>
        </w:rPr>
        <w:t xml:space="preserve"> </w:t>
      </w:r>
      <w:r>
        <w:t>value</w:t>
      </w:r>
      <w:r w:rsidR="001A0381">
        <w:t xml:space="preserve"> (one-sided)</w:t>
      </w:r>
      <w:r>
        <w:t xml:space="preserve"> </w:t>
      </w:r>
      <w:r w:rsidR="001A0381">
        <w:t xml:space="preserve">is </w:t>
      </w:r>
      <w:r>
        <w:t>used as the c</w:t>
      </w:r>
      <w:r w:rsidR="00E23CE3">
        <w:t>luster defining threshold (CDT)</w:t>
      </w:r>
      <w:r w:rsidR="00F662B2">
        <w:t xml:space="preserve">, </w:t>
      </w:r>
      <w:r w:rsidR="00326249" w:rsidRPr="00326249">
        <w:rPr>
          <w:i/>
        </w:rPr>
        <w:t>P</w:t>
      </w:r>
      <w:r w:rsidR="00326249" w:rsidRPr="00326249">
        <w:rPr>
          <w:i/>
          <w:vertAlign w:val="subscript"/>
        </w:rPr>
        <w:t>CDT</w:t>
      </w:r>
      <w:r w:rsidR="00920F93">
        <w:rPr>
          <w:i/>
          <w:vertAlign w:val="subscript"/>
        </w:rPr>
        <w:t xml:space="preserve"> </w:t>
      </w:r>
      <w:r w:rsidR="00B738B0">
        <w:t xml:space="preserve"> </w:t>
      </w:r>
      <w:r w:rsidR="00E23CE3">
        <w:t>=</w:t>
      </w:r>
      <w:r w:rsidR="00920F93">
        <w:t xml:space="preserve"> </w:t>
      </w:r>
      <w:r w:rsidR="00E23CE3">
        <w:t>0.025</w:t>
      </w:r>
      <w:r w:rsidR="003C21DC">
        <w:t xml:space="preserve"> (</w:t>
      </w:r>
      <w:r w:rsidR="00AF5CB0" w:rsidRPr="00AF5CB0">
        <w:rPr>
          <w:i/>
        </w:rPr>
        <w:t>Z</w:t>
      </w:r>
      <w:r w:rsidR="003C21DC">
        <w:t xml:space="preserve">=1.96).  </w:t>
      </w:r>
      <w:r w:rsidR="00E23CE3">
        <w:t>C</w:t>
      </w:r>
      <w:r w:rsidR="001A0381">
        <w:t>luster extent</w:t>
      </w:r>
      <w:r w:rsidR="00011B6E">
        <w:t xml:space="preserve"> threshold</w:t>
      </w:r>
      <w:r w:rsidR="00F662B2">
        <w:t>,</w:t>
      </w:r>
      <w:r w:rsidR="001A0381">
        <w:t xml:space="preserve"> </w:t>
      </w:r>
      <w:r w:rsidR="00B738B0">
        <w:t>N</w:t>
      </w:r>
      <w:r w:rsidR="00B738B0" w:rsidRPr="00B738B0">
        <w:rPr>
          <w:vertAlign w:val="subscript"/>
        </w:rPr>
        <w:t>C</w:t>
      </w:r>
      <w:r w:rsidR="00011B6E">
        <w:rPr>
          <w:vertAlign w:val="subscript"/>
        </w:rPr>
        <w:t>T</w:t>
      </w:r>
      <w:r w:rsidR="00F662B2">
        <w:t xml:space="preserve">, </w:t>
      </w:r>
      <w:r w:rsidR="00E23CE3">
        <w:t xml:space="preserve">is set </w:t>
      </w:r>
      <w:r w:rsidR="00B738B0">
        <w:t>to</w:t>
      </w:r>
      <w:r w:rsidR="00E23CE3">
        <w:t xml:space="preserve"> an arbitrary </w:t>
      </w:r>
      <w:r w:rsidR="006A5F74">
        <w:t>threshold of 50-</w:t>
      </w:r>
      <w:r w:rsidR="00E23CE3">
        <w:t>100 9mm</w:t>
      </w:r>
      <w:r w:rsidR="00E23CE3" w:rsidRPr="00E23CE3">
        <w:rPr>
          <w:vertAlign w:val="superscript"/>
        </w:rPr>
        <w:t>3</w:t>
      </w:r>
      <w:r w:rsidR="003C21DC">
        <w:t xml:space="preserve"> voxels</w:t>
      </w:r>
      <w:r w:rsidR="00B738B0">
        <w:t xml:space="preserve">.  For RSNs with nodes that are themselves </w:t>
      </w:r>
      <w:r w:rsidR="006A5F74">
        <w:t>comparatively volumetrically</w:t>
      </w:r>
      <w:r w:rsidR="00B738B0">
        <w:t xml:space="preserve"> small N</w:t>
      </w:r>
      <w:r w:rsidR="00B738B0" w:rsidRPr="00B738B0">
        <w:rPr>
          <w:vertAlign w:val="subscript"/>
        </w:rPr>
        <w:t>C</w:t>
      </w:r>
      <w:r w:rsidR="00ED2FEE">
        <w:rPr>
          <w:vertAlign w:val="subscript"/>
        </w:rPr>
        <w:t>T</w:t>
      </w:r>
      <w:r w:rsidR="00B738B0">
        <w:t xml:space="preserve">=50.  </w:t>
      </w:r>
      <w:r w:rsidR="000F2AC8">
        <w:t xml:space="preserve">In comparison, </w:t>
      </w:r>
      <w:r w:rsidR="003C21DC">
        <w:t xml:space="preserve">the </w:t>
      </w:r>
      <w:r w:rsidR="00877EEF">
        <w:t xml:space="preserve">volumetric </w:t>
      </w:r>
      <w:r w:rsidR="003C21DC">
        <w:t>extent of a 6</w:t>
      </w:r>
      <w:r w:rsidR="00ED2FEE">
        <w:t>-</w:t>
      </w:r>
      <w:r w:rsidR="003C21DC">
        <w:t>mm radius ROI seed is 33 voxels.  Figure</w:t>
      </w:r>
      <w:r w:rsidR="00E23CE3">
        <w:t xml:space="preserve"> color </w:t>
      </w:r>
      <w:r w:rsidR="00B738B0">
        <w:t>maximum threshold</w:t>
      </w:r>
      <w:r w:rsidR="00E23CE3">
        <w:t xml:space="preserve"> is controlled by </w:t>
      </w:r>
      <w:r w:rsidR="00E23CE3" w:rsidRPr="003C21DC">
        <w:rPr>
          <w:i/>
        </w:rPr>
        <w:t>P</w:t>
      </w:r>
      <w:r w:rsidR="00B738B0">
        <w:rPr>
          <w:i/>
          <w:vertAlign w:val="subscript"/>
        </w:rPr>
        <w:t>CMT</w:t>
      </w:r>
      <w:r w:rsidR="00031116">
        <w:t xml:space="preserve"> </w:t>
      </w:r>
      <w:r w:rsidR="00920F93">
        <w:t xml:space="preserve">= 0.005, one-sided, </w:t>
      </w:r>
      <w:r w:rsidR="00E23CE3">
        <w:t xml:space="preserve">such that </w:t>
      </w:r>
      <w:r w:rsidR="00ED2FEE">
        <w:t>Z</w:t>
      </w:r>
      <w:r w:rsidR="00E23CE3">
        <w:t xml:space="preserve"> </w:t>
      </w:r>
      <w:r w:rsidR="00E23CE3">
        <w:rPr>
          <w:rFonts w:cstheme="minorHAnsi"/>
        </w:rPr>
        <w:t>≥</w:t>
      </w:r>
      <w:r w:rsidR="00E23CE3" w:rsidRPr="00E23CE3">
        <w:t xml:space="preserve"> </w:t>
      </w:r>
      <w:r w:rsidR="00E23CE3">
        <w:t>+</w:t>
      </w:r>
      <w:r w:rsidR="00B738B0" w:rsidRPr="003C21DC">
        <w:rPr>
          <w:i/>
        </w:rPr>
        <w:t>P</w:t>
      </w:r>
      <w:r w:rsidR="00B738B0">
        <w:rPr>
          <w:i/>
          <w:vertAlign w:val="subscript"/>
        </w:rPr>
        <w:t>CMT</w:t>
      </w:r>
      <w:r w:rsidR="00E23CE3">
        <w:t xml:space="preserve"> saturate</w:t>
      </w:r>
      <w:r w:rsidR="00920F93">
        <w:t>s</w:t>
      </w:r>
      <w:r w:rsidR="00E23CE3">
        <w:t xml:space="preserve"> red; </w:t>
      </w:r>
      <w:r w:rsidR="00ED2FEE">
        <w:t>Z</w:t>
      </w:r>
      <w:r w:rsidR="00E23CE3">
        <w:t xml:space="preserve"> </w:t>
      </w:r>
      <w:r w:rsidR="00E23CE3">
        <w:rPr>
          <w:rFonts w:cstheme="minorHAnsi"/>
        </w:rPr>
        <w:t>≤</w:t>
      </w:r>
      <w:r w:rsidR="003C21DC">
        <w:t xml:space="preserve"> -</w:t>
      </w:r>
      <w:r w:rsidR="00B738B0" w:rsidRPr="003C21DC">
        <w:rPr>
          <w:i/>
        </w:rPr>
        <w:t>P</w:t>
      </w:r>
      <w:r w:rsidR="00B738B0">
        <w:rPr>
          <w:i/>
          <w:vertAlign w:val="subscript"/>
        </w:rPr>
        <w:t>CMT</w:t>
      </w:r>
      <w:r w:rsidR="00E23CE3">
        <w:t xml:space="preserve"> </w:t>
      </w:r>
      <w:r w:rsidR="003C21DC">
        <w:t>saturate</w:t>
      </w:r>
      <w:r w:rsidR="00920F93">
        <w:t>s</w:t>
      </w:r>
      <w:r w:rsidR="003C21DC">
        <w:t xml:space="preserve"> dark blue.  </w:t>
      </w:r>
      <w:r w:rsidR="00A87295">
        <w:t xml:space="preserve">That is, only the “tails” of the </w:t>
      </w:r>
      <w:r w:rsidR="00A4480A">
        <w:t xml:space="preserve">normalized </w:t>
      </w:r>
      <w:r w:rsidR="00A87295">
        <w:t xml:space="preserve">distribution of group averaged </w:t>
      </w:r>
      <w:r w:rsidR="00920F93">
        <w:t xml:space="preserve">correlation </w:t>
      </w:r>
      <w:r w:rsidR="00A4480A">
        <w:t xml:space="preserve">map values </w:t>
      </w:r>
      <w:r w:rsidR="003C21DC">
        <w:t>are</w:t>
      </w:r>
      <w:r w:rsidR="00C073BD">
        <w:t xml:space="preserve"> shown.  </w:t>
      </w:r>
      <w:r w:rsidR="00A87295">
        <w:t xml:space="preserve">All of the Figures </w:t>
      </w:r>
      <w:r w:rsidR="00A4480A">
        <w:t>below are with global signal removed, spatial smoothing of 6</w:t>
      </w:r>
      <w:r w:rsidR="00ED2FEE">
        <w:t>-</w:t>
      </w:r>
      <w:r w:rsidR="00877EEF">
        <w:t xml:space="preserve">mm </w:t>
      </w:r>
      <w:r w:rsidR="00A4480A">
        <w:t xml:space="preserve">and </w:t>
      </w:r>
      <w:r w:rsidR="00877EEF">
        <w:t xml:space="preserve">simple </w:t>
      </w:r>
      <w:r w:rsidR="00A4480A">
        <w:t>ROI seed (i.e.</w:t>
      </w:r>
      <w:r w:rsidR="003C21DC">
        <w:t xml:space="preserve">, </w:t>
      </w:r>
      <w:r w:rsidR="00C073BD">
        <w:t>not using the “expanded ROI”).</w:t>
      </w:r>
    </w:p>
    <w:p w:rsidR="00031116" w:rsidRDefault="00126B04" w:rsidP="00F8693D">
      <w:pPr>
        <w:rPr>
          <w:rFonts w:cstheme="minorHAnsi"/>
        </w:rPr>
      </w:pPr>
      <w:r>
        <w:t>The</w:t>
      </w:r>
      <w:r w:rsidR="00C073BD">
        <w:t xml:space="preserve"> </w:t>
      </w:r>
      <w:r w:rsidR="003E08D4">
        <w:t>AFN</w:t>
      </w:r>
      <w:r w:rsidR="00AB7511">
        <w:t xml:space="preserve">I 3dClustSim procedure </w:t>
      </w:r>
      <w:r>
        <w:t>was used to</w:t>
      </w:r>
      <w:r w:rsidR="003E08D4">
        <w:t xml:space="preserve"> </w:t>
      </w:r>
      <w:r>
        <w:t>estimate</w:t>
      </w:r>
      <w:r w:rsidR="003E08D4">
        <w:t xml:space="preserve"> </w:t>
      </w:r>
      <w:r>
        <w:t xml:space="preserve">the probability of </w:t>
      </w:r>
      <w:r w:rsidR="003E08D4">
        <w:t>false positive clusters</w:t>
      </w:r>
      <w:r w:rsidR="00B738B0">
        <w:t xml:space="preserve">.  </w:t>
      </w:r>
      <w:r>
        <w:t xml:space="preserve">The output of 3dClustSim is </w:t>
      </w:r>
      <w:r w:rsidR="00A84A3F">
        <w:rPr>
          <w:rFonts w:cstheme="minorHAnsi"/>
        </w:rPr>
        <w:t>N</w:t>
      </w:r>
      <w:r w:rsidR="00A84A3F" w:rsidRPr="00A84A3F">
        <w:rPr>
          <w:rFonts w:cstheme="minorHAnsi"/>
          <w:vertAlign w:val="subscript"/>
        </w:rPr>
        <w:t>α</w:t>
      </w:r>
      <w:r w:rsidR="00A84A3F">
        <w:t xml:space="preserve"> = </w:t>
      </w:r>
      <w:r w:rsidR="00903718">
        <w:t>C</w:t>
      </w:r>
      <w:r>
        <w:t>(</w:t>
      </w:r>
      <w:r>
        <w:rPr>
          <w:i/>
        </w:rPr>
        <w:t>P</w:t>
      </w:r>
      <w:r w:rsidRPr="00B738B0">
        <w:rPr>
          <w:i/>
          <w:vertAlign w:val="subscript"/>
        </w:rPr>
        <w:t>CDT</w:t>
      </w:r>
      <w:r>
        <w:t xml:space="preserve">, </w:t>
      </w:r>
      <w:r>
        <w:rPr>
          <w:rFonts w:cstheme="minorHAnsi"/>
        </w:rPr>
        <w:t>α</w:t>
      </w:r>
      <w:r w:rsidR="00903718">
        <w:t xml:space="preserve">), where </w:t>
      </w:r>
      <w:r w:rsidR="00903718">
        <w:rPr>
          <w:rFonts w:cstheme="minorHAnsi"/>
        </w:rPr>
        <w:t>N</w:t>
      </w:r>
      <w:r w:rsidR="00903718" w:rsidRPr="00A84A3F">
        <w:rPr>
          <w:rFonts w:cstheme="minorHAnsi"/>
          <w:vertAlign w:val="subscript"/>
        </w:rPr>
        <w:t>α</w:t>
      </w:r>
      <w:r>
        <w:t xml:space="preserve"> is the smallest cluster size for which the probability of an image subject</w:t>
      </w:r>
      <w:r w:rsidR="00920F93">
        <w:t>ed</w:t>
      </w:r>
      <w:r>
        <w:t xml:space="preserve"> to threshold </w:t>
      </w:r>
      <w:r>
        <w:rPr>
          <w:i/>
        </w:rPr>
        <w:t>P</w:t>
      </w:r>
      <w:r w:rsidRPr="00B738B0">
        <w:rPr>
          <w:i/>
          <w:vertAlign w:val="subscript"/>
        </w:rPr>
        <w:t>CDT</w:t>
      </w:r>
      <w:r>
        <w:t xml:space="preserve">  and having a noise-only cluster of size C is less than </w:t>
      </w:r>
      <w:r>
        <w:rPr>
          <w:rFonts w:cstheme="minorHAnsi"/>
        </w:rPr>
        <w:t xml:space="preserve">α.  </w:t>
      </w:r>
      <w:r w:rsidR="00B738B0">
        <w:t xml:space="preserve">Input parameters for the </w:t>
      </w:r>
      <w:r w:rsidR="00C073BD">
        <w:t xml:space="preserve">spatial autocorrelation function (ACF) option </w:t>
      </w:r>
      <w:r w:rsidR="00B738B0">
        <w:t>were estimated by averaging</w:t>
      </w:r>
      <w:r>
        <w:t xml:space="preserve"> over the pooled set of</w:t>
      </w:r>
      <w:r w:rsidR="00B738B0">
        <w:t xml:space="preserve"> individual subject ACF estimates (obtained during the preprocessing stage).  The results were: a</w:t>
      </w:r>
      <w:r w:rsidR="004271ED">
        <w:t xml:space="preserve"> = 0.569; b = 5.126; c = 13.929</w:t>
      </w:r>
      <w:r w:rsidR="00B738B0">
        <w:t xml:space="preserve">.  </w:t>
      </w:r>
      <w:r>
        <w:rPr>
          <w:rFonts w:cstheme="minorHAnsi"/>
        </w:rPr>
        <w:t xml:space="preserve">3dClustSim output was </w:t>
      </w:r>
      <w:r w:rsidR="00031116">
        <w:rPr>
          <w:rFonts w:cstheme="minorHAnsi"/>
        </w:rPr>
        <w:t>C(</w:t>
      </w:r>
      <w:r w:rsidR="00031116">
        <w:rPr>
          <w:i/>
        </w:rPr>
        <w:t>P</w:t>
      </w:r>
      <w:r w:rsidR="00031116" w:rsidRPr="00B738B0">
        <w:rPr>
          <w:i/>
          <w:vertAlign w:val="subscript"/>
        </w:rPr>
        <w:t>CDT</w:t>
      </w:r>
      <w:r w:rsidR="00031116">
        <w:rPr>
          <w:i/>
          <w:vertAlign w:val="subscript"/>
        </w:rPr>
        <w:t xml:space="preserve"> </w:t>
      </w:r>
      <w:r w:rsidR="00031116">
        <w:t>= 0.025</w:t>
      </w:r>
      <w:r>
        <w:t>, one-sided</w:t>
      </w:r>
      <w:r w:rsidR="004271ED">
        <w:t xml:space="preserve">; </w:t>
      </w:r>
      <w:r w:rsidR="00031116">
        <w:rPr>
          <w:rFonts w:cstheme="minorHAnsi"/>
        </w:rPr>
        <w:t>α</w:t>
      </w:r>
      <w:r>
        <w:rPr>
          <w:rFonts w:cstheme="minorHAnsi"/>
        </w:rPr>
        <w:t xml:space="preserve"> = 0.05, two-sided</w:t>
      </w:r>
      <w:r w:rsidR="00031116">
        <w:rPr>
          <w:rFonts w:cstheme="minorHAnsi"/>
        </w:rPr>
        <w:t>) = 531</w:t>
      </w:r>
      <w:r w:rsidR="00A84A3F">
        <w:rPr>
          <w:rFonts w:cstheme="minorHAnsi"/>
        </w:rPr>
        <w:t xml:space="preserve"> = N</w:t>
      </w:r>
      <w:r w:rsidR="00A84A3F" w:rsidRPr="00A84A3F">
        <w:rPr>
          <w:rFonts w:cstheme="minorHAnsi"/>
          <w:vertAlign w:val="subscript"/>
        </w:rPr>
        <w:t>α</w:t>
      </w:r>
      <w:r w:rsidR="00920F93">
        <w:rPr>
          <w:rFonts w:cstheme="minorHAnsi"/>
        </w:rPr>
        <w:t>.</w:t>
      </w:r>
    </w:p>
    <w:p w:rsidR="008B1895" w:rsidRDefault="004271ED" w:rsidP="00F8693D">
      <w:r>
        <w:t xml:space="preserve">Figure 1 shows </w:t>
      </w:r>
      <w:r w:rsidR="008B1895">
        <w:t xml:space="preserve">CON RSN </w:t>
      </w:r>
      <w:r w:rsidR="0016656F">
        <w:t xml:space="preserve">group averaged </w:t>
      </w:r>
      <w:r w:rsidR="008B1895">
        <w:t xml:space="preserve">correlation maps for </w:t>
      </w:r>
      <w:r w:rsidR="0016656F">
        <w:t xml:space="preserve">CN, MCI and Dementia groups for </w:t>
      </w:r>
      <w:r w:rsidR="00DE656B">
        <w:t xml:space="preserve">an </w:t>
      </w:r>
      <w:r w:rsidR="008B1895">
        <w:t xml:space="preserve">ROI </w:t>
      </w:r>
      <w:r w:rsidR="00DE656B">
        <w:t xml:space="preserve">positioned </w:t>
      </w:r>
      <w:r w:rsidR="008B1895">
        <w:t xml:space="preserve">at </w:t>
      </w:r>
      <w:r w:rsidR="00DE656B">
        <w:t xml:space="preserve">the </w:t>
      </w:r>
      <w:r w:rsidR="008B1895">
        <w:t>dorsal medial PFC</w:t>
      </w:r>
      <w:r w:rsidR="00126B04">
        <w:t xml:space="preserve">.  </w:t>
      </w:r>
      <w:r w:rsidR="008B1895">
        <w:t xml:space="preserve">In the CN group, the </w:t>
      </w:r>
      <w:r w:rsidR="00A84A3F">
        <w:t xml:space="preserve">correlation (standard normal) </w:t>
      </w:r>
      <w:r w:rsidR="00126B04">
        <w:t>Z score</w:t>
      </w:r>
      <w:r w:rsidR="008B1895">
        <w:t xml:space="preserve"> range </w:t>
      </w:r>
      <w:r w:rsidR="00126B04">
        <w:t>was (-4.41, 4.29</w:t>
      </w:r>
      <w:r w:rsidR="008B1895">
        <w:t xml:space="preserve">) with positive correlation </w:t>
      </w:r>
      <w:r w:rsidR="00DE656B">
        <w:t xml:space="preserve">between ROI seed and </w:t>
      </w:r>
      <w:r w:rsidR="008B1895">
        <w:t>left and right anterior PFC</w:t>
      </w:r>
      <w:r w:rsidR="00126B04">
        <w:t xml:space="preserve"> (</w:t>
      </w:r>
      <w:r w:rsidR="00A84A3F">
        <w:t>cluster size, N</w:t>
      </w:r>
      <w:r w:rsidR="00A84A3F" w:rsidRPr="00A84A3F">
        <w:rPr>
          <w:vertAlign w:val="subscript"/>
        </w:rPr>
        <w:t>V</w:t>
      </w:r>
      <w:r w:rsidR="00A84A3F">
        <w:t xml:space="preserve">=4185, </w:t>
      </w:r>
      <w:r w:rsidR="00A84A3F">
        <w:rPr>
          <w:rFonts w:cstheme="minorHAnsi"/>
        </w:rPr>
        <w:t>α&lt;&lt;0.01)</w:t>
      </w:r>
      <w:r w:rsidR="008B1895">
        <w:t>, and anti-correlation with left and right super</w:t>
      </w:r>
      <w:r w:rsidR="00DE656B">
        <w:t>ior parietal cortical regions</w:t>
      </w:r>
      <w:r w:rsidR="00A84A3F">
        <w:t xml:space="preserve"> (N</w:t>
      </w:r>
      <w:r w:rsidR="00A84A3F" w:rsidRPr="00A84A3F">
        <w:rPr>
          <w:vertAlign w:val="subscript"/>
        </w:rPr>
        <w:t>V</w:t>
      </w:r>
      <w:r w:rsidR="00A84A3F">
        <w:t xml:space="preserve">=1134, </w:t>
      </w:r>
      <w:r w:rsidR="00A84A3F">
        <w:rPr>
          <w:rFonts w:cstheme="minorHAnsi"/>
        </w:rPr>
        <w:t>α&lt;&lt;0.01)</w:t>
      </w:r>
      <w:r w:rsidR="008B1895">
        <w:t>.</w:t>
      </w:r>
      <w:r w:rsidR="0016656F">
        <w:t xml:space="preserve">  </w:t>
      </w:r>
      <w:r w:rsidR="008B1895">
        <w:t xml:space="preserve">In the MCI group, the correlation </w:t>
      </w:r>
      <w:r w:rsidR="00A84A3F">
        <w:t>Z score range was (-4.80, 4.66</w:t>
      </w:r>
      <w:r w:rsidR="008B1895">
        <w:t>)</w:t>
      </w:r>
      <w:r w:rsidR="0034287D">
        <w:t xml:space="preserve">.  Cluster size and </w:t>
      </w:r>
      <w:r w:rsidR="0034287D">
        <w:rPr>
          <w:rFonts w:cstheme="minorHAnsi"/>
        </w:rPr>
        <w:t>α</w:t>
      </w:r>
      <w:r w:rsidR="0034287D">
        <w:t xml:space="preserve"> value for anterior PFC was (N</w:t>
      </w:r>
      <w:r w:rsidR="0034287D" w:rsidRPr="00A84A3F">
        <w:rPr>
          <w:vertAlign w:val="subscript"/>
        </w:rPr>
        <w:t>V</w:t>
      </w:r>
      <w:r w:rsidR="0034287D">
        <w:t xml:space="preserve">=5333, </w:t>
      </w:r>
      <w:r w:rsidR="0034287D">
        <w:rPr>
          <w:rFonts w:cstheme="minorHAnsi"/>
        </w:rPr>
        <w:t>α&lt;&lt;0.01</w:t>
      </w:r>
      <w:r w:rsidR="0034287D">
        <w:t>); (N</w:t>
      </w:r>
      <w:r w:rsidR="0034287D" w:rsidRPr="00A84A3F">
        <w:rPr>
          <w:vertAlign w:val="subscript"/>
        </w:rPr>
        <w:t>V</w:t>
      </w:r>
      <w:r w:rsidR="0034287D">
        <w:t xml:space="preserve">=841, </w:t>
      </w:r>
      <w:r w:rsidR="0034287D">
        <w:rPr>
          <w:rFonts w:cstheme="minorHAnsi"/>
        </w:rPr>
        <w:t>α&lt;0.01</w:t>
      </w:r>
      <w:r>
        <w:t xml:space="preserve">) for superior parietal.  The </w:t>
      </w:r>
      <w:r w:rsidR="008B1895">
        <w:t>region of positive correlation with PCC</w:t>
      </w:r>
      <w:r w:rsidR="00A84A3F">
        <w:t xml:space="preserve"> (N</w:t>
      </w:r>
      <w:r w:rsidR="00A84A3F" w:rsidRPr="00A84A3F">
        <w:rPr>
          <w:vertAlign w:val="subscript"/>
        </w:rPr>
        <w:t>V</w:t>
      </w:r>
      <w:r w:rsidR="00A84A3F">
        <w:t>=184</w:t>
      </w:r>
      <w:r>
        <w:t xml:space="preserve">, </w:t>
      </w:r>
      <w:r>
        <w:rPr>
          <w:rFonts w:cstheme="minorHAnsi"/>
        </w:rPr>
        <w:t>α&gt;0.1</w:t>
      </w:r>
      <w:r w:rsidR="00A84A3F">
        <w:t>)</w:t>
      </w:r>
      <w:r>
        <w:t xml:space="preserve"> fails statistical significance for spatial extent.</w:t>
      </w:r>
      <w:r w:rsidR="008B1895">
        <w:t xml:space="preserve">  In the Dementia group, the correlation </w:t>
      </w:r>
      <w:r w:rsidR="0034287D">
        <w:t>Z score was (-4.09, 3.91</w:t>
      </w:r>
      <w:r w:rsidR="008B1895">
        <w:t xml:space="preserve">).  </w:t>
      </w:r>
      <w:r w:rsidR="0034287D">
        <w:t xml:space="preserve">Cluster size and </w:t>
      </w:r>
      <w:r w:rsidR="0034287D">
        <w:rPr>
          <w:rFonts w:cstheme="minorHAnsi"/>
        </w:rPr>
        <w:t>α</w:t>
      </w:r>
      <w:r w:rsidR="0034287D">
        <w:t xml:space="preserve"> value for anterior PFC was (N</w:t>
      </w:r>
      <w:r w:rsidR="0034287D" w:rsidRPr="00A84A3F">
        <w:rPr>
          <w:vertAlign w:val="subscript"/>
        </w:rPr>
        <w:t>V</w:t>
      </w:r>
      <w:r w:rsidR="0034287D">
        <w:t xml:space="preserve">=3622, </w:t>
      </w:r>
      <w:r w:rsidR="0034287D">
        <w:rPr>
          <w:rFonts w:cstheme="minorHAnsi"/>
        </w:rPr>
        <w:t>α&lt;&lt;0.01</w:t>
      </w:r>
      <w:r w:rsidR="0034287D">
        <w:t xml:space="preserve">).  </w:t>
      </w:r>
      <w:r w:rsidR="00901EB6">
        <w:t>In</w:t>
      </w:r>
      <w:r w:rsidR="0034287D">
        <w:t xml:space="preserve"> </w:t>
      </w:r>
      <w:r w:rsidR="00901EB6">
        <w:t xml:space="preserve">the region occupied by the </w:t>
      </w:r>
      <w:r w:rsidR="0034287D">
        <w:t xml:space="preserve">single superior parietal cluster observed in CN and MIC </w:t>
      </w:r>
      <w:r w:rsidR="00901EB6">
        <w:t>there are two smaller independent</w:t>
      </w:r>
      <w:r w:rsidR="0034287D">
        <w:t>: N</w:t>
      </w:r>
      <w:r w:rsidR="0034287D" w:rsidRPr="00A84A3F">
        <w:rPr>
          <w:vertAlign w:val="subscript"/>
        </w:rPr>
        <w:t>V</w:t>
      </w:r>
      <w:r w:rsidR="0034287D">
        <w:t>=108</w:t>
      </w:r>
      <w:r w:rsidR="00901EB6">
        <w:t xml:space="preserve">, </w:t>
      </w:r>
      <w:r w:rsidR="00901EB6">
        <w:rPr>
          <w:rFonts w:cstheme="minorHAnsi"/>
        </w:rPr>
        <w:t>α&gt;0.1</w:t>
      </w:r>
      <w:r w:rsidR="0034287D">
        <w:t xml:space="preserve"> (left); and</w:t>
      </w:r>
      <w:r w:rsidR="0034287D" w:rsidRPr="0034287D">
        <w:t xml:space="preserve"> </w:t>
      </w:r>
      <w:r w:rsidR="0034287D">
        <w:t>N</w:t>
      </w:r>
      <w:r w:rsidR="0034287D" w:rsidRPr="00A84A3F">
        <w:rPr>
          <w:vertAlign w:val="subscript"/>
        </w:rPr>
        <w:t>V</w:t>
      </w:r>
      <w:r w:rsidR="00901EB6">
        <w:t xml:space="preserve">=378, </w:t>
      </w:r>
      <w:r w:rsidR="00901EB6">
        <w:rPr>
          <w:rFonts w:cstheme="minorHAnsi"/>
        </w:rPr>
        <w:t>α&gt;0.1</w:t>
      </w:r>
      <w:r w:rsidR="00901EB6">
        <w:t xml:space="preserve"> (right).  Neither cluster on its own meets the criterion for statistical significance.  However, intuition suggests that the occurrence of a pair of clusters bilaterally and in approximately equivalent positions </w:t>
      </w:r>
      <w:r w:rsidR="00E4724F">
        <w:t>is a low probability event.</w:t>
      </w:r>
    </w:p>
    <w:p w:rsidR="00C3642A" w:rsidRDefault="00C3642A" w:rsidP="00F8693D">
      <w:r>
        <w:t xml:space="preserve">Figure 2 shows DAN RSN </w:t>
      </w:r>
      <w:r w:rsidR="00804F46">
        <w:t xml:space="preserve">group averaged correlation maps for CN, MCI and Dementia groups for an ROI positioned at the left Visual Area </w:t>
      </w:r>
      <w:r w:rsidR="0099425D">
        <w:t xml:space="preserve">MT.  </w:t>
      </w:r>
      <w:r>
        <w:t xml:space="preserve">In the CN group, the correlation </w:t>
      </w:r>
      <w:r w:rsidR="0099425D">
        <w:t>Z score distribution</w:t>
      </w:r>
      <w:r>
        <w:t xml:space="preserve"> was long-tailed to the positive side (-4.17, 6.23) with positive correlation </w:t>
      </w:r>
      <w:r w:rsidR="0099425D">
        <w:t xml:space="preserve">in a large single cluster including </w:t>
      </w:r>
      <w:r>
        <w:t xml:space="preserve">left and </w:t>
      </w:r>
      <w:r>
        <w:lastRenderedPageBreak/>
        <w:t xml:space="preserve">right </w:t>
      </w:r>
      <w:r w:rsidR="00453A72">
        <w:t>posterior intraparietal sulcus</w:t>
      </w:r>
      <w:r w:rsidR="0099425D">
        <w:t xml:space="preserve"> (N</w:t>
      </w:r>
      <w:r w:rsidR="0099425D" w:rsidRPr="00A84A3F">
        <w:rPr>
          <w:vertAlign w:val="subscript"/>
        </w:rPr>
        <w:t>V</w:t>
      </w:r>
      <w:r w:rsidR="0099425D">
        <w:t xml:space="preserve">=7791, </w:t>
      </w:r>
      <w:r w:rsidR="0099425D">
        <w:rPr>
          <w:rFonts w:cstheme="minorHAnsi"/>
        </w:rPr>
        <w:t xml:space="preserve">α&lt;&lt;0.01), and smaller clusters in </w:t>
      </w:r>
      <w:r>
        <w:t>right anterior intraparietal sulcus</w:t>
      </w:r>
      <w:r w:rsidR="0099425D">
        <w:t xml:space="preserve"> (N</w:t>
      </w:r>
      <w:r w:rsidR="0099425D" w:rsidRPr="00A84A3F">
        <w:rPr>
          <w:vertAlign w:val="subscript"/>
        </w:rPr>
        <w:t>V</w:t>
      </w:r>
      <w:r w:rsidR="0099425D">
        <w:t>~230</w:t>
      </w:r>
      <w:r w:rsidR="00A405D0">
        <w:t xml:space="preserve">, </w:t>
      </w:r>
      <w:r w:rsidR="00A405D0">
        <w:rPr>
          <w:rFonts w:cstheme="minorHAnsi"/>
        </w:rPr>
        <w:t>α&gt;0.1</w:t>
      </w:r>
      <w:r w:rsidR="0099425D">
        <w:t xml:space="preserve">), </w:t>
      </w:r>
      <w:r>
        <w:t>and left and right frontal eye fields</w:t>
      </w:r>
      <w:r w:rsidR="0099425D">
        <w:t xml:space="preserve"> (N</w:t>
      </w:r>
      <w:r w:rsidR="0099425D" w:rsidRPr="00A84A3F">
        <w:rPr>
          <w:vertAlign w:val="subscript"/>
        </w:rPr>
        <w:t>V</w:t>
      </w:r>
      <w:r w:rsidR="0099425D">
        <w:t>~240)</w:t>
      </w:r>
      <w:r>
        <w:t xml:space="preserve">.  </w:t>
      </w:r>
      <w:r w:rsidR="00A405D0">
        <w:t>Clusters of a</w:t>
      </w:r>
      <w:r>
        <w:t xml:space="preserve">nti-correlation </w:t>
      </w:r>
      <w:r w:rsidR="00A405D0">
        <w:t>were</w:t>
      </w:r>
      <w:r w:rsidR="00673136">
        <w:t xml:space="preserve"> </w:t>
      </w:r>
      <w:r>
        <w:t xml:space="preserve">with left and right posterior intraparietal sulcus regions </w:t>
      </w:r>
      <w:r w:rsidR="0099425D">
        <w:t>(left N</w:t>
      </w:r>
      <w:r w:rsidR="0099425D" w:rsidRPr="00A84A3F">
        <w:rPr>
          <w:vertAlign w:val="subscript"/>
        </w:rPr>
        <w:t>V</w:t>
      </w:r>
      <w:r w:rsidR="0099425D">
        <w:t>~110; right N</w:t>
      </w:r>
      <w:r w:rsidR="0099425D" w:rsidRPr="00A84A3F">
        <w:rPr>
          <w:vertAlign w:val="subscript"/>
        </w:rPr>
        <w:t>V</w:t>
      </w:r>
      <w:r w:rsidR="0099425D">
        <w:t xml:space="preserve">~190) </w:t>
      </w:r>
      <w:r w:rsidR="00673136">
        <w:t xml:space="preserve">and </w:t>
      </w:r>
      <w:r>
        <w:t>with PCC</w:t>
      </w:r>
      <w:r w:rsidR="0099425D">
        <w:t xml:space="preserve"> (N</w:t>
      </w:r>
      <w:r w:rsidR="0099425D" w:rsidRPr="00A84A3F">
        <w:rPr>
          <w:vertAlign w:val="subscript"/>
        </w:rPr>
        <w:t>V</w:t>
      </w:r>
      <w:r w:rsidR="0099425D">
        <w:t>~75)</w:t>
      </w:r>
      <w:r w:rsidR="00804F46">
        <w:t xml:space="preserve">.  </w:t>
      </w:r>
      <w:r>
        <w:t xml:space="preserve">In the MCI group, the correlation </w:t>
      </w:r>
      <w:r w:rsidR="00453A72">
        <w:t>Z score range</w:t>
      </w:r>
      <w:r>
        <w:t xml:space="preserve"> (-4.32, 5.89) and the spatial pattern of correlations and anti-correlations </w:t>
      </w:r>
      <w:r w:rsidR="00804F46">
        <w:t>appear</w:t>
      </w:r>
      <w:r>
        <w:t xml:space="preserve"> mainly intact particularly on the right side</w:t>
      </w:r>
      <w:r w:rsidR="00804F46">
        <w:t xml:space="preserve">.  </w:t>
      </w:r>
      <w:r w:rsidR="00453A72">
        <w:t xml:space="preserve">Individual cluster sizes corresponding to </w:t>
      </w:r>
      <w:r w:rsidR="00A405D0">
        <w:t>nominal</w:t>
      </w:r>
      <w:r w:rsidR="00453A72">
        <w:t xml:space="preserve"> DAN nodes were in the range 115 (</w:t>
      </w:r>
      <w:r w:rsidR="00BA6024">
        <w:t>left intraparietal sulcus</w:t>
      </w:r>
      <w:r w:rsidR="00453A72">
        <w:t>) to 290 (</w:t>
      </w:r>
      <w:r w:rsidR="00BA6024">
        <w:t>right anterior frontal cortex</w:t>
      </w:r>
      <w:r w:rsidR="00453A72">
        <w:t xml:space="preserve">).  </w:t>
      </w:r>
      <w:r>
        <w:t xml:space="preserve">In the Dementia group, the correlation </w:t>
      </w:r>
      <w:r w:rsidR="00453A72">
        <w:t>Z score range</w:t>
      </w:r>
      <w:r>
        <w:t xml:space="preserve"> was (-4.07, 5.84).  In the posterior region, the positive correlations form a nearly continuous band </w:t>
      </w:r>
      <w:r w:rsidR="00BA6024">
        <w:t>(N</w:t>
      </w:r>
      <w:r w:rsidR="00BA6024" w:rsidRPr="00A84A3F">
        <w:rPr>
          <w:vertAlign w:val="subscript"/>
        </w:rPr>
        <w:t>V</w:t>
      </w:r>
      <w:r w:rsidR="00BA6024">
        <w:t xml:space="preserve">=5837, </w:t>
      </w:r>
      <w:r w:rsidR="00BA6024">
        <w:rPr>
          <w:rFonts w:cstheme="minorHAnsi"/>
        </w:rPr>
        <w:t>α&lt;&lt;0.01</w:t>
      </w:r>
      <w:r w:rsidR="00BA6024">
        <w:t xml:space="preserve">) </w:t>
      </w:r>
      <w:r>
        <w:t>compared to the discrete zo</w:t>
      </w:r>
      <w:r w:rsidR="005E7BF1">
        <w:t>nes observed in CN.  The</w:t>
      </w:r>
      <w:r>
        <w:t xml:space="preserve"> anti-correlations with PCC and left and right posterior intraparietal sulcus regions are diminished or absent.  </w:t>
      </w:r>
      <w:r w:rsidR="000B2417">
        <w:t>Even with</w:t>
      </w:r>
      <w:r w:rsidR="005E7BF1">
        <w:t xml:space="preserve"> </w:t>
      </w:r>
      <w:r w:rsidR="005E7BF1">
        <w:rPr>
          <w:i/>
        </w:rPr>
        <w:t>P</w:t>
      </w:r>
      <w:r w:rsidR="005E7BF1" w:rsidRPr="00B738B0">
        <w:rPr>
          <w:i/>
          <w:vertAlign w:val="subscript"/>
        </w:rPr>
        <w:t>CDT</w:t>
      </w:r>
      <w:r w:rsidR="005E7BF1">
        <w:t xml:space="preserve"> </w:t>
      </w:r>
      <w:r w:rsidR="000B2417">
        <w:t>&gt;&gt; 0.025 and N</w:t>
      </w:r>
      <w:r w:rsidR="001E673C">
        <w:rPr>
          <w:vertAlign w:val="subscript"/>
        </w:rPr>
        <w:t>C</w:t>
      </w:r>
      <w:r w:rsidR="000B2417">
        <w:t xml:space="preserve">=20 </w:t>
      </w:r>
      <w:r w:rsidR="005E7BF1">
        <w:t>there emerge no additional posterior zones of anti-correlation</w:t>
      </w:r>
      <w:r w:rsidR="000B2417">
        <w:t xml:space="preserve">.  </w:t>
      </w:r>
      <w:r>
        <w:t xml:space="preserve">A zone of anti-correlation </w:t>
      </w:r>
      <w:r w:rsidR="000B2417">
        <w:t>w</w:t>
      </w:r>
      <w:r w:rsidR="00A405D0">
        <w:t>ith</w:t>
      </w:r>
      <w:r>
        <w:t xml:space="preserve"> the ventral anterior cingulate gyrus is observed (not shown in Figure).</w:t>
      </w:r>
    </w:p>
    <w:p w:rsidR="00027B32" w:rsidRDefault="00027B32" w:rsidP="00F8693D">
      <w:r>
        <w:t>Figure 3 shows DMN RSN</w:t>
      </w:r>
      <w:r w:rsidRPr="00027B32">
        <w:t xml:space="preserve"> </w:t>
      </w:r>
      <w:r>
        <w:t>group averaged correlation maps for CN, MCI and Dementia groups for an ROI positione</w:t>
      </w:r>
      <w:r w:rsidR="00453A72">
        <w:t xml:space="preserve">d at the PCC.  </w:t>
      </w:r>
      <w:r>
        <w:t xml:space="preserve">In the CN group, the correlation </w:t>
      </w:r>
      <w:r w:rsidR="00760651">
        <w:t xml:space="preserve">Z score </w:t>
      </w:r>
      <w:r>
        <w:t xml:space="preserve">range was (-4.23, 6.00) with positive correlation with </w:t>
      </w:r>
      <w:r w:rsidR="002B297E">
        <w:t>PCC (N</w:t>
      </w:r>
      <w:r w:rsidR="002B297E" w:rsidRPr="00A84A3F">
        <w:rPr>
          <w:vertAlign w:val="subscript"/>
        </w:rPr>
        <w:t>V</w:t>
      </w:r>
      <w:r w:rsidR="002B297E">
        <w:t xml:space="preserve">=2353, </w:t>
      </w:r>
      <w:r w:rsidR="002B297E">
        <w:rPr>
          <w:rFonts w:cstheme="minorHAnsi"/>
        </w:rPr>
        <w:t>α&lt;&lt;0.01</w:t>
      </w:r>
      <w:r w:rsidR="002B297E">
        <w:t xml:space="preserve">), with </w:t>
      </w:r>
      <w:r>
        <w:t>medial PFC</w:t>
      </w:r>
      <w:r w:rsidR="00760651">
        <w:t xml:space="preserve"> (N</w:t>
      </w:r>
      <w:r w:rsidR="00760651" w:rsidRPr="00A84A3F">
        <w:rPr>
          <w:vertAlign w:val="subscript"/>
        </w:rPr>
        <w:t>V</w:t>
      </w:r>
      <w:r w:rsidR="00760651">
        <w:t xml:space="preserve">=1500, </w:t>
      </w:r>
      <w:r w:rsidR="00760651">
        <w:rPr>
          <w:rFonts w:cstheme="minorHAnsi"/>
        </w:rPr>
        <w:t>α&lt;&lt;0.01</w:t>
      </w:r>
      <w:r w:rsidR="00760651">
        <w:t>)</w:t>
      </w:r>
      <w:r w:rsidR="009C36A1">
        <w:t xml:space="preserve"> </w:t>
      </w:r>
      <w:r w:rsidR="00B6466F">
        <w:t xml:space="preserve">and </w:t>
      </w:r>
      <w:r>
        <w:t xml:space="preserve">left </w:t>
      </w:r>
      <w:r w:rsidR="00760651">
        <w:t>(N</w:t>
      </w:r>
      <w:r w:rsidR="00760651" w:rsidRPr="00A84A3F">
        <w:rPr>
          <w:vertAlign w:val="subscript"/>
        </w:rPr>
        <w:t>V</w:t>
      </w:r>
      <w:r w:rsidR="00760651">
        <w:t>=384</w:t>
      </w:r>
      <w:r w:rsidR="009C36A1">
        <w:t xml:space="preserve">, </w:t>
      </w:r>
      <w:r w:rsidR="009C36A1">
        <w:rPr>
          <w:rFonts w:cstheme="minorHAnsi"/>
        </w:rPr>
        <w:t>α&gt;0.10</w:t>
      </w:r>
      <w:r w:rsidR="00760651">
        <w:t xml:space="preserve">) </w:t>
      </w:r>
      <w:r>
        <w:t>and right</w:t>
      </w:r>
      <w:r w:rsidR="00760651">
        <w:t xml:space="preserve"> (N</w:t>
      </w:r>
      <w:r w:rsidR="00760651" w:rsidRPr="00A84A3F">
        <w:rPr>
          <w:vertAlign w:val="subscript"/>
        </w:rPr>
        <w:t>V</w:t>
      </w:r>
      <w:r w:rsidR="00760651">
        <w:t>=461</w:t>
      </w:r>
      <w:r w:rsidR="009C36A1">
        <w:t xml:space="preserve">, </w:t>
      </w:r>
      <w:r w:rsidR="009C36A1">
        <w:rPr>
          <w:rFonts w:cstheme="minorHAnsi"/>
        </w:rPr>
        <w:t>α&lt;0.10</w:t>
      </w:r>
      <w:r w:rsidR="00760651">
        <w:t>)</w:t>
      </w:r>
      <w:r>
        <w:t xml:space="preserve"> lateral parietal regions.  Anti-correlations were observed with left </w:t>
      </w:r>
      <w:r w:rsidR="00760651">
        <w:t>(N</w:t>
      </w:r>
      <w:r w:rsidR="00760651" w:rsidRPr="00A84A3F">
        <w:rPr>
          <w:vertAlign w:val="subscript"/>
        </w:rPr>
        <w:t>V</w:t>
      </w:r>
      <w:r w:rsidR="00B6466F">
        <w:t>=</w:t>
      </w:r>
      <w:r w:rsidR="001E5FE0">
        <w:t xml:space="preserve">174, </w:t>
      </w:r>
      <w:r w:rsidR="001E5FE0">
        <w:rPr>
          <w:rFonts w:cstheme="minorHAnsi"/>
        </w:rPr>
        <w:t>α&gt;0.10</w:t>
      </w:r>
      <w:r w:rsidR="00760651">
        <w:t xml:space="preserve">) </w:t>
      </w:r>
      <w:r>
        <w:t xml:space="preserve">and right </w:t>
      </w:r>
      <w:r w:rsidR="00760651">
        <w:t>(N</w:t>
      </w:r>
      <w:r w:rsidR="00760651" w:rsidRPr="00A84A3F">
        <w:rPr>
          <w:vertAlign w:val="subscript"/>
        </w:rPr>
        <w:t>V</w:t>
      </w:r>
      <w:r w:rsidR="001E5FE0">
        <w:t xml:space="preserve">=262, </w:t>
      </w:r>
      <w:r w:rsidR="001E5FE0">
        <w:rPr>
          <w:rFonts w:cstheme="minorHAnsi"/>
        </w:rPr>
        <w:t>α&gt;0.10</w:t>
      </w:r>
      <w:r w:rsidR="00760651">
        <w:t xml:space="preserve">) </w:t>
      </w:r>
      <w:r>
        <w:t>parietal cortical</w:t>
      </w:r>
      <w:r w:rsidR="001E5FE0">
        <w:t xml:space="preserve"> regions (e.g., Visual Area MT), in </w:t>
      </w:r>
      <w:r w:rsidR="00DF0369">
        <w:t xml:space="preserve">right </w:t>
      </w:r>
      <w:r w:rsidR="001E5FE0">
        <w:t>inferior frontal gyrus in an area corresponding to Brodmann Area 9 (N</w:t>
      </w:r>
      <w:r w:rsidR="001E5FE0" w:rsidRPr="00A84A3F">
        <w:rPr>
          <w:vertAlign w:val="subscript"/>
        </w:rPr>
        <w:t>V</w:t>
      </w:r>
      <w:r w:rsidR="001E5FE0">
        <w:t xml:space="preserve">=457, </w:t>
      </w:r>
      <w:r w:rsidR="001E5FE0">
        <w:rPr>
          <w:rFonts w:cstheme="minorHAnsi"/>
        </w:rPr>
        <w:t>α&lt;0.10</w:t>
      </w:r>
      <w:r w:rsidR="001E5FE0">
        <w:t>), and in right superior parietal lobule (N</w:t>
      </w:r>
      <w:r w:rsidR="001E5FE0" w:rsidRPr="00A84A3F">
        <w:rPr>
          <w:vertAlign w:val="subscript"/>
        </w:rPr>
        <w:t>V</w:t>
      </w:r>
      <w:r w:rsidR="001E5FE0">
        <w:t xml:space="preserve">=438, </w:t>
      </w:r>
      <w:r w:rsidR="001E5FE0">
        <w:rPr>
          <w:rFonts w:cstheme="minorHAnsi"/>
        </w:rPr>
        <w:t>α&lt;0.10</w:t>
      </w:r>
      <w:r w:rsidR="001E5FE0">
        <w:t>)</w:t>
      </w:r>
      <w:r>
        <w:t xml:space="preserve">.  In the MCI group, the correlation </w:t>
      </w:r>
      <w:r w:rsidR="00760651">
        <w:t xml:space="preserve">Z score </w:t>
      </w:r>
      <w:r>
        <w:t xml:space="preserve">range </w:t>
      </w:r>
      <w:r w:rsidR="001E5FE0">
        <w:t xml:space="preserve">was (-4.14, 4.82).  </w:t>
      </w:r>
      <w:r w:rsidR="00DF0369">
        <w:t xml:space="preserve">Zones of </w:t>
      </w:r>
      <w:r w:rsidR="009C36A1">
        <w:t xml:space="preserve">positive correlation </w:t>
      </w:r>
      <w:r w:rsidR="00DF0369">
        <w:t xml:space="preserve">were observed </w:t>
      </w:r>
      <w:r w:rsidR="002B297E">
        <w:t>with PCC (N</w:t>
      </w:r>
      <w:r w:rsidR="002B297E" w:rsidRPr="00A84A3F">
        <w:rPr>
          <w:vertAlign w:val="subscript"/>
        </w:rPr>
        <w:t>V</w:t>
      </w:r>
      <w:r w:rsidR="002B297E">
        <w:t xml:space="preserve">=2275, </w:t>
      </w:r>
      <w:r w:rsidR="002B297E">
        <w:rPr>
          <w:rFonts w:cstheme="minorHAnsi"/>
        </w:rPr>
        <w:t>α&lt;&lt;0.01</w:t>
      </w:r>
      <w:r w:rsidR="002B297E">
        <w:t xml:space="preserve">), </w:t>
      </w:r>
      <w:r w:rsidR="009C36A1">
        <w:t xml:space="preserve">with </w:t>
      </w:r>
      <w:r w:rsidR="005C66F4">
        <w:t>the anterior medial PFC (N</w:t>
      </w:r>
      <w:r w:rsidR="005C66F4" w:rsidRPr="00A84A3F">
        <w:rPr>
          <w:vertAlign w:val="subscript"/>
        </w:rPr>
        <w:t>V</w:t>
      </w:r>
      <w:r w:rsidR="005C66F4">
        <w:t xml:space="preserve">=2979, </w:t>
      </w:r>
      <w:r w:rsidR="005C66F4">
        <w:rPr>
          <w:rFonts w:cstheme="minorHAnsi"/>
        </w:rPr>
        <w:t>α&lt;&lt;0.01</w:t>
      </w:r>
      <w:r w:rsidR="005C66F4">
        <w:t>)</w:t>
      </w:r>
      <w:r w:rsidR="009C36A1">
        <w:t>, left (N</w:t>
      </w:r>
      <w:r w:rsidR="009C36A1" w:rsidRPr="00A84A3F">
        <w:rPr>
          <w:vertAlign w:val="subscript"/>
        </w:rPr>
        <w:t>V</w:t>
      </w:r>
      <w:r w:rsidR="009C36A1">
        <w:t xml:space="preserve">=530, </w:t>
      </w:r>
      <w:r w:rsidR="009C36A1">
        <w:rPr>
          <w:rFonts w:cstheme="minorHAnsi"/>
        </w:rPr>
        <w:t>α&lt;0.10</w:t>
      </w:r>
      <w:r w:rsidR="009C36A1">
        <w:t>) and right (N</w:t>
      </w:r>
      <w:r w:rsidR="009C36A1" w:rsidRPr="00A84A3F">
        <w:rPr>
          <w:vertAlign w:val="subscript"/>
        </w:rPr>
        <w:t>V</w:t>
      </w:r>
      <w:r w:rsidR="009C36A1">
        <w:t xml:space="preserve">=451, </w:t>
      </w:r>
      <w:r w:rsidR="009C36A1">
        <w:rPr>
          <w:rFonts w:cstheme="minorHAnsi"/>
        </w:rPr>
        <w:t>α&lt;0.10</w:t>
      </w:r>
      <w:r w:rsidR="009C36A1">
        <w:t>) inferior temporal regions, and left (N</w:t>
      </w:r>
      <w:r w:rsidR="009C36A1" w:rsidRPr="00A84A3F">
        <w:rPr>
          <w:vertAlign w:val="subscript"/>
        </w:rPr>
        <w:t>V</w:t>
      </w:r>
      <w:r w:rsidR="00DF0369">
        <w:t>=412</w:t>
      </w:r>
      <w:r w:rsidR="009C36A1">
        <w:t>) and right (N</w:t>
      </w:r>
      <w:r w:rsidR="009C36A1" w:rsidRPr="00A84A3F">
        <w:rPr>
          <w:vertAlign w:val="subscript"/>
        </w:rPr>
        <w:t>V</w:t>
      </w:r>
      <w:r w:rsidR="00DF0369">
        <w:t>=379</w:t>
      </w:r>
      <w:r w:rsidR="009C36A1">
        <w:t>) lateral parietal regions</w:t>
      </w:r>
      <w:r w:rsidR="00DF0369">
        <w:t xml:space="preserve">.  </w:t>
      </w:r>
      <w:r>
        <w:t xml:space="preserve">In the Dementia group, the correlation range was (-3.97, 4.26) </w:t>
      </w:r>
      <w:r w:rsidR="00DF0369">
        <w:t>elements of the basic spatial pattern</w:t>
      </w:r>
      <w:r>
        <w:t xml:space="preserve"> </w:t>
      </w:r>
      <w:r w:rsidR="00DF0369">
        <w:t xml:space="preserve">was </w:t>
      </w:r>
      <w:r>
        <w:t>maintained</w:t>
      </w:r>
      <w:r w:rsidR="005C66F4">
        <w:t xml:space="preserve"> (e.g., medial PFC</w:t>
      </w:r>
      <w:r>
        <w:t>,</w:t>
      </w:r>
      <w:r w:rsidR="005C66F4">
        <w:t xml:space="preserve"> N</w:t>
      </w:r>
      <w:r w:rsidR="005C66F4" w:rsidRPr="00A84A3F">
        <w:rPr>
          <w:vertAlign w:val="subscript"/>
        </w:rPr>
        <w:t>V</w:t>
      </w:r>
      <w:r w:rsidR="005C66F4">
        <w:t>=</w:t>
      </w:r>
      <w:r w:rsidR="001E673C">
        <w:t>1078</w:t>
      </w:r>
      <w:r w:rsidR="005C66F4">
        <w:t xml:space="preserve">, </w:t>
      </w:r>
      <w:r w:rsidR="005C66F4">
        <w:rPr>
          <w:rFonts w:cstheme="minorHAnsi"/>
        </w:rPr>
        <w:t>α&lt;&lt;0.01)</w:t>
      </w:r>
      <w:r>
        <w:t xml:space="preserve"> though with </w:t>
      </w:r>
      <w:r w:rsidR="00DF0369">
        <w:t xml:space="preserve">apparently </w:t>
      </w:r>
      <w:r>
        <w:t>reduced spatial extent compared to CN</w:t>
      </w:r>
      <w:r w:rsidR="001E673C">
        <w:t xml:space="preserve"> (even when </w:t>
      </w:r>
      <w:r w:rsidR="001E673C">
        <w:rPr>
          <w:i/>
        </w:rPr>
        <w:t>P</w:t>
      </w:r>
      <w:r w:rsidR="001E673C" w:rsidRPr="00B738B0">
        <w:rPr>
          <w:i/>
          <w:vertAlign w:val="subscript"/>
        </w:rPr>
        <w:t>CDT</w:t>
      </w:r>
      <w:r w:rsidR="001E673C">
        <w:t xml:space="preserve"> &gt; 0.025 and reduced N</w:t>
      </w:r>
      <w:r w:rsidR="001E673C">
        <w:rPr>
          <w:vertAlign w:val="subscript"/>
        </w:rPr>
        <w:t>C)</w:t>
      </w:r>
      <w:r>
        <w:t>.</w:t>
      </w:r>
      <w:r w:rsidR="00DF0369">
        <w:t xml:space="preserve">  Other than a zone of positive correlation centered around the seed ROI PCC </w:t>
      </w:r>
      <w:r w:rsidR="002B297E">
        <w:t>with PCC (N</w:t>
      </w:r>
      <w:r w:rsidR="002B297E" w:rsidRPr="00A84A3F">
        <w:rPr>
          <w:vertAlign w:val="subscript"/>
        </w:rPr>
        <w:t>V</w:t>
      </w:r>
      <w:r w:rsidR="002B297E">
        <w:t xml:space="preserve">=1078, </w:t>
      </w:r>
      <w:r w:rsidR="002B297E">
        <w:rPr>
          <w:rFonts w:cstheme="minorHAnsi"/>
        </w:rPr>
        <w:t>α&lt;&lt;0.01</w:t>
      </w:r>
      <w:r w:rsidR="002B297E">
        <w:t xml:space="preserve">) </w:t>
      </w:r>
      <w:r w:rsidR="00DF0369">
        <w:t>no other positive correlation or anti-correlation cluster were statistically significant.</w:t>
      </w:r>
    </w:p>
    <w:p w:rsidR="00A24FE9" w:rsidRDefault="00A24FE9" w:rsidP="00F8693D">
      <w:r>
        <w:t xml:space="preserve">Figure 4 shows </w:t>
      </w:r>
      <w:r w:rsidR="007430C3">
        <w:t xml:space="preserve">the </w:t>
      </w:r>
      <w:r>
        <w:t xml:space="preserve">SAL RSN group averaged correlation maps for CN, MCI and Dementia groups for an ROI at right </w:t>
      </w:r>
      <w:r w:rsidR="00D22961">
        <w:t>dorsal</w:t>
      </w:r>
      <w:r>
        <w:t xml:space="preserve"> </w:t>
      </w:r>
      <w:r w:rsidR="000F7FC2">
        <w:t>ACC</w:t>
      </w:r>
      <w:r>
        <w:t xml:space="preserve">.  </w:t>
      </w:r>
      <w:r w:rsidR="00B85C3F">
        <w:t>In</w:t>
      </w:r>
      <w:r>
        <w:t xml:space="preserve"> the CN group, the correlation </w:t>
      </w:r>
      <w:r w:rsidR="00B85C3F">
        <w:t>Z score range was (-4.16, 4.06</w:t>
      </w:r>
      <w:r>
        <w:t>)</w:t>
      </w:r>
      <w:r w:rsidR="000F7FC2">
        <w:t xml:space="preserve">.  </w:t>
      </w:r>
      <w:r w:rsidR="00253E9F">
        <w:t>The extended zone of positive correlation shown in the Figure includes the ACC and bilaterally zones in the superior frontal gyrus</w:t>
      </w:r>
      <w:r w:rsidR="000F7FC2">
        <w:t xml:space="preserve"> (N</w:t>
      </w:r>
      <w:r w:rsidR="000F7FC2" w:rsidRPr="00A84A3F">
        <w:rPr>
          <w:vertAlign w:val="subscript"/>
        </w:rPr>
        <w:t>V</w:t>
      </w:r>
      <w:r w:rsidR="000F7FC2">
        <w:t xml:space="preserve">=2700, </w:t>
      </w:r>
      <w:r w:rsidR="000F7FC2">
        <w:rPr>
          <w:rFonts w:cstheme="minorHAnsi"/>
        </w:rPr>
        <w:t>α&lt;&lt;0.01</w:t>
      </w:r>
      <w:r w:rsidR="000F7FC2">
        <w:t>)</w:t>
      </w:r>
      <w:r>
        <w:t>.</w:t>
      </w:r>
      <w:r w:rsidR="002B297E">
        <w:t xml:space="preserve">  </w:t>
      </w:r>
      <w:r w:rsidR="00C772FE">
        <w:t xml:space="preserve">Not shown in the Figure is a </w:t>
      </w:r>
      <w:r w:rsidR="000F7FC2">
        <w:t xml:space="preserve">bilateral </w:t>
      </w:r>
      <w:r w:rsidR="00C772FE">
        <w:t xml:space="preserve">pair of </w:t>
      </w:r>
      <w:r w:rsidR="000F7FC2">
        <w:t>zone</w:t>
      </w:r>
      <w:r w:rsidR="00C772FE">
        <w:t>s</w:t>
      </w:r>
      <w:r w:rsidR="000F7FC2">
        <w:t xml:space="preserve"> of positive correlation centered in the region of the left </w:t>
      </w:r>
      <w:r w:rsidR="00ED4A2A">
        <w:t>(N</w:t>
      </w:r>
      <w:r w:rsidR="00ED4A2A" w:rsidRPr="00A84A3F">
        <w:rPr>
          <w:vertAlign w:val="subscript"/>
        </w:rPr>
        <w:t>V</w:t>
      </w:r>
      <w:r w:rsidR="00ED4A2A">
        <w:t xml:space="preserve">=268, </w:t>
      </w:r>
      <w:r w:rsidR="00ED4A2A">
        <w:rPr>
          <w:rFonts w:cstheme="minorHAnsi"/>
        </w:rPr>
        <w:t>α&gt;0.1</w:t>
      </w:r>
      <w:r w:rsidR="00ED4A2A">
        <w:t xml:space="preserve">) </w:t>
      </w:r>
      <w:r w:rsidR="000F7FC2">
        <w:t>and right</w:t>
      </w:r>
      <w:r w:rsidR="00ED4A2A">
        <w:t xml:space="preserve"> (N</w:t>
      </w:r>
      <w:r w:rsidR="00ED4A2A" w:rsidRPr="00A84A3F">
        <w:rPr>
          <w:vertAlign w:val="subscript"/>
        </w:rPr>
        <w:t>V</w:t>
      </w:r>
      <w:r w:rsidR="00ED4A2A">
        <w:t xml:space="preserve">=179, </w:t>
      </w:r>
      <w:r w:rsidR="00ED4A2A">
        <w:rPr>
          <w:rFonts w:cstheme="minorHAnsi"/>
        </w:rPr>
        <w:t>α&gt;0.1</w:t>
      </w:r>
      <w:r w:rsidR="00ED4A2A">
        <w:t>)</w:t>
      </w:r>
      <w:r w:rsidR="000F7FC2">
        <w:t xml:space="preserve"> insula and putamen.  </w:t>
      </w:r>
      <w:r w:rsidR="00DD005C">
        <w:t>There is a zone of an</w:t>
      </w:r>
      <w:r w:rsidR="00253E9F">
        <w:t>ti-correlation centered in the middle occipital gyrus in an area corresponding to Brodmann Area 18</w:t>
      </w:r>
      <w:r w:rsidR="00DD005C">
        <w:t xml:space="preserve"> (N</w:t>
      </w:r>
      <w:r w:rsidR="00DD005C" w:rsidRPr="00A84A3F">
        <w:rPr>
          <w:vertAlign w:val="subscript"/>
        </w:rPr>
        <w:t>V</w:t>
      </w:r>
      <w:r w:rsidR="00DD005C">
        <w:t xml:space="preserve">=445, </w:t>
      </w:r>
      <w:r w:rsidR="00DD005C">
        <w:rPr>
          <w:rFonts w:cstheme="minorHAnsi"/>
        </w:rPr>
        <w:t>α&lt;0.10</w:t>
      </w:r>
      <w:r w:rsidR="00DD005C">
        <w:t xml:space="preserve">).  </w:t>
      </w:r>
      <w:r w:rsidR="002B297E">
        <w:t>In the MCI group, the correlation Z score range was (-3.92, 4.13)</w:t>
      </w:r>
      <w:r w:rsidR="00253E9F">
        <w:t>.</w:t>
      </w:r>
      <w:r w:rsidR="00D469BD">
        <w:t xml:space="preserve">  </w:t>
      </w:r>
      <w:r w:rsidR="000064A8">
        <w:t xml:space="preserve">In the axial section shown a single </w:t>
      </w:r>
      <w:r w:rsidR="00C772FE">
        <w:t>cluster (N</w:t>
      </w:r>
      <w:r w:rsidR="00C772FE" w:rsidRPr="00A84A3F">
        <w:rPr>
          <w:vertAlign w:val="subscript"/>
        </w:rPr>
        <w:t>V</w:t>
      </w:r>
      <w:r w:rsidR="00C772FE">
        <w:t xml:space="preserve">=3069, </w:t>
      </w:r>
      <w:r w:rsidR="00C772FE">
        <w:rPr>
          <w:rFonts w:cstheme="minorHAnsi"/>
        </w:rPr>
        <w:t>α&lt;&lt;0.01</w:t>
      </w:r>
      <w:r w:rsidR="00C772FE">
        <w:t xml:space="preserve">) </w:t>
      </w:r>
      <w:r w:rsidR="00D469BD">
        <w:t xml:space="preserve">of positive correlation </w:t>
      </w:r>
      <w:r w:rsidR="000064A8">
        <w:t>encompasses</w:t>
      </w:r>
      <w:r w:rsidR="00C772FE">
        <w:t xml:space="preserve"> the PCC, the dorsal ACC and a distributed zone in the right </w:t>
      </w:r>
      <w:r w:rsidR="000064A8">
        <w:t>frontal gyrus.  The lateral-most cluster shown</w:t>
      </w:r>
      <w:r w:rsidR="00D469BD">
        <w:t xml:space="preserve"> (N</w:t>
      </w:r>
      <w:r w:rsidR="00D469BD" w:rsidRPr="00A84A3F">
        <w:rPr>
          <w:vertAlign w:val="subscript"/>
        </w:rPr>
        <w:t>V</w:t>
      </w:r>
      <w:r w:rsidR="00D469BD">
        <w:t xml:space="preserve">=670, </w:t>
      </w:r>
      <w:r w:rsidR="00D469BD">
        <w:rPr>
          <w:rFonts w:cstheme="minorHAnsi"/>
        </w:rPr>
        <w:t>α&lt;0.025</w:t>
      </w:r>
      <w:r w:rsidR="00D469BD">
        <w:t xml:space="preserve">) </w:t>
      </w:r>
      <w:r w:rsidR="000064A8">
        <w:t xml:space="preserve">is the posterior-most portion of a cluster that traverses the interior frontal gyrus from the precentral gyrus and </w:t>
      </w:r>
      <w:r w:rsidR="00D469BD">
        <w:t>proceeds</w:t>
      </w:r>
      <w:r w:rsidR="000064A8">
        <w:t xml:space="preserve"> anteriorly.  The zone of anti-correlation (N</w:t>
      </w:r>
      <w:r w:rsidR="000064A8" w:rsidRPr="00A84A3F">
        <w:rPr>
          <w:vertAlign w:val="subscript"/>
        </w:rPr>
        <w:t>V</w:t>
      </w:r>
      <w:r w:rsidR="000064A8">
        <w:t xml:space="preserve">=413, </w:t>
      </w:r>
      <w:r w:rsidR="000064A8">
        <w:rPr>
          <w:rFonts w:cstheme="minorHAnsi"/>
        </w:rPr>
        <w:t>α&gt;0.1</w:t>
      </w:r>
      <w:r w:rsidR="000064A8">
        <w:t xml:space="preserve">) in the middle occipital gyrus </w:t>
      </w:r>
      <w:r w:rsidR="00D469BD">
        <w:t>is in</w:t>
      </w:r>
      <w:r w:rsidR="000064A8">
        <w:t xml:space="preserve"> an area corresponding to Brodmann Area 19.  </w:t>
      </w:r>
      <w:r w:rsidR="002B297E">
        <w:t>In the Dementia group, the correlation Z score range was (-4.29, 3.59)</w:t>
      </w:r>
      <w:r w:rsidR="00D469BD">
        <w:t>.  There is a  zone of positive correlation located anteriorly (N</w:t>
      </w:r>
      <w:r w:rsidR="00D469BD" w:rsidRPr="00A84A3F">
        <w:rPr>
          <w:vertAlign w:val="subscript"/>
        </w:rPr>
        <w:t>V</w:t>
      </w:r>
      <w:r w:rsidR="00D469BD">
        <w:t xml:space="preserve">=1508, </w:t>
      </w:r>
      <w:r w:rsidR="00D469BD">
        <w:rPr>
          <w:rFonts w:cstheme="minorHAnsi"/>
        </w:rPr>
        <w:t>α&lt;&lt;0.01</w:t>
      </w:r>
      <w:r w:rsidR="00D469BD">
        <w:t>) and laterally (N</w:t>
      </w:r>
      <w:r w:rsidR="00D469BD" w:rsidRPr="00A84A3F">
        <w:rPr>
          <w:vertAlign w:val="subscript"/>
        </w:rPr>
        <w:t>V</w:t>
      </w:r>
      <w:r w:rsidR="00D469BD">
        <w:t xml:space="preserve">=537, </w:t>
      </w:r>
      <w:r w:rsidR="00D469BD">
        <w:rPr>
          <w:rFonts w:cstheme="minorHAnsi"/>
        </w:rPr>
        <w:t>α&lt;&lt;0.05</w:t>
      </w:r>
      <w:r w:rsidR="00D469BD">
        <w:t>).</w:t>
      </w:r>
    </w:p>
    <w:p w:rsidR="00EA5447" w:rsidRDefault="00EA5447" w:rsidP="00F8693D">
      <w:r>
        <w:t>Figure 5 shows SMN RSN group averaged correlation maps for CN, MCI and Dementia groups for ROI at supplemental mot</w:t>
      </w:r>
      <w:r w:rsidR="000757E7">
        <w:t xml:space="preserve">or area.  </w:t>
      </w:r>
      <w:r>
        <w:t xml:space="preserve">In the CN group, the correlation range was (-4.02, 4.46) with positive correlation </w:t>
      </w:r>
      <w:r w:rsidR="00BB46C9">
        <w:t>shown in the Figure for left (N</w:t>
      </w:r>
      <w:r w:rsidR="00BB46C9" w:rsidRPr="00A84A3F">
        <w:rPr>
          <w:vertAlign w:val="subscript"/>
        </w:rPr>
        <w:t>V</w:t>
      </w:r>
      <w:r w:rsidR="00BB46C9">
        <w:t xml:space="preserve">=773, </w:t>
      </w:r>
      <w:r w:rsidR="00BB46C9">
        <w:rPr>
          <w:rFonts w:cstheme="minorHAnsi"/>
        </w:rPr>
        <w:t>α&lt;&lt;0.025</w:t>
      </w:r>
      <w:r w:rsidR="00BB46C9">
        <w:t>) and right (N</w:t>
      </w:r>
      <w:r w:rsidR="00BB46C9" w:rsidRPr="00A84A3F">
        <w:rPr>
          <w:vertAlign w:val="subscript"/>
        </w:rPr>
        <w:t>V</w:t>
      </w:r>
      <w:r w:rsidR="00BB46C9">
        <w:t xml:space="preserve">=744, </w:t>
      </w:r>
      <w:r w:rsidR="00BB46C9">
        <w:rPr>
          <w:rFonts w:cstheme="minorHAnsi"/>
        </w:rPr>
        <w:t>α&lt;&lt;0.025</w:t>
      </w:r>
      <w:r w:rsidR="00BB46C9">
        <w:t xml:space="preserve">) zones located </w:t>
      </w:r>
      <w:r w:rsidR="00BB46C9">
        <w:lastRenderedPageBreak/>
        <w:t>in the superior temporal gyrus and inferior frontal gyrus and precentral gyrus.  Not shown is large positive correlation cluster centered around the SMA ROI seed (N</w:t>
      </w:r>
      <w:r w:rsidR="00BB46C9" w:rsidRPr="00A84A3F">
        <w:rPr>
          <w:vertAlign w:val="subscript"/>
        </w:rPr>
        <w:t>V</w:t>
      </w:r>
      <w:r w:rsidR="00BB46C9">
        <w:t xml:space="preserve">=2082, </w:t>
      </w:r>
      <w:r w:rsidR="00BB46C9">
        <w:rPr>
          <w:rFonts w:cstheme="minorHAnsi"/>
        </w:rPr>
        <w:t>α&lt;&lt;0.01</w:t>
      </w:r>
      <w:r w:rsidR="00BB46C9">
        <w:t xml:space="preserve">).  </w:t>
      </w:r>
      <w:r>
        <w:t>In the MCI group, the</w:t>
      </w:r>
      <w:r w:rsidR="00F11559">
        <w:t xml:space="preserve"> co</w:t>
      </w:r>
      <w:r w:rsidR="00AE145D">
        <w:t>rrelation range (-3.62, 4.17).  The large positive correlation cluster centered around the SMA ROI grows to (N</w:t>
      </w:r>
      <w:r w:rsidR="00AE145D" w:rsidRPr="00A84A3F">
        <w:rPr>
          <w:vertAlign w:val="subscript"/>
        </w:rPr>
        <w:t>V</w:t>
      </w:r>
      <w:r w:rsidR="00AE145D">
        <w:t xml:space="preserve">=3888, </w:t>
      </w:r>
      <w:r w:rsidR="00AE145D">
        <w:rPr>
          <w:rFonts w:cstheme="minorHAnsi"/>
        </w:rPr>
        <w:t>α&lt;&lt;0.01</w:t>
      </w:r>
      <w:r w:rsidR="00AE145D">
        <w:t>) and includes the right lateral zone shown in the Figure.  There is a zone of positive correlation with the ACC (N</w:t>
      </w:r>
      <w:r w:rsidR="00AE145D" w:rsidRPr="00A84A3F">
        <w:rPr>
          <w:vertAlign w:val="subscript"/>
        </w:rPr>
        <w:t>V</w:t>
      </w:r>
      <w:r w:rsidR="00AE145D">
        <w:t xml:space="preserve">=1286, </w:t>
      </w:r>
      <w:r w:rsidR="00AE145D">
        <w:rPr>
          <w:rFonts w:cstheme="minorHAnsi"/>
        </w:rPr>
        <w:t>α&lt;&lt;0.01</w:t>
      </w:r>
      <w:r w:rsidR="00AE145D">
        <w:t>).  There is a left lateral positive correlation cluster (N</w:t>
      </w:r>
      <w:r w:rsidR="00AE145D" w:rsidRPr="00A84A3F">
        <w:rPr>
          <w:vertAlign w:val="subscript"/>
        </w:rPr>
        <w:t>V</w:t>
      </w:r>
      <w:r w:rsidR="00AE145D">
        <w:t xml:space="preserve">=203, </w:t>
      </w:r>
      <w:r w:rsidR="00AE145D">
        <w:rPr>
          <w:rFonts w:cstheme="minorHAnsi"/>
        </w:rPr>
        <w:t>α&gt;0.10</w:t>
      </w:r>
      <w:r w:rsidR="00AE145D">
        <w:t xml:space="preserve">) that by itself does not meet criteria for statistical significance.  </w:t>
      </w:r>
      <w:r>
        <w:t>In the Dementia group, the correlation range was (-3.94, 4.44</w:t>
      </w:r>
      <w:r w:rsidR="00AE145D">
        <w:t>).  Positive correlation is with left (N</w:t>
      </w:r>
      <w:r w:rsidR="00AE145D" w:rsidRPr="00A84A3F">
        <w:rPr>
          <w:vertAlign w:val="subscript"/>
        </w:rPr>
        <w:t>V</w:t>
      </w:r>
      <w:r w:rsidR="00AE145D">
        <w:t xml:space="preserve">=195, </w:t>
      </w:r>
      <w:r w:rsidR="00AE145D">
        <w:rPr>
          <w:rFonts w:cstheme="minorHAnsi"/>
        </w:rPr>
        <w:t>α&gt;0.10</w:t>
      </w:r>
      <w:r w:rsidR="00AE145D">
        <w:t>) and right (N</w:t>
      </w:r>
      <w:r w:rsidR="00AE145D" w:rsidRPr="00A84A3F">
        <w:rPr>
          <w:vertAlign w:val="subscript"/>
        </w:rPr>
        <w:t>V</w:t>
      </w:r>
      <w:r w:rsidR="00AE145D">
        <w:t xml:space="preserve">=932, </w:t>
      </w:r>
      <w:r w:rsidR="00AE145D">
        <w:rPr>
          <w:rFonts w:cstheme="minorHAnsi"/>
        </w:rPr>
        <w:t>α&lt;&lt;0.01</w:t>
      </w:r>
      <w:r w:rsidR="00AE145D">
        <w:t xml:space="preserve">) inferior frontal gyrus superior temporal gyrus zones.  </w:t>
      </w:r>
      <w:r w:rsidR="006564B1">
        <w:t xml:space="preserve">A </w:t>
      </w:r>
      <w:r w:rsidR="007F12C9">
        <w:t xml:space="preserve">possible </w:t>
      </w:r>
      <w:r w:rsidR="006564B1">
        <w:t xml:space="preserve">bilateral region of anti-correlation emerges located in </w:t>
      </w:r>
      <w:r w:rsidR="00C60138">
        <w:t>regions with 1-3mm of Brodmann Area 18 (left, N</w:t>
      </w:r>
      <w:r w:rsidR="00C60138" w:rsidRPr="00A84A3F">
        <w:rPr>
          <w:vertAlign w:val="subscript"/>
        </w:rPr>
        <w:t>V</w:t>
      </w:r>
      <w:r w:rsidR="00C60138">
        <w:t xml:space="preserve">=108, </w:t>
      </w:r>
      <w:r w:rsidR="00C60138">
        <w:rPr>
          <w:rFonts w:cstheme="minorHAnsi"/>
        </w:rPr>
        <w:t>α&gt;0.10</w:t>
      </w:r>
      <w:r w:rsidR="00C60138">
        <w:t>) and 19 (right, N</w:t>
      </w:r>
      <w:r w:rsidR="00C60138" w:rsidRPr="00A84A3F">
        <w:rPr>
          <w:vertAlign w:val="subscript"/>
        </w:rPr>
        <w:t>V</w:t>
      </w:r>
      <w:r w:rsidR="00C60138">
        <w:t xml:space="preserve">=119, </w:t>
      </w:r>
      <w:r w:rsidR="00C60138">
        <w:rPr>
          <w:rFonts w:cstheme="minorHAnsi"/>
        </w:rPr>
        <w:t>α&gt;0.10</w:t>
      </w:r>
      <w:r w:rsidR="00C60138">
        <w:t>)</w:t>
      </w:r>
      <w:r w:rsidR="00C304BD">
        <w:t>.</w:t>
      </w:r>
    </w:p>
    <w:p w:rsidR="0016656F" w:rsidRPr="00F8693D" w:rsidRDefault="00DE656B" w:rsidP="00F8693D">
      <w:r>
        <w:t xml:space="preserve">The results shown in Figures 1-5 are consistent, but not </w:t>
      </w:r>
      <w:r w:rsidR="00E47B9C">
        <w:t>identical across</w:t>
      </w:r>
      <w:r>
        <w:t xml:space="preserve"> the set of pre-processing combinations tested</w:t>
      </w:r>
      <w:r w:rsidR="00E47B9C">
        <w:t xml:space="preserve">.  Roughly consistent features included the number and location of individual RSN sub-nodes, the direction of correlation, and progression of changes with clinical severity.  </w:t>
      </w:r>
      <w:r w:rsidR="007B5A40">
        <w:t xml:space="preserve">Clusters that met the criteria for statistical significance were more robust to processing stream details.  Clusters that met only the ad hoc criteria were less robust, for example, such that global signal removal was required for their appearance.  </w:t>
      </w:r>
      <w:r w:rsidR="00A87295">
        <w:t>A systematic analysis was not conducted, but t</w:t>
      </w:r>
      <w:r w:rsidR="00E47B9C">
        <w:t xml:space="preserve">wo features </w:t>
      </w:r>
      <w:r w:rsidR="00A87295">
        <w:t>appeared to be readily</w:t>
      </w:r>
      <w:r w:rsidR="00E47B9C">
        <w:t xml:space="preserve"> impacted by choice of pre-processing pipeline.  First, with increasing spatial smoothing (ranging from 4mm to 10mm</w:t>
      </w:r>
      <w:r w:rsidR="00A4480A">
        <w:t>, or when using the expanded ROI approach</w:t>
      </w:r>
      <w:r w:rsidR="00E47B9C">
        <w:t>) smaller, individual RSN node spatial extent and correlation values were suppressed.</w:t>
      </w:r>
      <w:r w:rsidR="00A87295">
        <w:t xml:space="preserve">  This was particularly true for anatomically isolated or limited nodes, such as the insula and the putamen in the SAL RSN.  The second feature impacted by choice of pre-processing stream was the measured correlation value.  For a given correlation pair, positive values tended to become more positive and negative values tended to become more negative subject to whether the global signal was removed or not, whether ROI or “expanded” ROI were applied, </w:t>
      </w:r>
      <w:r w:rsidR="00A4480A">
        <w:t xml:space="preserve">and </w:t>
      </w:r>
      <w:r w:rsidR="00A87295">
        <w:t>the degree</w:t>
      </w:r>
      <w:r w:rsidR="0016656F">
        <w:t xml:space="preserve"> of spatial smoothing.</w:t>
      </w:r>
    </w:p>
    <w:p w:rsidR="005B6A7D" w:rsidRDefault="00F8693D" w:rsidP="00F8693D">
      <w:pPr>
        <w:pStyle w:val="Heading3"/>
      </w:pPr>
      <w:r>
        <w:t xml:space="preserve">Intra-RSN </w:t>
      </w:r>
    </w:p>
    <w:p w:rsidR="00F8693D" w:rsidRDefault="00F8693D" w:rsidP="00F8693D">
      <w:pPr>
        <w:pStyle w:val="Heading3"/>
      </w:pPr>
      <w:r>
        <w:t>Inter-RSN</w:t>
      </w:r>
    </w:p>
    <w:p w:rsidR="00F8693D" w:rsidRPr="00F8693D" w:rsidRDefault="00F8693D" w:rsidP="00F8693D">
      <w:pPr>
        <w:pStyle w:val="Heading3"/>
      </w:pPr>
      <w:r>
        <w:t>Inter-Node</w:t>
      </w:r>
    </w:p>
    <w:p w:rsidR="00F8693D" w:rsidRDefault="00F8693D" w:rsidP="00F8693D">
      <w:pPr>
        <w:pStyle w:val="Heading2"/>
      </w:pPr>
      <w:r>
        <w:t>Atlas</w:t>
      </w:r>
    </w:p>
    <w:p w:rsidR="00F8693D" w:rsidRDefault="00F8693D" w:rsidP="00F8693D">
      <w:pPr>
        <w:pStyle w:val="Heading3"/>
      </w:pPr>
      <w:r>
        <w:t xml:space="preserve">Intra-Regional </w:t>
      </w:r>
    </w:p>
    <w:p w:rsidR="00F8693D" w:rsidRDefault="00F8693D" w:rsidP="00F8693D">
      <w:pPr>
        <w:pStyle w:val="Heading3"/>
      </w:pPr>
      <w:r>
        <w:t>Inter-Regional</w:t>
      </w:r>
    </w:p>
    <w:p w:rsidR="00F8693D" w:rsidRPr="00F8693D" w:rsidRDefault="00F8693D" w:rsidP="00F8693D">
      <w:pPr>
        <w:pStyle w:val="Heading3"/>
      </w:pPr>
      <w:r>
        <w:t>Inter-Sub-Regional</w:t>
      </w:r>
    </w:p>
    <w:p w:rsidR="00544CC5" w:rsidRPr="00544CC5" w:rsidRDefault="00544CC5" w:rsidP="00544CC5">
      <w:r>
        <w:t>Text</w:t>
      </w:r>
    </w:p>
    <w:p w:rsidR="00EA449F" w:rsidRDefault="00544CC5" w:rsidP="00544CC5">
      <w:pPr>
        <w:pStyle w:val="Heading3"/>
      </w:pPr>
      <w:r>
        <w:t>ROI pair correlation matrices</w:t>
      </w:r>
    </w:p>
    <w:p w:rsidR="00544CC5" w:rsidRPr="00544CC5" w:rsidRDefault="00544CC5" w:rsidP="00544CC5">
      <w:r>
        <w:t>Text</w:t>
      </w:r>
    </w:p>
    <w:p w:rsidR="00EA449F" w:rsidRDefault="00544CC5" w:rsidP="00544CC5">
      <w:pPr>
        <w:pStyle w:val="Heading2"/>
      </w:pPr>
      <w:r>
        <w:lastRenderedPageBreak/>
        <w:t>Progressive disruption of probabilistic atlas seed-ROI correlations</w:t>
      </w:r>
    </w:p>
    <w:p w:rsidR="00544CC5" w:rsidRPr="00544CC5" w:rsidRDefault="00544CC5" w:rsidP="00544CC5">
      <w:r>
        <w:t>Text</w:t>
      </w:r>
    </w:p>
    <w:p w:rsidR="00544CC5" w:rsidRDefault="00544CC5" w:rsidP="00544CC5">
      <w:pPr>
        <w:pStyle w:val="Heading3"/>
      </w:pPr>
      <w:r w:rsidRPr="00544CC5">
        <w:t>f</w:t>
      </w:r>
      <w:r>
        <w:t>MRI maps</w:t>
      </w:r>
    </w:p>
    <w:p w:rsidR="00544CC5" w:rsidRPr="00544CC5" w:rsidRDefault="00544CC5" w:rsidP="00544CC5">
      <w:r>
        <w:t>Text</w:t>
      </w:r>
    </w:p>
    <w:p w:rsidR="00544CC5" w:rsidRDefault="00544CC5" w:rsidP="00544CC5">
      <w:pPr>
        <w:pStyle w:val="Heading3"/>
      </w:pPr>
      <w:r>
        <w:t>ROI pair correlation matrices</w:t>
      </w:r>
    </w:p>
    <w:p w:rsidR="00544CC5" w:rsidRPr="00544CC5" w:rsidRDefault="00544CC5" w:rsidP="00544CC5">
      <w:r>
        <w:t>Text</w:t>
      </w:r>
    </w:p>
    <w:p w:rsidR="00A5798B" w:rsidRDefault="00A5798B" w:rsidP="00A5798B">
      <w:pPr>
        <w:pStyle w:val="Heading1"/>
      </w:pPr>
      <w:r>
        <w:t>Discussion</w:t>
      </w:r>
    </w:p>
    <w:p w:rsidR="00544CC5" w:rsidRDefault="00544CC5" w:rsidP="00A24188">
      <w:pPr>
        <w:pStyle w:val="Heading2"/>
      </w:pPr>
      <w:r>
        <w:t>Principal findings</w:t>
      </w:r>
    </w:p>
    <w:p w:rsidR="00544CC5" w:rsidRDefault="00544CC5" w:rsidP="00A24188">
      <w:pPr>
        <w:pStyle w:val="Heading2"/>
      </w:pPr>
      <w:r>
        <w:t>Correspondence with previous findings</w:t>
      </w:r>
    </w:p>
    <w:p w:rsidR="00544CC5" w:rsidRDefault="00544CC5" w:rsidP="00A24188">
      <w:pPr>
        <w:pStyle w:val="Heading2"/>
      </w:pPr>
      <w:r>
        <w:t>Extensions to previous findings</w:t>
      </w:r>
    </w:p>
    <w:p w:rsidR="00544CC5" w:rsidRDefault="00544CC5" w:rsidP="00A24188">
      <w:pPr>
        <w:pStyle w:val="Heading2"/>
      </w:pPr>
      <w:r>
        <w:t>Limitations and next steps</w:t>
      </w:r>
    </w:p>
    <w:p w:rsidR="00A5798B" w:rsidRDefault="00A5798B" w:rsidP="00A5798B">
      <w:pPr>
        <w:pStyle w:val="Heading1"/>
      </w:pPr>
      <w:r>
        <w:t>References</w:t>
      </w:r>
    </w:p>
    <w:p w:rsidR="00E2278B" w:rsidRDefault="00E2278B">
      <w:r>
        <w:t xml:space="preserve">ADNI.  (2016).  Study documents.  </w:t>
      </w:r>
      <w:hyperlink r:id="rId10" w:history="1">
        <w:r w:rsidRPr="00400994">
          <w:rPr>
            <w:rStyle w:val="Hyperlink"/>
          </w:rPr>
          <w:t>http://adni.loni.usc.edu/methods/documents/</w:t>
        </w:r>
      </w:hyperlink>
      <w:r>
        <w:t>.</w:t>
      </w:r>
    </w:p>
    <w:p w:rsidR="00DD6C88" w:rsidRDefault="00DD6C88">
      <w:r>
        <w:t xml:space="preserve">ADNI 2.  (2016).  3T MRI Technical Procedures Manual.  </w:t>
      </w:r>
      <w:hyperlink r:id="rId11" w:history="1">
        <w:r w:rsidRPr="00400994">
          <w:rPr>
            <w:rStyle w:val="Hyperlink"/>
          </w:rPr>
          <w:t>http://adni.loni.usc.edu/wp-content/uploads/2012/10/ADNI2MRITrainingManual_2014.pdf</w:t>
        </w:r>
      </w:hyperlink>
      <w:r w:rsidR="00AC4D41">
        <w:t>.</w:t>
      </w:r>
    </w:p>
    <w:p w:rsidR="00AC4D41" w:rsidRDefault="00AC4D41">
      <w:r>
        <w:t xml:space="preserve">ADNI 2.  (2016).  Procedures Manual.  </w:t>
      </w:r>
      <w:hyperlink r:id="rId12" w:history="1">
        <w:r w:rsidRPr="00400994">
          <w:rPr>
            <w:rStyle w:val="Hyperlink"/>
          </w:rPr>
          <w:t>https://adni.loni.usc.edu/wp-content/uploads/2008/07/adni2-procedures-manual.pdf</w:t>
        </w:r>
      </w:hyperlink>
      <w:r>
        <w:t>.</w:t>
      </w:r>
    </w:p>
    <w:p w:rsidR="00E37227" w:rsidRDefault="00E37227">
      <w:r>
        <w:t xml:space="preserve">Allen, G. I., et al.  (2016).  Crowdsourced estimation of cognitive decline and resilience in Alzheimer’s disease.  </w:t>
      </w:r>
      <w:r>
        <w:rPr>
          <w:i/>
        </w:rPr>
        <w:t>Alzh &amp; Dementia</w:t>
      </w:r>
      <w:r>
        <w:t>.  12:645-653.</w:t>
      </w:r>
    </w:p>
    <w:p w:rsidR="00BD6E9A" w:rsidRDefault="00BD6E9A">
      <w:r>
        <w:t xml:space="preserve">Benjamini, Y. and Hochberg, Y.  (1995).  Controlling the false discovery rate: A practical and powerful approach to multiple testing.  </w:t>
      </w:r>
      <w:r w:rsidRPr="00BD6E9A">
        <w:rPr>
          <w:i/>
        </w:rPr>
        <w:t>J Roy Statist Soc Ser B</w:t>
      </w:r>
      <w:r>
        <w:t xml:space="preserve"> 57:1:289-300.</w:t>
      </w:r>
    </w:p>
    <w:p w:rsidR="00A5798B" w:rsidRDefault="00C174AA">
      <w:r>
        <w:t xml:space="preserve">Brier, </w:t>
      </w:r>
      <w:r w:rsidR="00B34EAD">
        <w:t xml:space="preserve">M. </w:t>
      </w:r>
      <w:r>
        <w:t xml:space="preserve">R., Thomas, J. B., Snyder, A. Z., Benzinger, T. L., Zhang, D., Raichle, M. E., Holtzman, D. M., Morris, J. C. and Ances, B. M.  (2012).  Loss of Intranetwork and internetwork resting state functional connections with Alzheimer’s disease progression. </w:t>
      </w:r>
      <w:r w:rsidRPr="00C174AA">
        <w:rPr>
          <w:i/>
        </w:rPr>
        <w:t xml:space="preserve"> J Neurosci.</w:t>
      </w:r>
      <w:r>
        <w:t xml:space="preserve">  32:26:8890-8899.</w:t>
      </w:r>
    </w:p>
    <w:p w:rsidR="00706567" w:rsidRDefault="00706567">
      <w:r>
        <w:t xml:space="preserve">Cai, S., Huang, L., Zou, J., et al.  (2015).  Changes in thalamic connectivity in the early and late stages of amnestic mild cognitive impairment: a resting-state functional magnetic resonance study from ADNI.  </w:t>
      </w:r>
      <w:r w:rsidRPr="00706567">
        <w:rPr>
          <w:i/>
        </w:rPr>
        <w:t>PLoS ONE</w:t>
      </w:r>
      <w:r>
        <w:t xml:space="preserve"> 10(2):</w:t>
      </w:r>
      <w:r w:rsidR="00605E1E">
        <w:t xml:space="preserve"> </w:t>
      </w:r>
      <w:r>
        <w:t>e0115573.  Doi:10.137/journal.pone.0115573.</w:t>
      </w:r>
    </w:p>
    <w:p w:rsidR="00B34EAD" w:rsidRDefault="00B34EAD">
      <w:r>
        <w:t xml:space="preserve">Corder, E.H., Saunders, A. M., Strittmatter, W. J., et al.  (1993).  Gene dose of apolipoprotein E type 4 allele and the risk of Alzheimer’s disease in late onset families.  </w:t>
      </w:r>
      <w:r w:rsidRPr="00B34EAD">
        <w:rPr>
          <w:i/>
        </w:rPr>
        <w:t>Science</w:t>
      </w:r>
      <w:r>
        <w:t>.  1993:261:921-923.</w:t>
      </w:r>
    </w:p>
    <w:p w:rsidR="00545D42" w:rsidRDefault="00545D42" w:rsidP="00545D42">
      <w:pPr>
        <w:rPr>
          <w:bCs/>
        </w:rPr>
      </w:pPr>
      <w:r w:rsidRPr="00545D42">
        <w:lastRenderedPageBreak/>
        <w:t xml:space="preserve">Cox, R. W.  (1996).  </w:t>
      </w:r>
      <w:r w:rsidRPr="00545D42">
        <w:rPr>
          <w:bCs/>
        </w:rPr>
        <w:t>AFNI: Software for Analysis and Visualization of Functional Magnetic Resonance Neuroimages</w:t>
      </w:r>
      <w:r>
        <w:rPr>
          <w:bCs/>
        </w:rPr>
        <w:t xml:space="preserve">.  </w:t>
      </w:r>
      <w:r w:rsidRPr="00545D42">
        <w:rPr>
          <w:bCs/>
          <w:i/>
        </w:rPr>
        <w:t>Comp Biomed Res.</w:t>
      </w:r>
      <w:r>
        <w:rPr>
          <w:bCs/>
        </w:rPr>
        <w:t xml:space="preserve">  29:3:1762-173.</w:t>
      </w:r>
    </w:p>
    <w:p w:rsidR="00442CE0" w:rsidRDefault="00442CE0" w:rsidP="00545D42">
      <w:pPr>
        <w:rPr>
          <w:bCs/>
        </w:rPr>
      </w:pPr>
      <w:r>
        <w:rPr>
          <w:bCs/>
        </w:rPr>
        <w:t xml:space="preserve">Eickhoff, S.B., Stephan, K.E., Mohlberg, H., et al. (2005).  A new SPM toolbox for combining probabilistic cytoarchitectonic maps and functional imaging data.  </w:t>
      </w:r>
      <w:r w:rsidRPr="00442CE0">
        <w:rPr>
          <w:bCs/>
          <w:i/>
        </w:rPr>
        <w:t>Neuroimage</w:t>
      </w:r>
      <w:r>
        <w:rPr>
          <w:bCs/>
        </w:rPr>
        <w:t>.  25(4):1325-35.</w:t>
      </w:r>
    </w:p>
    <w:p w:rsidR="009771FE" w:rsidRDefault="009771FE" w:rsidP="00545D42">
      <w:pPr>
        <w:rPr>
          <w:bCs/>
        </w:rPr>
      </w:pPr>
      <w:r>
        <w:rPr>
          <w:bCs/>
        </w:rPr>
        <w:t>Efron, B.  and Tibshirani, R.  (1993).  An Introduction to the bootstrap.  Monographs on Statistics and Applied Probability, vol. 57.  New York: Chapman and Hall.</w:t>
      </w:r>
    </w:p>
    <w:p w:rsidR="00003390" w:rsidRDefault="00003390" w:rsidP="00545D42">
      <w:pPr>
        <w:rPr>
          <w:bCs/>
        </w:rPr>
      </w:pPr>
      <w:r>
        <w:rPr>
          <w:bCs/>
        </w:rPr>
        <w:t xml:space="preserve">Efron, B.  (2004).  Large-scale simultaneous hypothesis testing: the choice of a null hypothesis.  </w:t>
      </w:r>
      <w:r w:rsidRPr="00003390">
        <w:rPr>
          <w:bCs/>
          <w:i/>
        </w:rPr>
        <w:t>J Amer Stat Assoc.</w:t>
      </w:r>
      <w:r>
        <w:rPr>
          <w:bCs/>
        </w:rPr>
        <w:t xml:space="preserve">  99:465:96-104.</w:t>
      </w:r>
    </w:p>
    <w:p w:rsidR="00003390" w:rsidRDefault="00003390" w:rsidP="00545D42">
      <w:pPr>
        <w:rPr>
          <w:bCs/>
        </w:rPr>
      </w:pPr>
      <w:r>
        <w:rPr>
          <w:bCs/>
        </w:rPr>
        <w:t>Efron, B.  (2010).  Large-scale inference: Empirical Bayes methods for estimation, testing and prediction.  IMS Monographs.  Cambridge: Cambridge University Press.</w:t>
      </w:r>
    </w:p>
    <w:p w:rsidR="00D227C9" w:rsidRPr="00545D42" w:rsidRDefault="00D227C9" w:rsidP="00545D42">
      <w:pPr>
        <w:rPr>
          <w:bCs/>
        </w:rPr>
      </w:pPr>
      <w:r>
        <w:rPr>
          <w:bCs/>
        </w:rPr>
        <w:t xml:space="preserve">Eklund, A., Nichols, T. E., and Knutsson, H.  (2016).  Cluster failure: Why fMRI inferences for spatial extent have inflated false-positive rates.  </w:t>
      </w:r>
      <w:r w:rsidRPr="00D227C9">
        <w:rPr>
          <w:bCs/>
          <w:i/>
        </w:rPr>
        <w:t>Proc Natl Acad Sci (USA).</w:t>
      </w:r>
      <w:r>
        <w:rPr>
          <w:bCs/>
        </w:rPr>
        <w:t xml:space="preserve"> 113:28:7900-7905.</w:t>
      </w:r>
    </w:p>
    <w:p w:rsidR="0056487E" w:rsidRDefault="0056487E">
      <w:r>
        <w:t xml:space="preserve">Greicius, M. D., Srivastava, G., Reiss, A. L., and Menon, V.  (2004).  Default-mode network activity distinguishes Alzheimer’s disease from healthy aging: Evidence from functional MRI.  </w:t>
      </w:r>
      <w:r w:rsidRPr="0056487E">
        <w:rPr>
          <w:i/>
        </w:rPr>
        <w:t>Proc Natl Acad Sci USA</w:t>
      </w:r>
      <w:r>
        <w:t xml:space="preserve"> 101:13:4637-4642.</w:t>
      </w:r>
    </w:p>
    <w:p w:rsidR="003A7C06" w:rsidRDefault="003A7C06">
      <w:r>
        <w:t xml:space="preserve">Hall, P. and Wilson, S. R.  (1991).  Two guidelines for bootstrap hypothesis testing.  </w:t>
      </w:r>
      <w:r w:rsidRPr="003A7C06">
        <w:rPr>
          <w:i/>
        </w:rPr>
        <w:t>Biometrics</w:t>
      </w:r>
      <w:r>
        <w:t>.  47:757-762.</w:t>
      </w:r>
    </w:p>
    <w:p w:rsidR="00131212" w:rsidRDefault="00131212">
      <w:r>
        <w:t xml:space="preserve">Jack, C., et al.  (2008).  The Alzheimer’s disease neuroimaging initiative (ADNI): MRI methods.  </w:t>
      </w:r>
      <w:r w:rsidRPr="00131212">
        <w:rPr>
          <w:i/>
        </w:rPr>
        <w:t xml:space="preserve">J Magn Reson Imaging.  </w:t>
      </w:r>
      <w:r w:rsidRPr="00131212">
        <w:t>27(4): 685–691. doi:10.1002/jmri.21049</w:t>
      </w:r>
      <w:r>
        <w:t>.</w:t>
      </w:r>
    </w:p>
    <w:p w:rsidR="00D227C9" w:rsidRDefault="00D227C9">
      <w:r>
        <w:t>Jenkinson, M., Beckmann, C. F., Behrens, T.E., Woolrich, M. W. and Smith, S. M. (2012).  FSL.  Neuroimage.  62:2:782-790.</w:t>
      </w:r>
    </w:p>
    <w:p w:rsidR="00AE2A40" w:rsidRDefault="00AE2A40">
      <w:r w:rsidRPr="00AE2A40">
        <w:t>Mackey, S. and Petrides, M. (2014), Architecture and </w:t>
      </w:r>
      <w:r w:rsidR="00F87162">
        <w:t xml:space="preserve">morphology of the human ventromedial prefrontal cortex. </w:t>
      </w:r>
      <w:r w:rsidR="00F87162" w:rsidRPr="00F87162">
        <w:rPr>
          <w:i/>
        </w:rPr>
        <w:t xml:space="preserve"> Eur J Neurosci.</w:t>
      </w:r>
      <w:r w:rsidR="00F87162">
        <w:t> 40:2777-796.</w:t>
      </w:r>
    </w:p>
    <w:p w:rsidR="003349DC" w:rsidRDefault="003349DC" w:rsidP="003349DC">
      <w:r>
        <w:t>Mayo Aging and Dementia Imaging Research (ADIR) Laboratory.  (2011).  ADNI GO/2 MRI QC procedures.  31-January-2011.</w:t>
      </w:r>
    </w:p>
    <w:p w:rsidR="003349DC" w:rsidRDefault="003349DC">
      <w:r>
        <w:t>Mayo Aging and Dementia Imaging Research (ADIR) Laboratory.  (2012).  Data file specifications for image quality assessment.  Version 1.0.  31-October-2012.</w:t>
      </w:r>
    </w:p>
    <w:p w:rsidR="004D1EC1" w:rsidRDefault="004D1EC1">
      <w:r>
        <w:t xml:space="preserve">Nichols, T. E. and Holmes, A. P.  (2002).  Nonparametric permutation tests for functional neuroimaging: A primer with examples.  </w:t>
      </w:r>
      <w:r w:rsidRPr="004D1EC1">
        <w:rPr>
          <w:i/>
        </w:rPr>
        <w:t>Hum Brain Mapp.</w:t>
      </w:r>
      <w:r>
        <w:t xml:space="preserve">  15:1:1-25.</w:t>
      </w:r>
    </w:p>
    <w:p w:rsidR="00F555C4" w:rsidRDefault="00F555C4">
      <w:r>
        <w:t xml:space="preserve">Smith, S.M., </w:t>
      </w:r>
      <w:r w:rsidRPr="00F555C4">
        <w:t xml:space="preserve">Jenkinson, </w:t>
      </w:r>
      <w:r>
        <w:t xml:space="preserve">M., </w:t>
      </w:r>
      <w:r w:rsidRPr="00F555C4">
        <w:t xml:space="preserve">Woolrich, </w:t>
      </w:r>
      <w:r>
        <w:t>M. W., et al</w:t>
      </w:r>
      <w:r w:rsidRPr="00F555C4">
        <w:t>. Advances in functional and structural MR image anal</w:t>
      </w:r>
      <w:r>
        <w:t xml:space="preserve">ysis and implementation as FSL.  </w:t>
      </w:r>
      <w:r w:rsidRPr="00F555C4">
        <w:rPr>
          <w:i/>
        </w:rPr>
        <w:t>NeuroImage</w:t>
      </w:r>
      <w:r>
        <w:t>.  23(S1):208-19.</w:t>
      </w:r>
    </w:p>
    <w:p w:rsidR="00224068" w:rsidRDefault="00224068">
      <w:r>
        <w:t xml:space="preserve">Weiner, M. W., Veitch, D. P., Aisen, P. S., Beckett, L. A., Cairns, N. J., Cedarbaum, J., Green, R. C., Harvey, D., Jack, C. R., Jagust, W., Luthman, J., Morris, J. C., Petersen, R. C., Saykin, A. J., Shaw, L., Shen, L., Schwarz, A., Toga, A. W., Trojanowski, J. Q., Alzheimer’s Disease Neuroimaging Initiative.  (2014).  2014 Update of the Alzheimer’s Disease Neuroimaging Initiative: A review of papers published since its inception. </w:t>
      </w:r>
      <w:r w:rsidRPr="00224068">
        <w:rPr>
          <w:i/>
        </w:rPr>
        <w:t xml:space="preserve"> Alzheimer’s and Dementia.</w:t>
      </w:r>
      <w:r>
        <w:t xml:space="preserve">  11:e1-e120.</w:t>
      </w:r>
    </w:p>
    <w:p w:rsidR="00DC749C" w:rsidRDefault="00DC749C">
      <w:r>
        <w:lastRenderedPageBreak/>
        <w:t xml:space="preserve">Westfall, P. H. and Young, S. S.  (1993).  </w:t>
      </w:r>
      <w:r w:rsidRPr="00DC749C">
        <w:t>Resampling-based multiple testi</w:t>
      </w:r>
      <w:r w:rsidR="00FE4BC9">
        <w:t xml:space="preserve">ng: Examples and methods for </w:t>
      </w:r>
      <w:r w:rsidR="00FE4BC9" w:rsidRPr="00FE4BC9">
        <w:rPr>
          <w:i/>
        </w:rPr>
        <w:t>p</w:t>
      </w:r>
      <w:r w:rsidR="00FE4BC9">
        <w:t>-v</w:t>
      </w:r>
      <w:r w:rsidRPr="00DC749C">
        <w:t>alue adjustment. Wiley; New York: 1993.</w:t>
      </w:r>
    </w:p>
    <w:p w:rsidR="00B85B19" w:rsidRDefault="00B85B19">
      <w:r>
        <w:t xml:space="preserve">Westfall, P. H. and Troendle, J. F.  (2008).  Multiple testing with minimal assumptions.  </w:t>
      </w:r>
      <w:r w:rsidRPr="00DC749C">
        <w:rPr>
          <w:i/>
        </w:rPr>
        <w:t>Biom J.</w:t>
      </w:r>
      <w:r>
        <w:t xml:space="preserve">  50:5:745-755.</w:t>
      </w:r>
    </w:p>
    <w:p w:rsidR="002F0DD1" w:rsidRDefault="002F0DD1">
      <w:r>
        <w:br w:type="page"/>
      </w:r>
    </w:p>
    <w:p w:rsidR="005B6A7D" w:rsidRDefault="005B6A7D" w:rsidP="00A5798B">
      <w:pPr>
        <w:pStyle w:val="Heading1"/>
      </w:pPr>
      <w:r>
        <w:lastRenderedPageBreak/>
        <w:t>Figures</w:t>
      </w:r>
    </w:p>
    <w:p w:rsidR="0016656F" w:rsidRDefault="00BE0D4D" w:rsidP="00BE0D4D">
      <w:pPr>
        <w:rPr>
          <w:b/>
        </w:rPr>
      </w:pPr>
      <w:r>
        <w:rPr>
          <w:b/>
          <w:noProof/>
        </w:rPr>
        <w:drawing>
          <wp:inline distT="0" distB="0" distL="0" distR="0">
            <wp:extent cx="5943600" cy="33432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RSN Summary Figure (v2 23Jan2017) TIFF.tif"/>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bookmarkStart w:id="0" w:name="_GoBack"/>
      <w:bookmarkEnd w:id="0"/>
    </w:p>
    <w:p w:rsidR="002550C6" w:rsidRDefault="00D7141F">
      <w:r w:rsidRPr="002550C6">
        <w:rPr>
          <w:b/>
        </w:rPr>
        <w:t>Figure 1.</w:t>
      </w:r>
      <w:r>
        <w:t xml:space="preserve">  </w:t>
      </w:r>
      <w:r w:rsidR="000D5E37">
        <w:t>Seed-based ROI group-averaged c</w:t>
      </w:r>
      <w:r w:rsidR="00FB1C14">
        <w:t xml:space="preserve">orrelation maps </w:t>
      </w:r>
      <w:r w:rsidR="00520A5A">
        <w:t>for CN, MCI and Dementia groups</w:t>
      </w:r>
      <w:r w:rsidR="000D5E37">
        <w:t xml:space="preserve">.  </w:t>
      </w:r>
      <w:r w:rsidR="003D2B62">
        <w:t xml:space="preserve">Results shown for ROI seeds: CON, dorsal medial prefrontal cortex; DAN, left visual area MT; DMN, posterior cingulate cortex; SAL, right dorsal anterior cingulate cortex; and SMN, supplementary motor area.  </w:t>
      </w:r>
      <w:r w:rsidR="00952FA4">
        <w:t>Cluster and display parameters: P</w:t>
      </w:r>
      <w:r w:rsidR="00952FA4" w:rsidRPr="00AC5373">
        <w:rPr>
          <w:vertAlign w:val="subscript"/>
        </w:rPr>
        <w:t>CDT</w:t>
      </w:r>
      <w:r w:rsidR="00952FA4">
        <w:t>=0.025; P</w:t>
      </w:r>
      <w:r w:rsidR="00952FA4">
        <w:rPr>
          <w:vertAlign w:val="subscript"/>
        </w:rPr>
        <w:t>CMT</w:t>
      </w:r>
      <w:r w:rsidR="00952FA4">
        <w:t>=0.005; N</w:t>
      </w:r>
      <w:r w:rsidR="00952FA4">
        <w:rPr>
          <w:vertAlign w:val="subscript"/>
        </w:rPr>
        <w:t>C</w:t>
      </w:r>
      <w:r w:rsidR="00CB318F">
        <w:t>=100.</w:t>
      </w:r>
      <w:r w:rsidR="003D2B62">
        <w:t xml:space="preserve">  (N</w:t>
      </w:r>
      <w:r w:rsidR="003D2B62">
        <w:rPr>
          <w:vertAlign w:val="subscript"/>
        </w:rPr>
        <w:t>C</w:t>
      </w:r>
      <w:r w:rsidR="003D2B62">
        <w:t>=50 for DAN).</w:t>
      </w:r>
    </w:p>
    <w:p w:rsidR="00442597" w:rsidRDefault="00442597">
      <w:r>
        <w:br w:type="page"/>
      </w:r>
    </w:p>
    <w:p w:rsidR="00A5798B" w:rsidRDefault="00A5798B" w:rsidP="00A5798B">
      <w:pPr>
        <w:pStyle w:val="Heading1"/>
      </w:pPr>
      <w:r>
        <w:lastRenderedPageBreak/>
        <w:t>Acknowledgements</w:t>
      </w:r>
    </w:p>
    <w:p w:rsidR="00A5798B" w:rsidRDefault="00274ABB" w:rsidP="00274ABB">
      <w:r w:rsidRPr="00274ABB">
        <w:t>Data collection and sharing for this project was funded by the Alzheimer's Disease Neuroimaging Initiative (ADNI) (National Institutes of Health Grant U01 AG024904) and DOD ADNI (Department of Defense award number W81XWH-12-2-0012).  ADNI is funded by the National Institute on Aging, the National Institute of Biomedical Imaging and Bioengineering, and through generous contributions from the following: AbbVie, Alzheimer’s Association; Alzheimer’s Drug Discovery Foundation; Araclon Biotech; BioClinica, Inc.; Biogen; Bristol-Myers Squibb Company; CereSpir, Inc.; Cogstate; Eisai Inc.; Elan Pharmaceuticals, Inc.; Eli Lilly and Company; EuroImmun; F. Hoffmann-La Roche Ltd and its affiliated company Genentech, Inc.; Fujirebio; GE Healthcare; IXICO Ltd.; Janssen Alzheimer Immunotherapy Research &amp; Development, LLC.; Johnson &amp; Johnson Pharmaceutical Research &amp; Development LLC; Lumosity; Lundbeck; Merck &amp; Co., Inc.; Meso Scale Diagnostics, LLC.; NeuroRx Research; Neurotrack Technologies; Novartis Pharmaceuticals Corporation; Pfizer Inc.; Piramal Imaging; Servier; Takeda Pharmaceutical Company; and Transition Therapeutics. The Canadian Institutes of Health Research is providing funds to support ADNI clinical sites in Canada.  Private sector contributions are facilitated by the Foundation for the National Institutes of Health (</w:t>
      </w:r>
      <w:hyperlink r:id="rId14" w:history="1">
        <w:r w:rsidRPr="009B5EA5">
          <w:rPr>
            <w:rStyle w:val="Hyperlink"/>
          </w:rPr>
          <w:t>www.fnih.org</w:t>
        </w:r>
      </w:hyperlink>
      <w:r w:rsidRPr="00274ABB">
        <w:t>).  The grantee organization is the Northern California Institute for Research and Education, and the study is coordinated by the Alzheimer’s Therapeutic Research Institute at the University of Southern California. ADNI data are disseminated by the Laboratory for Neuro Imaging at the University of Southern California.</w:t>
      </w:r>
    </w:p>
    <w:p w:rsidR="00EF63E5" w:rsidRDefault="00EF63E5" w:rsidP="00EF63E5">
      <w:pPr>
        <w:pStyle w:val="Heading1"/>
      </w:pPr>
      <w:r>
        <w:t>Glossary</w:t>
      </w:r>
    </w:p>
    <w:p w:rsidR="002B297E" w:rsidRDefault="002B297E" w:rsidP="00EF63E5">
      <w:pPr>
        <w:ind w:left="432"/>
      </w:pPr>
      <w:r>
        <w:t>ACC</w:t>
      </w:r>
      <w:r>
        <w:tab/>
        <w:t>Anterior Cingulate Cortex</w:t>
      </w:r>
    </w:p>
    <w:p w:rsidR="003E08D4" w:rsidRDefault="003E08D4" w:rsidP="00EF63E5">
      <w:pPr>
        <w:ind w:left="432"/>
      </w:pPr>
      <w:r>
        <w:t>ACF</w:t>
      </w:r>
      <w:r>
        <w:tab/>
        <w:t>Auto-correlation Function</w:t>
      </w:r>
    </w:p>
    <w:p w:rsidR="00EF63E5" w:rsidRDefault="00EF63E5" w:rsidP="00EF63E5">
      <w:pPr>
        <w:ind w:left="432"/>
      </w:pPr>
      <w:r>
        <w:t>AD</w:t>
      </w:r>
      <w:r>
        <w:tab/>
      </w:r>
      <w:r>
        <w:tab/>
        <w:t>Alzheimer’s Disease</w:t>
      </w:r>
    </w:p>
    <w:p w:rsidR="00EF63E5" w:rsidRDefault="00EF63E5" w:rsidP="00EF63E5">
      <w:pPr>
        <w:ind w:left="432"/>
      </w:pPr>
      <w:r>
        <w:t>ADNI</w:t>
      </w:r>
      <w:r>
        <w:tab/>
        <w:t>Alzheimer’s Disease Neuroimaging Initiative</w:t>
      </w:r>
    </w:p>
    <w:p w:rsidR="004F4C38" w:rsidRDefault="004F4C38" w:rsidP="00EF63E5">
      <w:pPr>
        <w:ind w:left="432"/>
      </w:pPr>
      <w:r>
        <w:t>APOE</w:t>
      </w:r>
      <w:r>
        <w:tab/>
        <w:t>Apolipoprotein E</w:t>
      </w:r>
    </w:p>
    <w:p w:rsidR="005C1113" w:rsidRDefault="005C1113" w:rsidP="00EF63E5">
      <w:pPr>
        <w:ind w:left="432"/>
      </w:pPr>
      <w:r>
        <w:t>CDR</w:t>
      </w:r>
      <w:r>
        <w:tab/>
        <w:t>Clinical Dementia Rating (Global)</w:t>
      </w:r>
    </w:p>
    <w:p w:rsidR="005C1113" w:rsidRDefault="005C1113" w:rsidP="00EF63E5">
      <w:pPr>
        <w:ind w:left="432"/>
      </w:pPr>
      <w:r>
        <w:t>CDRSB</w:t>
      </w:r>
      <w:r>
        <w:tab/>
        <w:t>Clinical Dementia Rating Sum-of-Boxes</w:t>
      </w:r>
    </w:p>
    <w:p w:rsidR="00923035" w:rsidRDefault="00923035" w:rsidP="00EF63E5">
      <w:pPr>
        <w:ind w:left="432"/>
      </w:pPr>
      <w:r>
        <w:t>CDT</w:t>
      </w:r>
      <w:r>
        <w:tab/>
        <w:t>Cluster Defining Threshold</w:t>
      </w:r>
    </w:p>
    <w:p w:rsidR="00EF63E5" w:rsidRDefault="00EF63E5" w:rsidP="00EF63E5">
      <w:pPr>
        <w:ind w:left="432"/>
      </w:pPr>
      <w:r>
        <w:t>CN</w:t>
      </w:r>
      <w:r>
        <w:tab/>
      </w:r>
      <w:r>
        <w:tab/>
        <w:t>Cognitively Normal</w:t>
      </w:r>
    </w:p>
    <w:p w:rsidR="00D7141F" w:rsidRDefault="00D7141F" w:rsidP="00EF63E5">
      <w:pPr>
        <w:ind w:left="432"/>
      </w:pPr>
      <w:r>
        <w:t>CON</w:t>
      </w:r>
      <w:r>
        <w:tab/>
        <w:t>Control RSN</w:t>
      </w:r>
    </w:p>
    <w:p w:rsidR="00534955" w:rsidRDefault="00534955" w:rsidP="00EF63E5">
      <w:pPr>
        <w:ind w:left="432"/>
      </w:pPr>
      <w:r>
        <w:t>CSF</w:t>
      </w:r>
      <w:r>
        <w:tab/>
        <w:t>Cerebral-spinal Fluid</w:t>
      </w:r>
    </w:p>
    <w:p w:rsidR="00D7141F" w:rsidRDefault="00D7141F" w:rsidP="00EF63E5">
      <w:pPr>
        <w:ind w:left="432"/>
      </w:pPr>
      <w:r>
        <w:t>dmPFC</w:t>
      </w:r>
      <w:r>
        <w:tab/>
        <w:t>Dorsal Medial Pre-Frontal Cortex</w:t>
      </w:r>
    </w:p>
    <w:p w:rsidR="00B84C1F" w:rsidRDefault="00B84C1F" w:rsidP="00EF63E5">
      <w:pPr>
        <w:ind w:left="432"/>
      </w:pPr>
      <w:r>
        <w:t>EPI</w:t>
      </w:r>
      <w:r>
        <w:tab/>
      </w:r>
      <w:r>
        <w:tab/>
        <w:t>Echo Planar Image</w:t>
      </w:r>
    </w:p>
    <w:p w:rsidR="00FE4BC9" w:rsidRDefault="00FE4BC9" w:rsidP="00EF63E5">
      <w:pPr>
        <w:ind w:left="432"/>
      </w:pPr>
      <w:r>
        <w:t>FDR</w:t>
      </w:r>
      <w:r>
        <w:tab/>
        <w:t>False Detection Rate</w:t>
      </w:r>
    </w:p>
    <w:p w:rsidR="00451BF0" w:rsidRDefault="00451BF0" w:rsidP="00EF63E5">
      <w:pPr>
        <w:ind w:left="432"/>
      </w:pPr>
      <w:r>
        <w:t>LONI</w:t>
      </w:r>
      <w:r>
        <w:tab/>
        <w:t>Laboratory of Neu</w:t>
      </w:r>
    </w:p>
    <w:p w:rsidR="00EF63E5" w:rsidRDefault="00EF63E5" w:rsidP="00EF63E5">
      <w:pPr>
        <w:ind w:left="432"/>
      </w:pPr>
      <w:r>
        <w:lastRenderedPageBreak/>
        <w:t>MCI</w:t>
      </w:r>
      <w:r>
        <w:tab/>
        <w:t>Mild Cognitive Impairment</w:t>
      </w:r>
    </w:p>
    <w:p w:rsidR="00C134E0" w:rsidRDefault="00C134E0" w:rsidP="00EF63E5">
      <w:pPr>
        <w:ind w:left="432"/>
      </w:pPr>
      <w:r>
        <w:t>MPRAGE</w:t>
      </w:r>
      <w:r>
        <w:tab/>
        <w:t>Magnetization Prepared Rapid Gradient Echo</w:t>
      </w:r>
    </w:p>
    <w:p w:rsidR="008027EF" w:rsidRDefault="008027EF" w:rsidP="00EF63E5">
      <w:pPr>
        <w:ind w:left="432"/>
      </w:pPr>
      <w:r>
        <w:t>MT</w:t>
      </w:r>
      <w:r>
        <w:tab/>
        <w:t>Middle Temporal (Visual Area 5)</w:t>
      </w:r>
    </w:p>
    <w:p w:rsidR="00EC310D" w:rsidRDefault="00EC310D" w:rsidP="00EC310D">
      <w:pPr>
        <w:ind w:left="432"/>
      </w:pPr>
      <w:r>
        <w:t>N</w:t>
      </w:r>
      <w:r>
        <w:rPr>
          <w:rFonts w:cstheme="minorHAnsi"/>
          <w:vertAlign w:val="subscript"/>
        </w:rPr>
        <w:t>α</w:t>
      </w:r>
      <w:r>
        <w:rPr>
          <w:vertAlign w:val="subscript"/>
        </w:rPr>
        <w:tab/>
      </w:r>
      <w:r>
        <w:tab/>
        <w:t xml:space="preserve">Cluster extent minimum condition on false-positive level </w:t>
      </w:r>
      <w:r>
        <w:rPr>
          <w:rFonts w:cstheme="minorHAnsi"/>
        </w:rPr>
        <w:t>α</w:t>
      </w:r>
    </w:p>
    <w:p w:rsidR="00F045DD" w:rsidRDefault="00F045DD" w:rsidP="00F045DD">
      <w:pPr>
        <w:ind w:left="432"/>
      </w:pPr>
      <w:r>
        <w:t>N</w:t>
      </w:r>
      <w:r>
        <w:rPr>
          <w:vertAlign w:val="subscript"/>
        </w:rPr>
        <w:t>CT</w:t>
      </w:r>
      <w:r>
        <w:rPr>
          <w:vertAlign w:val="subscript"/>
        </w:rPr>
        <w:tab/>
      </w:r>
      <w:r>
        <w:tab/>
        <w:t>C</w:t>
      </w:r>
      <w:r w:rsidR="00EC310D">
        <w:t>luster e</w:t>
      </w:r>
      <w:r>
        <w:t>xtent</w:t>
      </w:r>
      <w:r w:rsidR="00EC310D">
        <w:t xml:space="preserve"> t</w:t>
      </w:r>
      <w:r>
        <w:t>hreshold</w:t>
      </w:r>
    </w:p>
    <w:p w:rsidR="00F045DD" w:rsidRDefault="00F045DD" w:rsidP="00F045DD">
      <w:pPr>
        <w:ind w:left="432"/>
      </w:pPr>
      <w:r>
        <w:t>N</w:t>
      </w:r>
      <w:r>
        <w:rPr>
          <w:vertAlign w:val="subscript"/>
        </w:rPr>
        <w:t>V</w:t>
      </w:r>
      <w:r>
        <w:rPr>
          <w:vertAlign w:val="subscript"/>
        </w:rPr>
        <w:tab/>
      </w:r>
      <w:r>
        <w:tab/>
        <w:t>C</w:t>
      </w:r>
      <w:r w:rsidR="00EC310D">
        <w:t>luster e</w:t>
      </w:r>
      <w:r>
        <w:t>xtent</w:t>
      </w:r>
    </w:p>
    <w:p w:rsidR="00AD18DD" w:rsidRDefault="00AD18DD" w:rsidP="00EF63E5">
      <w:pPr>
        <w:ind w:left="432"/>
      </w:pPr>
      <w:r>
        <w:t>PCC</w:t>
      </w:r>
      <w:r>
        <w:tab/>
        <w:t>Posterior Cingulate Cortex</w:t>
      </w:r>
    </w:p>
    <w:p w:rsidR="0034287D" w:rsidRDefault="0034287D" w:rsidP="00EF63E5">
      <w:pPr>
        <w:ind w:left="432"/>
      </w:pPr>
      <w:r>
        <w:t>P</w:t>
      </w:r>
      <w:r w:rsidRPr="00AC5373">
        <w:rPr>
          <w:vertAlign w:val="subscript"/>
        </w:rPr>
        <w:t>CDT</w:t>
      </w:r>
      <w:r>
        <w:tab/>
        <w:t>Cluster Defining Threshold</w:t>
      </w:r>
    </w:p>
    <w:p w:rsidR="0034287D" w:rsidRDefault="0034287D" w:rsidP="0034287D">
      <w:pPr>
        <w:ind w:left="432"/>
      </w:pPr>
      <w:r>
        <w:t>P</w:t>
      </w:r>
      <w:r>
        <w:rPr>
          <w:vertAlign w:val="subscript"/>
        </w:rPr>
        <w:t>CM</w:t>
      </w:r>
      <w:r w:rsidRPr="00AC5373">
        <w:rPr>
          <w:vertAlign w:val="subscript"/>
        </w:rPr>
        <w:t>T</w:t>
      </w:r>
      <w:r>
        <w:tab/>
        <w:t>Color Maximum Threshold</w:t>
      </w:r>
    </w:p>
    <w:p w:rsidR="00EF63E5" w:rsidRDefault="00EF63E5" w:rsidP="00EF63E5">
      <w:pPr>
        <w:ind w:left="432"/>
      </w:pPr>
      <w:r>
        <w:t>ROI</w:t>
      </w:r>
      <w:r>
        <w:tab/>
        <w:t>Region of Interest</w:t>
      </w:r>
    </w:p>
    <w:p w:rsidR="00B111DC" w:rsidRDefault="00B111DC" w:rsidP="00EF63E5">
      <w:pPr>
        <w:ind w:left="432"/>
      </w:pPr>
      <w:r>
        <w:t>RSN</w:t>
      </w:r>
      <w:r>
        <w:tab/>
        <w:t>Resting-state Network</w:t>
      </w:r>
    </w:p>
    <w:p w:rsidR="00D070D9" w:rsidRDefault="00D070D9" w:rsidP="00EF63E5">
      <w:pPr>
        <w:ind w:left="432"/>
      </w:pPr>
      <w:r>
        <w:t xml:space="preserve">SVM </w:t>
      </w:r>
      <w:r>
        <w:tab/>
        <w:t>Support Vector Machine</w:t>
      </w:r>
    </w:p>
    <w:p w:rsidR="00EF1EB4" w:rsidRDefault="00EF1EB4" w:rsidP="00EF63E5">
      <w:pPr>
        <w:ind w:left="432"/>
      </w:pPr>
      <w:r>
        <w:t>rsfMRI</w:t>
      </w:r>
      <w:r>
        <w:tab/>
        <w:t>Resting State Functional Magnetic Resonance Imaging</w:t>
      </w:r>
    </w:p>
    <w:p w:rsidR="00534955" w:rsidRDefault="00534955" w:rsidP="00EF63E5">
      <w:pPr>
        <w:ind w:left="432"/>
      </w:pPr>
      <w:r>
        <w:t>WM</w:t>
      </w:r>
      <w:r>
        <w:tab/>
        <w:t>White Matter</w:t>
      </w:r>
    </w:p>
    <w:p w:rsidR="00751846" w:rsidRPr="00EF63E5" w:rsidRDefault="00751846" w:rsidP="00EF63E5">
      <w:pPr>
        <w:ind w:left="432"/>
      </w:pPr>
      <w:r>
        <w:t>XML</w:t>
      </w:r>
      <w:r>
        <w:tab/>
        <w:t>Extensible Markup Language</w:t>
      </w:r>
    </w:p>
    <w:sectPr w:rsidR="00751846" w:rsidRPr="00EF63E5" w:rsidSect="00A5798B">
      <w:headerReference w:type="default" r:id="rId15"/>
      <w:footerReference w:type="even" r:id="rId16"/>
      <w:footerReference w:type="default" r:id="rId1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0A0E" w:rsidRDefault="00260A0E" w:rsidP="00490CEE">
      <w:pPr>
        <w:spacing w:after="0" w:line="240" w:lineRule="auto"/>
      </w:pPr>
      <w:r>
        <w:separator/>
      </w:r>
    </w:p>
  </w:endnote>
  <w:endnote w:type="continuationSeparator" w:id="0">
    <w:p w:rsidR="00260A0E" w:rsidRDefault="00260A0E" w:rsidP="00490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001F" w:rsidRDefault="00D1001F" w:rsidP="00490CE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001F" w:rsidRPr="00490CEE" w:rsidRDefault="00D1001F" w:rsidP="00490CEE">
    <w:pPr>
      <w:pStyle w:val="Footer"/>
      <w:jc w:val="center"/>
      <w:rPr>
        <w:sz w:val="16"/>
        <w:szCs w:val="16"/>
      </w:rPr>
    </w:pPr>
    <w:r w:rsidRPr="00490CEE">
      <w:rPr>
        <w:sz w:val="16"/>
        <w:szCs w:val="16"/>
      </w:rPr>
      <w:t>FOR DISCUSSION ONLY.  DRAFT TECHNICAL REPORT.</w:t>
    </w:r>
  </w:p>
  <w:p w:rsidR="00D1001F" w:rsidRPr="00490CEE" w:rsidRDefault="00D1001F" w:rsidP="00490CEE">
    <w:pPr>
      <w:pStyle w:val="Footer"/>
      <w:jc w:val="center"/>
      <w:rPr>
        <w:sz w:val="16"/>
        <w:szCs w:val="16"/>
      </w:rPr>
    </w:pPr>
    <w:r w:rsidRPr="00490CEE">
      <w:rPr>
        <w:sz w:val="16"/>
        <w:szCs w:val="16"/>
      </w:rPr>
      <w:t>Copyright © 2016.  NuroSci, LLC.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0A0E" w:rsidRDefault="00260A0E" w:rsidP="00490CEE">
      <w:pPr>
        <w:spacing w:after="0" w:line="240" w:lineRule="auto"/>
      </w:pPr>
      <w:r>
        <w:separator/>
      </w:r>
    </w:p>
  </w:footnote>
  <w:footnote w:type="continuationSeparator" w:id="0">
    <w:p w:rsidR="00260A0E" w:rsidRDefault="00260A0E" w:rsidP="00490CEE">
      <w:pPr>
        <w:spacing w:after="0" w:line="240" w:lineRule="auto"/>
      </w:pPr>
      <w:r>
        <w:continuationSeparator/>
      </w:r>
    </w:p>
  </w:footnote>
  <w:footnote w:id="1">
    <w:p w:rsidR="00D1001F" w:rsidRDefault="00D1001F">
      <w:pPr>
        <w:pStyle w:val="FootnoteText"/>
      </w:pPr>
      <w:r>
        <w:rPr>
          <w:rStyle w:val="FootnoteReference"/>
        </w:rPr>
        <w:footnoteRef/>
      </w:r>
      <w:r>
        <w:t xml:space="preserve"> Data used in preparation of this report were obtained from the Alzheimer’s Disease Neuroimaging Initiative (ADNI) database (adni.loni.usc.edu).  As such, the investigators within the ADNI contributed to the design and implementation of ADNI and/or provided data, but did not participate in analysis or writing of this report.  A complete listing of ADNI investigators can be found at: http://adni.loni.usc.edu/wp-content/uploads/how_to_apply/ADNI_Acknowledgement_List.pdf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001F" w:rsidRPr="00490CEE" w:rsidRDefault="00D1001F" w:rsidP="00490CEE">
    <w:pPr>
      <w:pStyle w:val="Header"/>
      <w:jc w:val="center"/>
      <w:rPr>
        <w:sz w:val="16"/>
        <w:szCs w:val="16"/>
      </w:rPr>
    </w:pPr>
    <w:r w:rsidRPr="00490CEE">
      <w:rPr>
        <w:sz w:val="16"/>
        <w:szCs w:val="16"/>
      </w:rPr>
      <w:t>G</w:t>
    </w:r>
    <w:r>
      <w:rPr>
        <w:sz w:val="16"/>
        <w:szCs w:val="16"/>
      </w:rPr>
      <w:t>rajski, K. A. and S. L. Bressler.  Disruption of</w:t>
    </w:r>
    <w:r w:rsidRPr="00490CEE">
      <w:rPr>
        <w:sz w:val="16"/>
        <w:szCs w:val="16"/>
      </w:rPr>
      <w:t xml:space="preserve"> Resting State Correlation </w:t>
    </w:r>
    <w:r>
      <w:rPr>
        <w:sz w:val="16"/>
        <w:szCs w:val="16"/>
      </w:rPr>
      <w:t>in MCI and Dementia</w:t>
    </w:r>
    <w:r w:rsidRPr="00490CEE">
      <w:rPr>
        <w:sz w:val="16"/>
        <w:szCs w:val="16"/>
      </w:rPr>
      <w:ptab w:relativeTo="margin" w:alignment="right" w:leader="none"/>
    </w:r>
    <w:r w:rsidRPr="00490CEE">
      <w:rPr>
        <w:sz w:val="16"/>
        <w:szCs w:val="16"/>
      </w:rPr>
      <w:t xml:space="preserve">Page </w:t>
    </w:r>
    <w:r w:rsidRPr="00490CEE">
      <w:rPr>
        <w:b/>
        <w:bCs/>
        <w:sz w:val="16"/>
        <w:szCs w:val="16"/>
      </w:rPr>
      <w:fldChar w:fldCharType="begin"/>
    </w:r>
    <w:r w:rsidRPr="00490CEE">
      <w:rPr>
        <w:b/>
        <w:bCs/>
        <w:sz w:val="16"/>
        <w:szCs w:val="16"/>
      </w:rPr>
      <w:instrText xml:space="preserve"> PAGE  \* Arabic  \* MERGEFORMAT </w:instrText>
    </w:r>
    <w:r w:rsidRPr="00490CEE">
      <w:rPr>
        <w:b/>
        <w:bCs/>
        <w:sz w:val="16"/>
        <w:szCs w:val="16"/>
      </w:rPr>
      <w:fldChar w:fldCharType="separate"/>
    </w:r>
    <w:r w:rsidR="00BE0D4D">
      <w:rPr>
        <w:b/>
        <w:bCs/>
        <w:noProof/>
        <w:sz w:val="16"/>
        <w:szCs w:val="16"/>
      </w:rPr>
      <w:t>17</w:t>
    </w:r>
    <w:r w:rsidRPr="00490CEE">
      <w:rPr>
        <w:b/>
        <w:bCs/>
        <w:sz w:val="16"/>
        <w:szCs w:val="16"/>
      </w:rPr>
      <w:fldChar w:fldCharType="end"/>
    </w:r>
    <w:r w:rsidRPr="00490CEE">
      <w:rPr>
        <w:sz w:val="16"/>
        <w:szCs w:val="16"/>
      </w:rPr>
      <w:t xml:space="preserve"> of </w:t>
    </w:r>
    <w:r w:rsidRPr="00490CEE">
      <w:rPr>
        <w:b/>
        <w:bCs/>
        <w:sz w:val="16"/>
        <w:szCs w:val="16"/>
      </w:rPr>
      <w:fldChar w:fldCharType="begin"/>
    </w:r>
    <w:r w:rsidRPr="00490CEE">
      <w:rPr>
        <w:b/>
        <w:bCs/>
        <w:sz w:val="16"/>
        <w:szCs w:val="16"/>
      </w:rPr>
      <w:instrText xml:space="preserve"> NUMPAGES  \* Arabic  \* MERGEFORMAT </w:instrText>
    </w:r>
    <w:r w:rsidRPr="00490CEE">
      <w:rPr>
        <w:b/>
        <w:bCs/>
        <w:sz w:val="16"/>
        <w:szCs w:val="16"/>
      </w:rPr>
      <w:fldChar w:fldCharType="separate"/>
    </w:r>
    <w:r w:rsidR="00BE0D4D">
      <w:rPr>
        <w:b/>
        <w:bCs/>
        <w:noProof/>
        <w:sz w:val="16"/>
        <w:szCs w:val="16"/>
      </w:rPr>
      <w:t>19</w:t>
    </w:r>
    <w:r w:rsidRPr="00490CEE">
      <w:rPr>
        <w:b/>
        <w:bCs/>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4A36B9"/>
    <w:multiLevelType w:val="multilevel"/>
    <w:tmpl w:val="324E308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C4B4B54"/>
    <w:multiLevelType w:val="hybridMultilevel"/>
    <w:tmpl w:val="2834B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CEE"/>
    <w:rsid w:val="00003390"/>
    <w:rsid w:val="0000466D"/>
    <w:rsid w:val="000055DB"/>
    <w:rsid w:val="000064A8"/>
    <w:rsid w:val="00011B6E"/>
    <w:rsid w:val="00017785"/>
    <w:rsid w:val="00025A4D"/>
    <w:rsid w:val="00027B32"/>
    <w:rsid w:val="00031116"/>
    <w:rsid w:val="000338A9"/>
    <w:rsid w:val="00034E59"/>
    <w:rsid w:val="000359A6"/>
    <w:rsid w:val="00040C4C"/>
    <w:rsid w:val="00044110"/>
    <w:rsid w:val="000534FD"/>
    <w:rsid w:val="00053B94"/>
    <w:rsid w:val="000642DB"/>
    <w:rsid w:val="000757E7"/>
    <w:rsid w:val="00090964"/>
    <w:rsid w:val="00094241"/>
    <w:rsid w:val="000B2417"/>
    <w:rsid w:val="000B56BA"/>
    <w:rsid w:val="000B756B"/>
    <w:rsid w:val="000C236C"/>
    <w:rsid w:val="000C6F3D"/>
    <w:rsid w:val="000C7A88"/>
    <w:rsid w:val="000D2E8E"/>
    <w:rsid w:val="000D5E37"/>
    <w:rsid w:val="000D63A0"/>
    <w:rsid w:val="000D67E2"/>
    <w:rsid w:val="000F2AC8"/>
    <w:rsid w:val="000F6158"/>
    <w:rsid w:val="000F7FBA"/>
    <w:rsid w:val="000F7FC2"/>
    <w:rsid w:val="0010107F"/>
    <w:rsid w:val="00111D63"/>
    <w:rsid w:val="00111EC2"/>
    <w:rsid w:val="00123829"/>
    <w:rsid w:val="00126B04"/>
    <w:rsid w:val="001277AF"/>
    <w:rsid w:val="00130633"/>
    <w:rsid w:val="00131212"/>
    <w:rsid w:val="00133705"/>
    <w:rsid w:val="00151E72"/>
    <w:rsid w:val="00156DEA"/>
    <w:rsid w:val="0016656F"/>
    <w:rsid w:val="001723A7"/>
    <w:rsid w:val="001773F1"/>
    <w:rsid w:val="00177AA5"/>
    <w:rsid w:val="00180231"/>
    <w:rsid w:val="001904C6"/>
    <w:rsid w:val="001921BF"/>
    <w:rsid w:val="00192AD0"/>
    <w:rsid w:val="001A0381"/>
    <w:rsid w:val="001B0D80"/>
    <w:rsid w:val="001C2800"/>
    <w:rsid w:val="001D38F6"/>
    <w:rsid w:val="001E5FE0"/>
    <w:rsid w:val="001E673C"/>
    <w:rsid w:val="001F3EDB"/>
    <w:rsid w:val="002008EA"/>
    <w:rsid w:val="00204CE5"/>
    <w:rsid w:val="00205B69"/>
    <w:rsid w:val="002140A1"/>
    <w:rsid w:val="00224068"/>
    <w:rsid w:val="00227396"/>
    <w:rsid w:val="002332FE"/>
    <w:rsid w:val="00245ED6"/>
    <w:rsid w:val="0024784B"/>
    <w:rsid w:val="00253170"/>
    <w:rsid w:val="00253E9F"/>
    <w:rsid w:val="0025464E"/>
    <w:rsid w:val="002550C6"/>
    <w:rsid w:val="00260A0E"/>
    <w:rsid w:val="0027137B"/>
    <w:rsid w:val="00273722"/>
    <w:rsid w:val="00274ABB"/>
    <w:rsid w:val="00285120"/>
    <w:rsid w:val="00285DF8"/>
    <w:rsid w:val="002A4A51"/>
    <w:rsid w:val="002A5EB6"/>
    <w:rsid w:val="002B1707"/>
    <w:rsid w:val="002B2543"/>
    <w:rsid w:val="002B297E"/>
    <w:rsid w:val="002D0626"/>
    <w:rsid w:val="002D5228"/>
    <w:rsid w:val="002E42CB"/>
    <w:rsid w:val="002E47F2"/>
    <w:rsid w:val="002F0DD1"/>
    <w:rsid w:val="002F6F45"/>
    <w:rsid w:val="002F776F"/>
    <w:rsid w:val="00303CF8"/>
    <w:rsid w:val="00310634"/>
    <w:rsid w:val="00312F2F"/>
    <w:rsid w:val="003177AD"/>
    <w:rsid w:val="00321962"/>
    <w:rsid w:val="00324E1D"/>
    <w:rsid w:val="00326024"/>
    <w:rsid w:val="00326249"/>
    <w:rsid w:val="003349DC"/>
    <w:rsid w:val="0034287D"/>
    <w:rsid w:val="0034490A"/>
    <w:rsid w:val="003646C2"/>
    <w:rsid w:val="003742E1"/>
    <w:rsid w:val="00382441"/>
    <w:rsid w:val="003857A9"/>
    <w:rsid w:val="003979B7"/>
    <w:rsid w:val="003A01B1"/>
    <w:rsid w:val="003A2809"/>
    <w:rsid w:val="003A44B8"/>
    <w:rsid w:val="003A7C06"/>
    <w:rsid w:val="003A7D22"/>
    <w:rsid w:val="003A7FA8"/>
    <w:rsid w:val="003C21DC"/>
    <w:rsid w:val="003D2B62"/>
    <w:rsid w:val="003D5B6A"/>
    <w:rsid w:val="003D60BA"/>
    <w:rsid w:val="003E08D4"/>
    <w:rsid w:val="003E346B"/>
    <w:rsid w:val="003F61A8"/>
    <w:rsid w:val="003F7F09"/>
    <w:rsid w:val="00411AF6"/>
    <w:rsid w:val="00425E55"/>
    <w:rsid w:val="004271ED"/>
    <w:rsid w:val="00442597"/>
    <w:rsid w:val="00442CE0"/>
    <w:rsid w:val="00451BF0"/>
    <w:rsid w:val="00451D51"/>
    <w:rsid w:val="00453A72"/>
    <w:rsid w:val="0046321E"/>
    <w:rsid w:val="0046669C"/>
    <w:rsid w:val="00472835"/>
    <w:rsid w:val="004821CD"/>
    <w:rsid w:val="004837A6"/>
    <w:rsid w:val="00490CEE"/>
    <w:rsid w:val="00495225"/>
    <w:rsid w:val="004B2289"/>
    <w:rsid w:val="004B4772"/>
    <w:rsid w:val="004C1892"/>
    <w:rsid w:val="004C6C13"/>
    <w:rsid w:val="004D1EC1"/>
    <w:rsid w:val="004D26AC"/>
    <w:rsid w:val="004D542A"/>
    <w:rsid w:val="004F4C38"/>
    <w:rsid w:val="004F5A1F"/>
    <w:rsid w:val="00501241"/>
    <w:rsid w:val="005128A1"/>
    <w:rsid w:val="00520A5A"/>
    <w:rsid w:val="00523A0F"/>
    <w:rsid w:val="005260C6"/>
    <w:rsid w:val="00534955"/>
    <w:rsid w:val="00544CC5"/>
    <w:rsid w:val="00545D42"/>
    <w:rsid w:val="00554B31"/>
    <w:rsid w:val="00555522"/>
    <w:rsid w:val="00563411"/>
    <w:rsid w:val="0056487E"/>
    <w:rsid w:val="00564B24"/>
    <w:rsid w:val="00565B91"/>
    <w:rsid w:val="005715E4"/>
    <w:rsid w:val="0057241D"/>
    <w:rsid w:val="00597AEA"/>
    <w:rsid w:val="005A2069"/>
    <w:rsid w:val="005B1A32"/>
    <w:rsid w:val="005B5A42"/>
    <w:rsid w:val="005B6A7D"/>
    <w:rsid w:val="005C09B1"/>
    <w:rsid w:val="005C1113"/>
    <w:rsid w:val="005C2977"/>
    <w:rsid w:val="005C66F4"/>
    <w:rsid w:val="005C7779"/>
    <w:rsid w:val="005D3BA0"/>
    <w:rsid w:val="005D4D70"/>
    <w:rsid w:val="005E03F0"/>
    <w:rsid w:val="005E46A9"/>
    <w:rsid w:val="005E4CFE"/>
    <w:rsid w:val="005E5C91"/>
    <w:rsid w:val="005E7BF1"/>
    <w:rsid w:val="005F1C74"/>
    <w:rsid w:val="005F2955"/>
    <w:rsid w:val="005F5F1F"/>
    <w:rsid w:val="006039EC"/>
    <w:rsid w:val="00605E1E"/>
    <w:rsid w:val="00614A47"/>
    <w:rsid w:val="00626C75"/>
    <w:rsid w:val="00634E78"/>
    <w:rsid w:val="006512F8"/>
    <w:rsid w:val="00651489"/>
    <w:rsid w:val="006564B1"/>
    <w:rsid w:val="00673136"/>
    <w:rsid w:val="00673683"/>
    <w:rsid w:val="00674415"/>
    <w:rsid w:val="00684050"/>
    <w:rsid w:val="00686C46"/>
    <w:rsid w:val="0069226B"/>
    <w:rsid w:val="006A5F74"/>
    <w:rsid w:val="006B0444"/>
    <w:rsid w:val="006B47C5"/>
    <w:rsid w:val="00702779"/>
    <w:rsid w:val="00703D04"/>
    <w:rsid w:val="00705D68"/>
    <w:rsid w:val="00706567"/>
    <w:rsid w:val="007129FA"/>
    <w:rsid w:val="00715142"/>
    <w:rsid w:val="007174D9"/>
    <w:rsid w:val="00724C88"/>
    <w:rsid w:val="00742D80"/>
    <w:rsid w:val="007430C3"/>
    <w:rsid w:val="0075149A"/>
    <w:rsid w:val="00751846"/>
    <w:rsid w:val="007533FE"/>
    <w:rsid w:val="00757DFF"/>
    <w:rsid w:val="00760651"/>
    <w:rsid w:val="0076613E"/>
    <w:rsid w:val="00786C7A"/>
    <w:rsid w:val="0079010B"/>
    <w:rsid w:val="007907E2"/>
    <w:rsid w:val="007919BA"/>
    <w:rsid w:val="007971F5"/>
    <w:rsid w:val="007A2C24"/>
    <w:rsid w:val="007A495C"/>
    <w:rsid w:val="007B38B5"/>
    <w:rsid w:val="007B5A40"/>
    <w:rsid w:val="007C1C37"/>
    <w:rsid w:val="007C421A"/>
    <w:rsid w:val="007D087D"/>
    <w:rsid w:val="007D52D6"/>
    <w:rsid w:val="007D6554"/>
    <w:rsid w:val="007E2588"/>
    <w:rsid w:val="007E41E2"/>
    <w:rsid w:val="007E6310"/>
    <w:rsid w:val="007E63BF"/>
    <w:rsid w:val="007F079A"/>
    <w:rsid w:val="007F12C9"/>
    <w:rsid w:val="007F388A"/>
    <w:rsid w:val="007F433C"/>
    <w:rsid w:val="008027EF"/>
    <w:rsid w:val="00804F46"/>
    <w:rsid w:val="00815787"/>
    <w:rsid w:val="00820435"/>
    <w:rsid w:val="00824A91"/>
    <w:rsid w:val="00826DD3"/>
    <w:rsid w:val="008377B4"/>
    <w:rsid w:val="0084612F"/>
    <w:rsid w:val="0085606B"/>
    <w:rsid w:val="008676F1"/>
    <w:rsid w:val="00877EEF"/>
    <w:rsid w:val="0088562B"/>
    <w:rsid w:val="00893EF9"/>
    <w:rsid w:val="0089770F"/>
    <w:rsid w:val="00897714"/>
    <w:rsid w:val="008A14F6"/>
    <w:rsid w:val="008B1895"/>
    <w:rsid w:val="008C61FB"/>
    <w:rsid w:val="008C6821"/>
    <w:rsid w:val="008D132C"/>
    <w:rsid w:val="008D3C28"/>
    <w:rsid w:val="008E06B8"/>
    <w:rsid w:val="008F12FE"/>
    <w:rsid w:val="008F6CD0"/>
    <w:rsid w:val="00901EB6"/>
    <w:rsid w:val="00903718"/>
    <w:rsid w:val="00903806"/>
    <w:rsid w:val="009053D7"/>
    <w:rsid w:val="0091480F"/>
    <w:rsid w:val="00920F93"/>
    <w:rsid w:val="00923035"/>
    <w:rsid w:val="009465B3"/>
    <w:rsid w:val="00952FA4"/>
    <w:rsid w:val="00954A72"/>
    <w:rsid w:val="00961BFD"/>
    <w:rsid w:val="009771FE"/>
    <w:rsid w:val="00981FB4"/>
    <w:rsid w:val="0098382C"/>
    <w:rsid w:val="00986D0B"/>
    <w:rsid w:val="009878D6"/>
    <w:rsid w:val="00987C68"/>
    <w:rsid w:val="00990380"/>
    <w:rsid w:val="0099425D"/>
    <w:rsid w:val="00994D05"/>
    <w:rsid w:val="00996247"/>
    <w:rsid w:val="009A12FB"/>
    <w:rsid w:val="009A3EA3"/>
    <w:rsid w:val="009C2309"/>
    <w:rsid w:val="009C30A9"/>
    <w:rsid w:val="009C36A1"/>
    <w:rsid w:val="009D1469"/>
    <w:rsid w:val="009D179D"/>
    <w:rsid w:val="009E620A"/>
    <w:rsid w:val="009F2D3C"/>
    <w:rsid w:val="00A015C1"/>
    <w:rsid w:val="00A10507"/>
    <w:rsid w:val="00A20621"/>
    <w:rsid w:val="00A24188"/>
    <w:rsid w:val="00A24FE9"/>
    <w:rsid w:val="00A30421"/>
    <w:rsid w:val="00A405D0"/>
    <w:rsid w:val="00A4480A"/>
    <w:rsid w:val="00A5798B"/>
    <w:rsid w:val="00A6147F"/>
    <w:rsid w:val="00A73698"/>
    <w:rsid w:val="00A84A3F"/>
    <w:rsid w:val="00A85B89"/>
    <w:rsid w:val="00A87295"/>
    <w:rsid w:val="00A8755C"/>
    <w:rsid w:val="00A9165C"/>
    <w:rsid w:val="00AA3106"/>
    <w:rsid w:val="00AA755F"/>
    <w:rsid w:val="00AB1C95"/>
    <w:rsid w:val="00AB7511"/>
    <w:rsid w:val="00AC3EBD"/>
    <w:rsid w:val="00AC46A3"/>
    <w:rsid w:val="00AC4D10"/>
    <w:rsid w:val="00AC4D41"/>
    <w:rsid w:val="00AC5373"/>
    <w:rsid w:val="00AD18DD"/>
    <w:rsid w:val="00AD57CC"/>
    <w:rsid w:val="00AD6B4C"/>
    <w:rsid w:val="00AE000F"/>
    <w:rsid w:val="00AE0D2E"/>
    <w:rsid w:val="00AE145D"/>
    <w:rsid w:val="00AE2A40"/>
    <w:rsid w:val="00AE6133"/>
    <w:rsid w:val="00AF5CB0"/>
    <w:rsid w:val="00B03071"/>
    <w:rsid w:val="00B05267"/>
    <w:rsid w:val="00B064A6"/>
    <w:rsid w:val="00B103F8"/>
    <w:rsid w:val="00B111DC"/>
    <w:rsid w:val="00B172D7"/>
    <w:rsid w:val="00B21705"/>
    <w:rsid w:val="00B26557"/>
    <w:rsid w:val="00B27313"/>
    <w:rsid w:val="00B33B08"/>
    <w:rsid w:val="00B34EAD"/>
    <w:rsid w:val="00B367EF"/>
    <w:rsid w:val="00B4155B"/>
    <w:rsid w:val="00B4290D"/>
    <w:rsid w:val="00B4475A"/>
    <w:rsid w:val="00B5023C"/>
    <w:rsid w:val="00B62B28"/>
    <w:rsid w:val="00B6466F"/>
    <w:rsid w:val="00B670C3"/>
    <w:rsid w:val="00B7015B"/>
    <w:rsid w:val="00B707C8"/>
    <w:rsid w:val="00B738B0"/>
    <w:rsid w:val="00B7642F"/>
    <w:rsid w:val="00B7731A"/>
    <w:rsid w:val="00B806F9"/>
    <w:rsid w:val="00B822F8"/>
    <w:rsid w:val="00B84C1F"/>
    <w:rsid w:val="00B85B19"/>
    <w:rsid w:val="00B85C3F"/>
    <w:rsid w:val="00BA6024"/>
    <w:rsid w:val="00BB0BD6"/>
    <w:rsid w:val="00BB20A9"/>
    <w:rsid w:val="00BB46C9"/>
    <w:rsid w:val="00BB66C1"/>
    <w:rsid w:val="00BC78BC"/>
    <w:rsid w:val="00BD6E9A"/>
    <w:rsid w:val="00BD72BF"/>
    <w:rsid w:val="00BE0D4D"/>
    <w:rsid w:val="00BF0A7C"/>
    <w:rsid w:val="00BF1E0B"/>
    <w:rsid w:val="00BF6135"/>
    <w:rsid w:val="00C073BD"/>
    <w:rsid w:val="00C134E0"/>
    <w:rsid w:val="00C174AA"/>
    <w:rsid w:val="00C304BD"/>
    <w:rsid w:val="00C30820"/>
    <w:rsid w:val="00C32089"/>
    <w:rsid w:val="00C35188"/>
    <w:rsid w:val="00C3642A"/>
    <w:rsid w:val="00C424D6"/>
    <w:rsid w:val="00C60138"/>
    <w:rsid w:val="00C61E5F"/>
    <w:rsid w:val="00C6790B"/>
    <w:rsid w:val="00C70594"/>
    <w:rsid w:val="00C72158"/>
    <w:rsid w:val="00C772FE"/>
    <w:rsid w:val="00C80C84"/>
    <w:rsid w:val="00C8419A"/>
    <w:rsid w:val="00C9621D"/>
    <w:rsid w:val="00CB318F"/>
    <w:rsid w:val="00CD244B"/>
    <w:rsid w:val="00CD3214"/>
    <w:rsid w:val="00CD3E7C"/>
    <w:rsid w:val="00CF3127"/>
    <w:rsid w:val="00CF3AA1"/>
    <w:rsid w:val="00CF7C4C"/>
    <w:rsid w:val="00D070D9"/>
    <w:rsid w:val="00D1001F"/>
    <w:rsid w:val="00D16DD3"/>
    <w:rsid w:val="00D227C9"/>
    <w:rsid w:val="00D22961"/>
    <w:rsid w:val="00D25938"/>
    <w:rsid w:val="00D31793"/>
    <w:rsid w:val="00D469BD"/>
    <w:rsid w:val="00D4745C"/>
    <w:rsid w:val="00D53D62"/>
    <w:rsid w:val="00D56C0F"/>
    <w:rsid w:val="00D60683"/>
    <w:rsid w:val="00D64860"/>
    <w:rsid w:val="00D7141F"/>
    <w:rsid w:val="00D84BED"/>
    <w:rsid w:val="00D90A95"/>
    <w:rsid w:val="00D93C9E"/>
    <w:rsid w:val="00D96244"/>
    <w:rsid w:val="00D9670F"/>
    <w:rsid w:val="00DA2DEE"/>
    <w:rsid w:val="00DA6596"/>
    <w:rsid w:val="00DA6867"/>
    <w:rsid w:val="00DB0CCF"/>
    <w:rsid w:val="00DB520F"/>
    <w:rsid w:val="00DC749C"/>
    <w:rsid w:val="00DD005C"/>
    <w:rsid w:val="00DD3122"/>
    <w:rsid w:val="00DD3DF1"/>
    <w:rsid w:val="00DD6C88"/>
    <w:rsid w:val="00DE03FB"/>
    <w:rsid w:val="00DE656B"/>
    <w:rsid w:val="00DE7527"/>
    <w:rsid w:val="00DE7610"/>
    <w:rsid w:val="00DF0369"/>
    <w:rsid w:val="00DF3B8A"/>
    <w:rsid w:val="00E02024"/>
    <w:rsid w:val="00E02130"/>
    <w:rsid w:val="00E1111F"/>
    <w:rsid w:val="00E11933"/>
    <w:rsid w:val="00E158D3"/>
    <w:rsid w:val="00E159B6"/>
    <w:rsid w:val="00E16356"/>
    <w:rsid w:val="00E1753B"/>
    <w:rsid w:val="00E2278B"/>
    <w:rsid w:val="00E23CE3"/>
    <w:rsid w:val="00E36877"/>
    <w:rsid w:val="00E37227"/>
    <w:rsid w:val="00E37CE1"/>
    <w:rsid w:val="00E453DE"/>
    <w:rsid w:val="00E4724F"/>
    <w:rsid w:val="00E47B9C"/>
    <w:rsid w:val="00E7069D"/>
    <w:rsid w:val="00E77291"/>
    <w:rsid w:val="00E81171"/>
    <w:rsid w:val="00E84E9E"/>
    <w:rsid w:val="00E85C05"/>
    <w:rsid w:val="00E9498E"/>
    <w:rsid w:val="00EA29EA"/>
    <w:rsid w:val="00EA449F"/>
    <w:rsid w:val="00EA5447"/>
    <w:rsid w:val="00EA6850"/>
    <w:rsid w:val="00EA762B"/>
    <w:rsid w:val="00EA78F7"/>
    <w:rsid w:val="00EB19B3"/>
    <w:rsid w:val="00EB3300"/>
    <w:rsid w:val="00EC2577"/>
    <w:rsid w:val="00EC310D"/>
    <w:rsid w:val="00EC7C16"/>
    <w:rsid w:val="00EC7C58"/>
    <w:rsid w:val="00ED2422"/>
    <w:rsid w:val="00ED2FEE"/>
    <w:rsid w:val="00ED4A2A"/>
    <w:rsid w:val="00EE0094"/>
    <w:rsid w:val="00EE1555"/>
    <w:rsid w:val="00EE52F3"/>
    <w:rsid w:val="00EF1EB4"/>
    <w:rsid w:val="00EF1F62"/>
    <w:rsid w:val="00EF63E5"/>
    <w:rsid w:val="00F00CF2"/>
    <w:rsid w:val="00F0126D"/>
    <w:rsid w:val="00F021BB"/>
    <w:rsid w:val="00F03038"/>
    <w:rsid w:val="00F045DD"/>
    <w:rsid w:val="00F11559"/>
    <w:rsid w:val="00F14E1F"/>
    <w:rsid w:val="00F226A9"/>
    <w:rsid w:val="00F255FB"/>
    <w:rsid w:val="00F33C38"/>
    <w:rsid w:val="00F44419"/>
    <w:rsid w:val="00F44B87"/>
    <w:rsid w:val="00F46A63"/>
    <w:rsid w:val="00F510F3"/>
    <w:rsid w:val="00F51A56"/>
    <w:rsid w:val="00F555C4"/>
    <w:rsid w:val="00F607A2"/>
    <w:rsid w:val="00F63B87"/>
    <w:rsid w:val="00F662B2"/>
    <w:rsid w:val="00F76B19"/>
    <w:rsid w:val="00F8164E"/>
    <w:rsid w:val="00F8693D"/>
    <w:rsid w:val="00F87162"/>
    <w:rsid w:val="00F956FB"/>
    <w:rsid w:val="00F96406"/>
    <w:rsid w:val="00FA09D5"/>
    <w:rsid w:val="00FA6F4E"/>
    <w:rsid w:val="00FB1219"/>
    <w:rsid w:val="00FB1C14"/>
    <w:rsid w:val="00FB6973"/>
    <w:rsid w:val="00FB73B5"/>
    <w:rsid w:val="00FC023E"/>
    <w:rsid w:val="00FC57BC"/>
    <w:rsid w:val="00FD3AB4"/>
    <w:rsid w:val="00FD3D76"/>
    <w:rsid w:val="00FD565A"/>
    <w:rsid w:val="00FD5F0A"/>
    <w:rsid w:val="00FE4BC9"/>
    <w:rsid w:val="00FF2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5E15B26-1088-4CB9-B103-845179ABB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98B"/>
    <w:pPr>
      <w:keepNext/>
      <w:keepLines/>
      <w:numPr>
        <w:numId w:val="1"/>
      </w:numPr>
      <w:spacing w:before="240" w:after="240"/>
      <w:outlineLvl w:val="0"/>
    </w:pPr>
    <w:rPr>
      <w:rFonts w:asciiTheme="majorHAnsi" w:eastAsiaTheme="majorEastAsia" w:hAnsiTheme="majorHAnsi" w:cstheme="majorBidi"/>
      <w:b/>
      <w:sz w:val="24"/>
      <w:szCs w:val="24"/>
    </w:rPr>
  </w:style>
  <w:style w:type="paragraph" w:styleId="Heading2">
    <w:name w:val="heading 2"/>
    <w:basedOn w:val="Normal"/>
    <w:next w:val="Normal"/>
    <w:link w:val="Heading2Char"/>
    <w:uiPriority w:val="9"/>
    <w:unhideWhenUsed/>
    <w:qFormat/>
    <w:rsid w:val="005B6A7D"/>
    <w:pPr>
      <w:keepNext/>
      <w:keepLines/>
      <w:numPr>
        <w:ilvl w:val="1"/>
        <w:numId w:val="1"/>
      </w:numPr>
      <w:spacing w:before="240" w:after="240"/>
      <w:outlineLvl w:val="1"/>
    </w:pPr>
    <w:rPr>
      <w:rFonts w:asciiTheme="majorHAnsi" w:eastAsiaTheme="majorEastAsia" w:hAnsiTheme="majorHAnsi" w:cstheme="majorBidi"/>
      <w:i/>
      <w:sz w:val="24"/>
      <w:szCs w:val="24"/>
    </w:rPr>
  </w:style>
  <w:style w:type="paragraph" w:styleId="Heading3">
    <w:name w:val="heading 3"/>
    <w:basedOn w:val="Normal"/>
    <w:next w:val="Normal"/>
    <w:link w:val="Heading3Char"/>
    <w:uiPriority w:val="9"/>
    <w:unhideWhenUsed/>
    <w:qFormat/>
    <w:rsid w:val="00544CC5"/>
    <w:pPr>
      <w:keepNext/>
      <w:keepLines/>
      <w:numPr>
        <w:ilvl w:val="2"/>
        <w:numId w:val="1"/>
      </w:numPr>
      <w:spacing w:before="40" w:after="240"/>
      <w:outlineLvl w:val="2"/>
    </w:pPr>
    <w:rPr>
      <w:rFonts w:asciiTheme="majorHAnsi" w:eastAsiaTheme="majorEastAsia" w:hAnsiTheme="majorHAnsi" w:cstheme="majorBidi"/>
      <w:i/>
      <w:sz w:val="24"/>
      <w:szCs w:val="24"/>
    </w:rPr>
  </w:style>
  <w:style w:type="paragraph" w:styleId="Heading4">
    <w:name w:val="heading 4"/>
    <w:basedOn w:val="Normal"/>
    <w:next w:val="Normal"/>
    <w:link w:val="Heading4Char"/>
    <w:uiPriority w:val="9"/>
    <w:semiHidden/>
    <w:unhideWhenUsed/>
    <w:qFormat/>
    <w:rsid w:val="00A5798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5798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5798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5798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5798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5798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0C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0CEE"/>
  </w:style>
  <w:style w:type="paragraph" w:styleId="Footer">
    <w:name w:val="footer"/>
    <w:basedOn w:val="Normal"/>
    <w:link w:val="FooterChar"/>
    <w:uiPriority w:val="99"/>
    <w:unhideWhenUsed/>
    <w:rsid w:val="00490C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0CEE"/>
  </w:style>
  <w:style w:type="character" w:styleId="Hyperlink">
    <w:name w:val="Hyperlink"/>
    <w:basedOn w:val="DefaultParagraphFont"/>
    <w:uiPriority w:val="99"/>
    <w:unhideWhenUsed/>
    <w:rsid w:val="00DE7610"/>
    <w:rPr>
      <w:color w:val="0563C1" w:themeColor="hyperlink"/>
      <w:u w:val="single"/>
    </w:rPr>
  </w:style>
  <w:style w:type="paragraph" w:styleId="ListParagraph">
    <w:name w:val="List Paragraph"/>
    <w:basedOn w:val="Normal"/>
    <w:uiPriority w:val="34"/>
    <w:qFormat/>
    <w:rsid w:val="00A5798B"/>
    <w:pPr>
      <w:ind w:left="720"/>
      <w:contextualSpacing/>
    </w:pPr>
  </w:style>
  <w:style w:type="character" w:customStyle="1" w:styleId="Heading1Char">
    <w:name w:val="Heading 1 Char"/>
    <w:basedOn w:val="DefaultParagraphFont"/>
    <w:link w:val="Heading1"/>
    <w:uiPriority w:val="9"/>
    <w:rsid w:val="00A5798B"/>
    <w:rPr>
      <w:rFonts w:asciiTheme="majorHAnsi" w:eastAsiaTheme="majorEastAsia" w:hAnsiTheme="majorHAnsi" w:cstheme="majorBidi"/>
      <w:b/>
      <w:sz w:val="24"/>
      <w:szCs w:val="24"/>
    </w:rPr>
  </w:style>
  <w:style w:type="character" w:customStyle="1" w:styleId="Heading2Char">
    <w:name w:val="Heading 2 Char"/>
    <w:basedOn w:val="DefaultParagraphFont"/>
    <w:link w:val="Heading2"/>
    <w:uiPriority w:val="9"/>
    <w:rsid w:val="005B6A7D"/>
    <w:rPr>
      <w:rFonts w:asciiTheme="majorHAnsi" w:eastAsiaTheme="majorEastAsia" w:hAnsiTheme="majorHAnsi" w:cstheme="majorBidi"/>
      <w:i/>
      <w:sz w:val="24"/>
      <w:szCs w:val="24"/>
    </w:rPr>
  </w:style>
  <w:style w:type="character" w:customStyle="1" w:styleId="Heading3Char">
    <w:name w:val="Heading 3 Char"/>
    <w:basedOn w:val="DefaultParagraphFont"/>
    <w:link w:val="Heading3"/>
    <w:uiPriority w:val="9"/>
    <w:rsid w:val="00544CC5"/>
    <w:rPr>
      <w:rFonts w:asciiTheme="majorHAnsi" w:eastAsiaTheme="majorEastAsia" w:hAnsiTheme="majorHAnsi" w:cstheme="majorBidi"/>
      <w:i/>
      <w:sz w:val="24"/>
      <w:szCs w:val="24"/>
    </w:rPr>
  </w:style>
  <w:style w:type="character" w:customStyle="1" w:styleId="Heading4Char">
    <w:name w:val="Heading 4 Char"/>
    <w:basedOn w:val="DefaultParagraphFont"/>
    <w:link w:val="Heading4"/>
    <w:uiPriority w:val="9"/>
    <w:semiHidden/>
    <w:rsid w:val="00A5798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5798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5798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5798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5798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5798B"/>
    <w:rPr>
      <w:rFonts w:asciiTheme="majorHAnsi" w:eastAsiaTheme="majorEastAsia" w:hAnsiTheme="majorHAnsi" w:cstheme="majorBidi"/>
      <w:i/>
      <w:iCs/>
      <w:color w:val="272727" w:themeColor="text1" w:themeTint="D8"/>
      <w:sz w:val="21"/>
      <w:szCs w:val="21"/>
    </w:rPr>
  </w:style>
  <w:style w:type="character" w:styleId="LineNumber">
    <w:name w:val="line number"/>
    <w:basedOn w:val="DefaultParagraphFont"/>
    <w:uiPriority w:val="99"/>
    <w:semiHidden/>
    <w:unhideWhenUsed/>
    <w:rsid w:val="00A5798B"/>
  </w:style>
  <w:style w:type="table" w:styleId="TableGrid">
    <w:name w:val="Table Grid"/>
    <w:basedOn w:val="TableNormal"/>
    <w:uiPriority w:val="39"/>
    <w:rsid w:val="00B44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21962"/>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274A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4ABB"/>
    <w:rPr>
      <w:sz w:val="20"/>
      <w:szCs w:val="20"/>
    </w:rPr>
  </w:style>
  <w:style w:type="character" w:styleId="FootnoteReference">
    <w:name w:val="footnote reference"/>
    <w:basedOn w:val="DefaultParagraphFont"/>
    <w:uiPriority w:val="99"/>
    <w:semiHidden/>
    <w:unhideWhenUsed/>
    <w:rsid w:val="00274ABB"/>
    <w:rPr>
      <w:vertAlign w:val="superscript"/>
    </w:rPr>
  </w:style>
  <w:style w:type="character" w:styleId="PlaceholderText">
    <w:name w:val="Placeholder Text"/>
    <w:basedOn w:val="DefaultParagraphFont"/>
    <w:uiPriority w:val="99"/>
    <w:semiHidden/>
    <w:rsid w:val="00D93C9E"/>
    <w:rPr>
      <w:color w:val="808080"/>
    </w:rPr>
  </w:style>
  <w:style w:type="paragraph" w:styleId="NormalWeb">
    <w:name w:val="Normal (Web)"/>
    <w:basedOn w:val="Normal"/>
    <w:uiPriority w:val="99"/>
    <w:semiHidden/>
    <w:unhideWhenUsed/>
    <w:rsid w:val="00BE0D4D"/>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5316162">
      <w:bodyDiv w:val="1"/>
      <w:marLeft w:val="0"/>
      <w:marRight w:val="0"/>
      <w:marTop w:val="0"/>
      <w:marBottom w:val="0"/>
      <w:divBdr>
        <w:top w:val="none" w:sz="0" w:space="0" w:color="auto"/>
        <w:left w:val="none" w:sz="0" w:space="0" w:color="auto"/>
        <w:bottom w:val="none" w:sz="0" w:space="0" w:color="auto"/>
        <w:right w:val="none" w:sz="0" w:space="0" w:color="auto"/>
      </w:divBdr>
      <w:divsChild>
        <w:div w:id="2103606456">
          <w:marLeft w:val="0"/>
          <w:marRight w:val="0"/>
          <w:marTop w:val="0"/>
          <w:marBottom w:val="0"/>
          <w:divBdr>
            <w:top w:val="none" w:sz="0" w:space="0" w:color="auto"/>
            <w:left w:val="none" w:sz="0" w:space="0" w:color="auto"/>
            <w:bottom w:val="none" w:sz="0" w:space="0" w:color="auto"/>
            <w:right w:val="none" w:sz="0" w:space="0" w:color="auto"/>
          </w:divBdr>
        </w:div>
        <w:div w:id="1273823740">
          <w:marLeft w:val="0"/>
          <w:marRight w:val="0"/>
          <w:marTop w:val="0"/>
          <w:marBottom w:val="0"/>
          <w:divBdr>
            <w:top w:val="none" w:sz="0" w:space="0" w:color="auto"/>
            <w:left w:val="none" w:sz="0" w:space="0" w:color="auto"/>
            <w:bottom w:val="none" w:sz="0" w:space="0" w:color="auto"/>
            <w:right w:val="none" w:sz="0" w:space="0" w:color="auto"/>
          </w:divBdr>
        </w:div>
      </w:divsChild>
    </w:div>
    <w:div w:id="895165745">
      <w:bodyDiv w:val="1"/>
      <w:marLeft w:val="0"/>
      <w:marRight w:val="0"/>
      <w:marTop w:val="0"/>
      <w:marBottom w:val="0"/>
      <w:divBdr>
        <w:top w:val="none" w:sz="0" w:space="0" w:color="auto"/>
        <w:left w:val="none" w:sz="0" w:space="0" w:color="auto"/>
        <w:bottom w:val="none" w:sz="0" w:space="0" w:color="auto"/>
        <w:right w:val="none" w:sz="0" w:space="0" w:color="auto"/>
      </w:divBdr>
      <w:divsChild>
        <w:div w:id="1872768312">
          <w:marLeft w:val="0"/>
          <w:marRight w:val="0"/>
          <w:marTop w:val="0"/>
          <w:marBottom w:val="0"/>
          <w:divBdr>
            <w:top w:val="none" w:sz="0" w:space="0" w:color="auto"/>
            <w:left w:val="none" w:sz="0" w:space="0" w:color="auto"/>
            <w:bottom w:val="none" w:sz="0" w:space="0" w:color="auto"/>
            <w:right w:val="none" w:sz="0" w:space="0" w:color="auto"/>
          </w:divBdr>
        </w:div>
        <w:div w:id="1618871398">
          <w:marLeft w:val="0"/>
          <w:marRight w:val="0"/>
          <w:marTop w:val="0"/>
          <w:marBottom w:val="0"/>
          <w:divBdr>
            <w:top w:val="none" w:sz="0" w:space="0" w:color="auto"/>
            <w:left w:val="none" w:sz="0" w:space="0" w:color="auto"/>
            <w:bottom w:val="none" w:sz="0" w:space="0" w:color="auto"/>
            <w:right w:val="none" w:sz="0" w:space="0" w:color="auto"/>
          </w:divBdr>
        </w:div>
      </w:divsChild>
    </w:div>
    <w:div w:id="1474828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grajski@nurosci.com" TargetMode="External"/><Relationship Id="rId13" Type="http://schemas.openxmlformats.org/officeDocument/2006/relationships/image" Target="media/image1.ti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dni.loni.usc.edu/wp-content/uploads/2008/07/adni2-procedures-manual.pdf"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dni.loni.usc.edu/wp-content/uploads/2012/10/ADNI2MRITrainingManual_2014.pdf"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adni.loni.usc.edu/methods/document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kgrajski@nurosci.com" TargetMode="External"/><Relationship Id="rId14" Type="http://schemas.openxmlformats.org/officeDocument/2006/relationships/hyperlink" Target="http://www.fnih.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52B14-D96B-46EB-BE4A-5F782D1E4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3244</TotalTime>
  <Pages>19</Pages>
  <Words>7537</Words>
  <Characters>42961</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Grajski</dc:creator>
  <cp:keywords/>
  <dc:description/>
  <cp:lastModifiedBy>Kamil Grajski</cp:lastModifiedBy>
  <cp:revision>65</cp:revision>
  <dcterms:created xsi:type="dcterms:W3CDTF">2017-01-09T17:38:00Z</dcterms:created>
  <dcterms:modified xsi:type="dcterms:W3CDTF">2017-01-24T03:40:00Z</dcterms:modified>
</cp:coreProperties>
</file>