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2666B"/>
          <w:sz w:val="16"/>
          <w:szCs w:val="16"/>
        </w:rPr>
        <w:t xml:space="preserve">Illustrative example</w:t>
      </w:r>
    </w:p>
    <w:p>
      <w:pPr>
        <w:pStyle w:val="Title"/>
        <w:spacing w:after="180"/>
      </w:pPr>
      <w:r>
        <w:t xml:space="preserve">Close the delivery gap in two stages</w:t>
      </w:r>
    </w:p>
    <w:p>
      <w:pPr>
        <w:spacing w:after="120"/>
      </w:pPr>
      <w:r>
        <w:t xml:space="preserve">Decision brief for the operating committee</w:t>
      </w:r>
    </w:p>
    <w:p>
      <w:pPr>
        <w:pBdr>
          <w:bottom w:val="single" w:color="C7CBCF" w:sz="4"/>
        </w:pBdr>
        <w:spacing w:after="240"/>
      </w:pPr>
      <w:r>
        <w:rPr>
          <w:color w:val="62666B"/>
          <w:sz w:val="16"/>
          <w:szCs w:val="16"/>
        </w:rPr>
        <w:t xml:space="preserve">Strategy Office · September 2026</w:t>
      </w:r>
    </w:p>
    <w:p>
      <w:pPr>
        <w:pStyle w:val="Heading1"/>
        <w:keepNext/>
        <w:spacing w:after="120" w:before="240"/>
      </w:pPr>
      <w:r>
        <w:t xml:space="preserve">Recommendation</w:t>
      </w:r>
    </w:p>
    <w:p>
      <w:pPr>
        <w:widowControl/>
        <w:spacing w:after="120" w:line="280"/>
      </w:pPr>
      <w:r>
        <w:t xml:space="preserve">Approve four additional monthly delivery slots in two stages. Confirm staffing for the first two, then review quality and unit economics before releasing the next two.</w:t>
      </w:r>
    </w:p>
    <w:p>
      <w:pPr>
        <w:pStyle w:val="Heading1"/>
        <w:keepNext/>
        <w:spacing w:after="120" w:before="240"/>
      </w:pPr>
      <w:r>
        <w:t xml:space="preserve">Evidence and assumptions</w:t>
      </w:r>
    </w:p>
    <w:p>
      <w:pPr>
        <w:widowControl/>
        <w:spacing w:after="120" w:line="280"/>
      </w:pPr>
      <w:r>
        <w:t xml:space="preserve">The illustrative plan has ten committed projects and six available slots in the same month. The four-project gap is a capacity shortfall, not a revenue forecast. The model assumes comparable effort per project. If complexity differs, use effort-weighted capacity; if staffing is delayed, revisit customer start dates.</w:t>
      </w:r>
    </w:p>
    <w:p>
      <w:pPr>
        <w:keepNext/>
        <w:spacing w:after="80" w:before="200"/>
      </w:pPr>
      <w:r>
        <w:rPr>
          <w:b/>
          <w:bCs/>
          <w:sz w:val="22"/>
          <w:szCs w:val="22"/>
        </w:rPr>
        <w:t xml:space="preserve">Exhibit 1. Capacity expansion should follow two operating gates</w:t>
      </w:r>
    </w:p>
    <w:p>
      <w:pPr>
        <w:keepNext/>
        <w:spacing w:after="60"/>
      </w:pPr>
      <w:r>
        <w:rPr>
          <w:color w:val="62666B"/>
          <w:sz w:val="17"/>
          <w:szCs w:val="17"/>
        </w:rPr>
        <w:t xml:space="preserve">Monthly projects · Illustrative planning case · September 2026</w:t>
      </w:r>
    </w:p>
    <w:p>
      <w:pPr>
        <w:keepNext/>
      </w:pPr>
      <w:r>
        <w:drawing>
          <wp:inline distT="0" distB="0" distL="0" distR="0">
            <wp:extent cx="6115050" cy="2201418"/>
            <wp:effectExtent t="0" r="0" b="0" l="0"/>
            <wp:docPr id="1" name="Exhibit 1" descr="Monthly projects · Illustrative planning case · September 2026" title="Capacity expansion should follow two operating g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20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color w:val="62666B"/>
          <w:sz w:val="15"/>
          <w:szCs w:val="15"/>
        </w:rPr>
        <w:t xml:space="preserve">Capacity and commitments use the same monthly period; no conversion from revenue is assumed.</w:t>
      </w:r>
    </w:p>
    <w:p>
      <w:pPr>
        <w:spacing w:after="60"/>
      </w:pPr>
      <w:r>
        <w:rPr>
          <w:color w:val="62666B"/>
          <w:sz w:val="15"/>
          <w:szCs w:val="15"/>
        </w:rPr>
        <w:t xml:space="preserve">Source: illustrative operating model; replace with approved planning data.</w:t>
      </w:r>
    </w:p>
    <w:p>
      <w:pPr>
        <w:keepNext/>
        <w:spacing w:after="60" w:before="120"/>
      </w:pPr>
      <w:r>
        <w:rPr>
          <w:b/>
          <w:bCs/>
          <w:sz w:val="20"/>
          <w:szCs w:val="20"/>
        </w:rPr>
        <w:t xml:space="preserve">Stage the capacity increase</w:t>
      </w:r>
    </w:p>
    <w:p>
      <w:r>
        <w:t xml:space="preserve">Start with two additional delivery slots.</w:t>
      </w:r>
    </w:p>
    <w:p>
      <w:r>
        <w:t xml:space="preserve">Release the next two after quality and cycle-time checks.</w:t>
      </w:r>
    </w:p>
    <w:p>
      <w:pPr>
        <w:pStyle w:val="Heading1"/>
        <w:keepNext/>
        <w:spacing w:after="120" w:before="240"/>
      </w:pPr>
      <w:r>
        <w:t xml:space="preserve">Decision and accountability</w:t>
      </w:r>
    </w:p>
    <w:tbl>
      <w:tblPr>
        <w:tblW w:type="dxa" w:w="9638"/>
        <w:tblBorders>
          <w:top w:val="single" w:color="C7CBCF" w:sz="4"/>
          <w:left w:val="none" w:color="FFFFFF" w:sz="0"/>
          <w:bottom w:val="single" w:color="C7CBCF" w:sz="4"/>
          <w:right w:val="none" w:color="FFFFFF" w:sz="0"/>
          <w:insideH w:val="single" w:color="C7CBCF" w:sz="4"/>
          <w:insideV w:val="none" w:color="FFFFFF" w:sz="0"/>
        </w:tblBorders>
      </w:tblPr>
      <w:tblGrid>
        <w:gridCol w:w="3214"/>
        <w:gridCol w:w="3212"/>
        <w:gridCol w:w="3212"/>
      </w:tblGrid>
      <w:tr>
        <w:trPr>
          <w:cantSplit/>
          <w:tblHeader/>
        </w:trPr>
        <w:tc>
          <w:tcPr>
            <w:tcW w:type="dxa" w:w="3214"/>
            <w:tcBorders>
              <w:top w:val="none" w:color="FFFFFF" w:sz="0"/>
              <w:left w:val="none" w:color="FFFFFF" w:sz="0"/>
              <w:bottom w:val="single" w:color="C7CBCF" w:sz="4"/>
              <w:right w:val="none" w:color="FFFFFF" w:sz="0"/>
            </w:tcBorders>
            <w:shd w:fill="FFFFFF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02124"/>
                <w:sz w:val="18"/>
                <w:szCs w:val="18"/>
              </w:rPr>
              <w:t xml:space="preserve">Gate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C7CBCF" w:sz="4"/>
              <w:right w:val="none" w:color="FFFFFF" w:sz="0"/>
            </w:tcBorders>
            <w:shd w:fill="FFFFFF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02124"/>
                <w:sz w:val="18"/>
                <w:szCs w:val="18"/>
              </w:rPr>
              <w:t xml:space="preserve">Owner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C7CBCF" w:sz="4"/>
              <w:right w:val="none" w:color="FFFFFF" w:sz="0"/>
            </w:tcBorders>
            <w:shd w:fill="FFFFFF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02124"/>
                <w:sz w:val="18"/>
                <w:szCs w:val="18"/>
              </w:rPr>
              <w:t xml:space="preserve">Evidence required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Borders>
              <w:top w:val="none" w:color="FFFFFF" w:sz="0"/>
              <w:left w:val="none" w:color="FFFFFF" w:sz="0"/>
              <w:bottom w:val="single" w:color="C7CBCF" w:sz="4"/>
              <w:right w:val="none" w:color="FFFFFF" w:sz="0"/>
            </w:tcBorders>
            <w:shd w:fill="FFFFFF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62666B"/>
                <w:sz w:val="18"/>
                <w:szCs w:val="18"/>
              </w:rPr>
              <w:t xml:space="preserve">Add two slots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C7CBCF" w:sz="4"/>
              <w:right w:val="none" w:color="FFFFFF" w:sz="0"/>
            </w:tcBorders>
            <w:shd w:fill="FFFFFF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62666B"/>
                <w:sz w:val="18"/>
                <w:szCs w:val="18"/>
              </w:rPr>
              <w:t xml:space="preserve">Operations lead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C7CBCF" w:sz="4"/>
              <w:right w:val="none" w:color="FFFFFF" w:sz="0"/>
            </w:tcBorders>
            <w:shd w:fill="FFFFFF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62666B"/>
                <w:sz w:val="18"/>
                <w:szCs w:val="18"/>
              </w:rPr>
              <w:t xml:space="preserve">Confirm staffed capacity and project mix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Borders>
              <w:top w:val="none" w:color="FFFFFF" w:sz="0"/>
              <w:left w:val="none" w:color="FFFFFF" w:sz="0"/>
              <w:bottom w:val="single" w:color="C7CBCF" w:sz="4"/>
              <w:right w:val="none" w:color="FFFFFF" w:sz="0"/>
            </w:tcBorders>
            <w:shd w:fill="FFFFFF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62666B"/>
                <w:sz w:val="18"/>
                <w:szCs w:val="18"/>
              </w:rPr>
              <w:t xml:space="preserve">Release the next two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C7CBCF" w:sz="4"/>
              <w:right w:val="none" w:color="FFFFFF" w:sz="0"/>
            </w:tcBorders>
            <w:shd w:fill="FFFFFF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62666B"/>
                <w:sz w:val="18"/>
                <w:szCs w:val="18"/>
              </w:rPr>
              <w:t xml:space="preserve">Operating committee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C7CBCF" w:sz="4"/>
              <w:right w:val="none" w:color="FFFFFF" w:sz="0"/>
            </w:tcBorders>
            <w:shd w:fill="FFFFFF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62666B"/>
                <w:sz w:val="18"/>
                <w:szCs w:val="18"/>
              </w:rPr>
              <w:t xml:space="preserve">Review cycle time, quality, and unit economics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Borders>
              <w:top w:val="none" w:color="FFFFFF" w:sz="0"/>
              <w:left w:val="none" w:color="FFFFFF" w:sz="0"/>
              <w:bottom w:val="single" w:color="C7CBCF" w:sz="4"/>
              <w:right w:val="none" w:color="FFFFFF" w:sz="0"/>
            </w:tcBorders>
            <w:shd w:fill="FFFFFF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62666B"/>
                <w:sz w:val="18"/>
                <w:szCs w:val="18"/>
              </w:rPr>
              <w:t xml:space="preserve">Revisit demand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C7CBCF" w:sz="4"/>
              <w:right w:val="none" w:color="FFFFFF" w:sz="0"/>
            </w:tcBorders>
            <w:shd w:fill="FFFFFF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62666B"/>
                <w:sz w:val="18"/>
                <w:szCs w:val="18"/>
              </w:rPr>
              <w:t xml:space="preserve">Commercial lead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C7CBCF" w:sz="4"/>
              <w:right w:val="none" w:color="FFFFFF" w:sz="0"/>
            </w:tcBorders>
            <w:shd w:fill="FFFFFF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62666B"/>
                <w:sz w:val="18"/>
                <w:szCs w:val="18"/>
              </w:rPr>
              <w:t xml:space="preserve">Reconcile signed commitments and start dates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2666B"/>
        <w:sz w:val="15"/>
        <w:szCs w:val="15"/>
      </w:rPr>
      <w:t xml:space="preserve">Page </w:t>
    </w:r>
    <w:r>
      <w:rPr>
        <w:color w:val="6266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CBCF" w:sz="4"/>
      </w:pBdr>
    </w:pPr>
    <w:r>
      <w:rPr>
        <w:color w:val="62666B"/>
        <w:sz w:val="15"/>
        <w:szCs w:val="15"/>
      </w:rPr>
      <w:t xml:space="preserve">Close the delivery gap in two stages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124"/>
        <w:sz w:val="20"/>
        <w:szCs w:val="20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202124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cs="Arial" w:eastAsia="Arial" w:hAnsi="Arial"/>
      <w:b/>
      <w:bCs/>
      <w:color w:val="20212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1fadf498dbcf354628ed7dabe635024e8d68482.svg"/><Relationship Id="rId10" Type="http://schemas.openxmlformats.org/officeDocument/2006/relationships/image" Target="media/eb63606c95d0d523fe46ed539aad68ec67b07c8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Close the delivery gap in two stages</dc:title>
  <dc:creator>Strategy Office</dc:creator>
  <dc:description>Editable briefing with source-linked exhibits</dc:description>
  <cp:lastModifiedBy>Un-named</cp:lastModifiedBy>
  <cp:revision>1</cp:revision>
  <dcterms:created xsi:type="dcterms:W3CDTF">2026-09-08T11:29:26.009Z</dcterms:created>
  <dcterms:modified xsi:type="dcterms:W3CDTF">2026-09-08T11:29:26.013Z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