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400" w:after="360"/>
      </w:pPr>
      <w:r>
        <w:rPr>
          <w:rFonts w:ascii="Aptos Display" w:hAnsi="Aptos Display"/>
          <w:b/>
          <w:i w:val="0"/>
          <w:color w:val="174F78"/>
          <w:sz w:val="24"/>
        </w:rPr>
        <w:t>COMPUTABLE KNOWLEDGE</w:t>
        <w:br/>
        <w:t>SPECIFICATION</w:t>
      </w:r>
    </w:p>
    <w:p>
      <w:pPr>
        <w:spacing w:after="160"/>
      </w:pPr>
      <w:r>
        <w:rPr>
          <w:rFonts w:ascii="Aptos Display" w:hAnsi="Aptos Display"/>
          <w:b/>
          <w:i w:val="0"/>
          <w:color w:val="1F1F1F"/>
          <w:sz w:val="48"/>
        </w:rPr>
        <w:t>DFU HBOT Bounded Regimen and</w:t>
        <w:br/>
        <w:t>Execution Burden</w:t>
      </w:r>
    </w:p>
    <w:p>
      <w:pPr>
        <w:spacing w:after="300"/>
      </w:pPr>
      <w:r>
        <w:rPr>
          <w:rFonts w:ascii="Aptos" w:hAnsi="Aptos"/>
          <w:b w:val="0"/>
          <w:i w:val="0"/>
          <w:color w:val="5A6770"/>
          <w:sz w:val="21"/>
        </w:rPr>
        <w:t>Interactive burden questionnaire, general DFU regimen knowledge, objective-burden calculations, reported weekday-attendance feasibility, five-level execution-burden logic, output contracts, and conformance tests</w:t>
      </w:r>
    </w:p>
    <w:tbl>
      <w:tblPr>
        <w:tblW w:type="dxa" w:w="9360"/>
        <w:tblLayout w:type="fixed"/>
        <w:tblLook w:firstColumn="1" w:firstRow="1" w:lastColumn="0" w:lastRow="0" w:noHBand="0" w:noVBand="1" w:val="04A0"/>
        <w:tblInd w:w="120" w:type="dxa"/>
      </w:tblPr>
      <w:tblGrid>
        <w:gridCol w:w="2600"/>
        <w:gridCol w:w="6760"/>
      </w:tblGrid>
      <w:tr>
        <w:trPr>
          <w:cantSplit w:val="true"/>
          <w:tblHeader w:val="true"/>
        </w:trPr>
        <w:tc>
          <w:tcPr>
            <w:tcW w:type="dxa" w:w="26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DOCUMENT STATUS</w:t>
            </w:r>
          </w:p>
        </w:tc>
        <w:tc>
          <w:tcPr>
            <w:tcW w:type="dxa" w:w="67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FINAL VERSION 1.0</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Compact specification identifier</w:t>
            </w:r>
          </w:p>
        </w:tc>
        <w:tc>
          <w:tcPr>
            <w:tcW w:type="dxa" w:w="6760"/>
            <w:tcMar>
              <w:top w:w="100" w:type="dxa"/>
              <w:start w:w="120" w:type="dxa"/>
              <w:bottom w:w="100" w:type="dxa"/>
              <w:end w:w="120" w:type="dxa"/>
            </w:tcMar>
            <w:vAlign w:val="center"/>
          </w:tcPr>
          <w:p>
            <w:pPr>
              <w:spacing w:after="0" w:line="240" w:lineRule="auto"/>
            </w:pPr>
            <w:r>
              <w:rPr>
                <w:rFonts w:ascii="Aptos" w:hAnsi="Aptos"/>
                <w:b w:val="0"/>
                <w:i w:val="0"/>
                <w:color w:val="000000"/>
                <w:sz w:val="13"/>
              </w:rPr>
              <w:t>CKS-1.0</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Canonical version IRI</w:t>
            </w:r>
          </w:p>
        </w:tc>
        <w:tc>
          <w:tcPr>
            <w:tcW w:type="dxa" w:w="6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https://kgrid.org/cks/dfu-hbot-burden/versions/cks-1.0</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Specification-family IRI</w:t>
            </w:r>
          </w:p>
        </w:tc>
        <w:tc>
          <w:tcPr>
            <w:tcW w:type="dxa" w:w="67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Latest-version alias (noncanonical)</w:t>
            </w:r>
          </w:p>
        </w:tc>
        <w:tc>
          <w:tcPr>
            <w:tcW w:type="dxa" w:w="6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https://kgrid.org/cks/dfu-hbot-burden/latest</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Version / status</w:t>
            </w:r>
          </w:p>
        </w:tc>
        <w:tc>
          <w:tcPr>
            <w:tcW w:type="dxa" w:w="6760"/>
            <w:tcMar>
              <w:top w:w="100" w:type="dxa"/>
              <w:start w:w="120" w:type="dxa"/>
              <w:bottom w:w="100" w:type="dxa"/>
              <w:end w:w="120" w:type="dxa"/>
            </w:tcMar>
            <w:vAlign w:val="center"/>
          </w:tcPr>
          <w:p>
            <w:pPr>
              <w:spacing w:after="0" w:line="240" w:lineRule="auto"/>
            </w:pPr>
            <w:r>
              <w:rPr>
                <w:rFonts w:ascii="Aptos" w:hAnsi="Aptos"/>
                <w:b w:val="0"/>
                <w:i w:val="0"/>
                <w:color w:val="000000"/>
                <w:sz w:val="13"/>
              </w:rPr>
              <w:t>1.0 / Final specification</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Normative version status</w:t>
            </w:r>
          </w:p>
        </w:tc>
        <w:tc>
          <w:tcPr>
            <w:tcW w:type="dxa" w:w="6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final</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Immediate predecessor IRI</w:t>
            </w:r>
          </w:p>
        </w:tc>
        <w:tc>
          <w:tcPr>
            <w:tcW w:type="dxa" w:w="67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https://kgrid.org/cks/dfu-hbot-burden/versions/cks-0.53</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Superseding version IRI</w:t>
            </w:r>
          </w:p>
        </w:tc>
        <w:tc>
          <w:tcPr>
            <w:tcW w:type="dxa" w:w="6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Not applicable</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Version 1.0 finalization date</w:t>
            </w:r>
          </w:p>
        </w:tc>
        <w:tc>
          <w:tcPr>
            <w:tcW w:type="dxa" w:w="6760"/>
            <w:tcMar>
              <w:top w:w="100" w:type="dxa"/>
              <w:start w:w="120" w:type="dxa"/>
              <w:bottom w:w="100" w:type="dxa"/>
              <w:end w:w="120" w:type="dxa"/>
            </w:tcMar>
            <w:vAlign w:val="center"/>
          </w:tcPr>
          <w:p>
            <w:pPr>
              <w:spacing w:after="0" w:line="240" w:lineRule="auto"/>
            </w:pPr>
            <w:r>
              <w:rPr>
                <w:rFonts w:ascii="Aptos" w:hAnsi="Aptos"/>
                <w:b w:val="0"/>
                <w:i w:val="0"/>
                <w:color w:val="000000"/>
                <w:sz w:val="13"/>
              </w:rPr>
              <w:t>2026-08-06</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Steward</w:t>
            </w:r>
          </w:p>
        </w:tc>
        <w:tc>
          <w:tcPr>
            <w:tcW w:type="dxa" w:w="6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Not assigned</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Release status</w:t>
            </w:r>
          </w:p>
        </w:tc>
        <w:tc>
          <w:tcPr>
            <w:tcW w:type="dxa" w:w="6760"/>
            <w:tcMar>
              <w:top w:w="100" w:type="dxa"/>
              <w:start w:w="120" w:type="dxa"/>
              <w:bottom w:w="100" w:type="dxa"/>
              <w:end w:w="120" w:type="dxa"/>
            </w:tcMar>
            <w:vAlign w:val="center"/>
          </w:tcPr>
          <w:p>
            <w:pPr>
              <w:spacing w:after="0" w:line="240" w:lineRule="auto"/>
            </w:pPr>
            <w:r>
              <w:rPr>
                <w:rFonts w:ascii="Aptos" w:hAnsi="Aptos"/>
                <w:b w:val="0"/>
                <w:i w:val="0"/>
                <w:color w:val="000000"/>
                <w:sz w:val="13"/>
              </w:rPr>
              <w:t>Version 1.0 finalized; no external organizational approval asserted</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Capability type</w:t>
            </w:r>
          </w:p>
        </w:tc>
        <w:tc>
          <w:tcPr>
            <w:tcW w:type="dxa" w:w="6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Regimen Range capability, interactive Burden Questionnaire Logic, and deterministic Burden Response Analysis</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Clinical domain</w:t>
            </w:r>
          </w:p>
        </w:tc>
        <w:tc>
          <w:tcPr>
            <w:tcW w:type="dxa" w:w="6760"/>
            <w:tcMar>
              <w:top w:w="100" w:type="dxa"/>
              <w:start w:w="120" w:type="dxa"/>
              <w:bottom w:w="100" w:type="dxa"/>
              <w:end w:w="120" w:type="dxa"/>
            </w:tcMar>
            <w:vAlign w:val="center"/>
          </w:tcPr>
          <w:p>
            <w:pPr>
              <w:spacing w:after="0" w:line="240" w:lineRule="auto"/>
            </w:pPr>
            <w:r>
              <w:rPr>
                <w:rFonts w:ascii="Aptos" w:hAnsi="Aptos"/>
                <w:b w:val="0"/>
                <w:i w:val="0"/>
                <w:color w:val="000000"/>
                <w:sz w:val="13"/>
              </w:rPr>
              <w:t>Diabetes-related foot ulcers; hyperbaric oxygen therapy</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Primary outputs</w:t>
            </w:r>
          </w:p>
        </w:tc>
        <w:tc>
          <w:tcPr>
            <w:tcW w:type="dxa" w:w="6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Fixed Regimen Range Response; Completed Burden Questionnaire Response; scenario-specific and overall objective burden; reported weekday-attendance feasibility; five-level execution burden</w:t>
            </w:r>
          </w:p>
        </w:tc>
      </w:tr>
    </w:tbl>
    <w:p>
      <w:pPr>
        <w:spacing w:after="20"/>
      </w:pPr>
    </w:p>
    <w:p>
      <w:r>
        <w:rPr>
          <w:rFonts w:ascii="Aptos" w:hAnsi="Aptos"/>
          <w:b w:val="0"/>
          <w:i w:val="0"/>
          <w:sz w:val="18"/>
        </w:rPr>
        <w:t>Version identity. The HTTPS IRIs in this Version 1.0 package follow the KGrid CKS family/version pattern and are the normative identity values for this finalized specification and its companion artifacts. They remain unregistered IRIs: their appearance does not assert that the resources resolve on kgrid.org or that KGrid published or endorsed this CKS. Registration and resolution remain publication-governance tasks.</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VERSION 1.0 FINAL STATUS  </w:t>
            </w:r>
            <w:r>
              <w:rPr>
                <w:rFonts w:ascii="Aptos" w:hAnsi="Aptos"/>
                <w:b w:val="0"/>
                <w:i w:val="0"/>
                <w:sz w:val="18"/>
              </w:rPr>
              <w:t>This specification package is finalized as Version 1.0. Finalization freezes the governed content under the Version 1.0 identifiers; it does not assert external organizational approval, clinical validation, registration, publication, or authorization for clinical decision-making. No organization is identified as steward.</w:t>
            </w:r>
          </w:p>
        </w:tc>
      </w:tr>
    </w:tbl>
    <w:p>
      <w:pPr>
        <w:spacing w:after="20"/>
      </w:pPr>
    </w:p>
    <w:p>
      <w:r>
        <w:rPr>
          <w:rFonts w:ascii="Aptos" w:hAnsi="Aptos"/>
          <w:b/>
          <w:i w:val="0"/>
          <w:color w:val="174F78"/>
          <w:sz w:val="16"/>
        </w:rPr>
        <w:t>INTENDED DOWNSTREAM USE</w:t>
      </w:r>
    </w:p>
    <w:p>
      <w:r>
        <w:rPr>
          <w:rFonts w:ascii="Aptos" w:hAnsi="Aptos"/>
          <w:b w:val="0"/>
          <w:i w:val="0"/>
          <w:sz w:val="18"/>
        </w:rPr>
        <w:t>This DFU-specific CKS supports structured patient-clinician discussion, implementation prototyping, burden estimation, access-barrier identification, traceability analysis, and conformance testing for a contemplated course of adjunctive HBOT for one diabetes-related foot ulcer. It estimates regimen execution burden; it does not confirm DFU status, determine clinical eligibility, prescribe an individualized HBOT protocol, predict benefit, or authorize payment.</w:t>
      </w:r>
    </w:p>
    <w:p>
      <w:r>
        <w:br w:type="page"/>
      </w:r>
    </w:p>
    <w:p>
      <w:pPr>
        <w:pStyle w:val="Heading1"/>
      </w:pPr>
      <w:r>
        <w:t>Provenance and Disclaimer</w:t>
      </w:r>
    </w:p>
    <w:p>
      <w:pPr>
        <w:pStyle w:val="Heading2"/>
      </w:pPr>
      <w:r>
        <w:t>Provenance</w:t>
      </w:r>
    </w:p>
    <w:p>
      <w:r>
        <w:rPr>
          <w:rFonts w:ascii="Aptos" w:hAnsi="Aptos"/>
          <w:b w:val="0"/>
          <w:i w:val="0"/>
          <w:sz w:val="18"/>
        </w:rPr>
        <w:t>This specification was created from the work handoff “Minimal-Input Bounded HBOT Regimen and Burden CKS” and uses the visual and specification grammar of the UHMS Figure 6 DFU/HBO₂ Algorithm CKS Version 1.0. The latter controls formatting and rigor only; its clinical decision logic is not reused.</w:t>
      </w:r>
    </w:p>
    <w:p>
      <w:r>
        <w:rPr>
          <w:rFonts w:ascii="Aptos" w:hAnsi="Aptos"/>
          <w:b w:val="0"/>
          <w:i w:val="0"/>
          <w:sz w:val="18"/>
        </w:rPr>
        <w:t>The separation of Burden Questionnaire Logic from Burden Response Analysis, including explicit interaction states, confirmation, abandonment, and a registered completed response, is structurally informed by the Meggitt–Wagner Questionnaire CKS Version 1.0 (Reference 12). No Wagner clinical propositions, classification rules, response arrays, or lesion-scoring logic are reused.</w:t>
      </w:r>
    </w:p>
    <w:p>
      <w:r>
        <w:rPr>
          <w:rFonts w:ascii="Aptos" w:hAnsi="Aptos"/>
          <w:b w:val="0"/>
          <w:i w:val="0"/>
          <w:sz w:val="18"/>
        </w:rPr>
        <w:t>The general regimen knowledge uses a four-part evidence stack. The 2015 UHMS DFU clinical practice guideline is the principal clinical authority for population and treatment-selection context but is not treated as establishing one definitive episode count. Numeric schedule bounds are derived transparently from controlled-trial protocols: Fedorko et al. used 30 daily 90-minute sessions at 244 kPa (approximately 2.4 ATA), while HODFU planned 40 treatments, five days per week for eight weeks, with 85 minutes at treatment pressure and 2.5 ATA. IWGDF 2023 supplies contemporary indication and feasibility context. CMS NCD 20.29 supplies United States reassessment and coverage-continuation policy, not dose. The burden model fixes a single three-hour scheduled facility block per episode as a conservative, realistic worst-case planning assumption informed by institutional patient guidance; it is not a validated DFU-specific door-to-door time estimate.</w:t>
      </w:r>
    </w:p>
    <w:p>
      <w:pPr>
        <w:pStyle w:val="Heading2"/>
      </w:pPr>
      <w:r>
        <w:t>Disclaimer</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DFU-SPECIFIC PLANNING BOUNDARY  </w:t>
            </w:r>
            <w:r>
              <w:rPr>
                <w:rFonts w:ascii="Aptos" w:hAnsi="Aptos"/>
                <w:b w:val="0"/>
                <w:i w:val="0"/>
                <w:sz w:val="18"/>
              </w:rPr>
              <w:t>The function applies only to a contemplated course of adjunctive HBOT for a confirmed diabetes-related foot ulcer. It SHALL NOT determine whether the ulcer is a DFU or whether HBOT is clinically indicated. A caller SHALL invoke it only after a separate clinical process has established that DFU-specific burden estimation is appropriate and the realization has been configured with one valid general DFU regimen knowledge package before patient invocation.</w:t>
            </w:r>
          </w:p>
        </w:tc>
      </w:tr>
    </w:tbl>
    <w:p>
      <w:pPr>
        <w:spacing w:after="20"/>
      </w:pP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UNITED STATES POPULATION AND FACILITY BOUNDARY  </w:t>
            </w:r>
            <w:r>
              <w:rPr>
                <w:rFonts w:ascii="Aptos" w:hAnsi="Aptos"/>
                <w:b w:val="0"/>
                <w:i w:val="0"/>
                <w:sz w:val="18"/>
              </w:rPr>
              <w:t>This CKS is specified only for a United States population and for selection of HBOT locations physically situated in the 50 states or District of Columbia. It SHALL NOT be used for a patient whose relevant care context is outside the United States, and its provider roster SHALL exclude facilities in other countries or territories. Its CMS coverage language, roster scope, travel assumptions, and planning outputs have not been specified or validated for another jurisdiction.</w:t>
            </w:r>
          </w:p>
        </w:tc>
      </w:tr>
    </w:tbl>
    <w:p>
      <w:pPr>
        <w:spacing w:after="20"/>
      </w:pP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NO INDIVIDUALIZED PRESCRIPTION  </w:t>
            </w:r>
            <w:r>
              <w:rPr>
                <w:rFonts w:ascii="Aptos" w:hAnsi="Aptos"/>
                <w:b w:val="0"/>
                <w:i w:val="0"/>
                <w:sz w:val="18"/>
              </w:rPr>
              <w:t>Regimen bounds are planning inputs. They SHALL NOT be displayed as a prescription, stopping rule, utilization authorization, coverage guarantee, or expected clinical outcome.</w:t>
            </w:r>
          </w:p>
        </w:tc>
      </w:tr>
    </w:tbl>
    <w:p>
      <w:pPr>
        <w:spacing w:after="20"/>
      </w:pP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SIMPLE TRAVEL-INPUT BOUNDARY  </w:t>
            </w:r>
            <w:r>
              <w:rPr>
                <w:rFonts w:ascii="Aptos" w:hAnsi="Aptos"/>
                <w:b w:val="0"/>
                <w:i w:val="0"/>
                <w:sz w:val="18"/>
              </w:rPr>
              <w:t>This CKS does not geocode, select a nearest facility, call a maps service, or calculate a route. The patient or assisting user supplies usual one-way miles and usual one-way travel minutes to the selected hyperbaric oxygen therapy location. Those reported values are planning estimates and are not independently verified by the engine.</w:t>
            </w:r>
          </w:p>
        </w:tc>
      </w:tr>
    </w:tbl>
    <w:p>
      <w:pPr>
        <w:spacing w:after="20"/>
      </w:pPr>
    </w:p>
    <w:p>
      <w:r>
        <w:br w:type="page"/>
      </w:r>
    </w:p>
    <w:p>
      <w:pPr>
        <w:pStyle w:val="Heading1"/>
      </w:pPr>
      <w:r>
        <w:t>Version 1.0 Release Record</w:t>
      </w:r>
    </w:p>
    <w:p>
      <w:pPr>
        <w:pStyle w:val="Heading2"/>
      </w:pPr>
      <w:r>
        <w:t>Release Scope and Boundary</w:t>
      </w:r>
    </w:p>
    <w:p>
      <w:r>
        <w:rPr>
          <w:rFonts w:ascii="Aptos" w:hAnsi="Aptos"/>
          <w:b w:val="0"/>
          <w:i w:val="0"/>
          <w:sz w:val="18"/>
        </w:rPr>
        <w:t>Version 1.0 is the finalized release of this specification and its machine-readable companion artifacts. The release freezes the clinical-scope boundaries, three-capability architecture, computational contracts, identifier bindings, provider-roster dependency, schemas, manifests, and conformance fixtures under the Version 1.0 identifiers. Finalization does not itself publish, register, clinically validate, endorse, or authorize clinical use of the CKS.</w:t>
      </w:r>
    </w:p>
    <w:tbl>
      <w:tblPr>
        <w:tblW w:type="dxa" w:w="12968"/>
        <w:tblLayout w:type="fixed"/>
        <w:tblLook w:firstColumn="1" w:firstRow="1" w:lastColumn="0" w:lastRow="0" w:noHBand="0" w:noVBand="1" w:val="04A0"/>
        <w:tblInd w:w="120" w:type="dxa"/>
      </w:tblPr>
      <w:tblGrid>
        <w:gridCol w:w="2350"/>
        <w:gridCol w:w="7740"/>
        <w:gridCol w:w="2878"/>
      </w:tblGrid>
      <w:tr>
        <w:trPr>
          <w:cantSplit w:val="true"/>
          <w:tblHeader w:val="true"/>
        </w:trPr>
        <w:tc>
          <w:tcPr>
            <w:tcW w:type="dxa" w:w="235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RELEASE AREA</w:t>
            </w:r>
          </w:p>
        </w:tc>
        <w:tc>
          <w:tcPr>
            <w:tcW w:type="dxa" w:w="774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VERSION 1.0 STATUS</w:t>
            </w:r>
          </w:p>
        </w:tc>
        <w:tc>
          <w:tcPr>
            <w:tcW w:type="dxa" w:w="287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PRIMARY EVIDENCE</w:t>
            </w:r>
          </w:p>
        </w:tc>
      </w:tr>
      <w:tr>
        <w:trPr>
          <w:cantSplit w:val="true"/>
        </w:trPr>
        <w:tc>
          <w:tcPr>
            <w:tcW w:type="dxa" w:w="2350"/>
            <w:tcMar>
              <w:top w:w="100" w:type="dxa"/>
              <w:start w:w="120" w:type="dxa"/>
              <w:bottom w:w="100" w:type="dxa"/>
              <w:end w:w="120" w:type="dxa"/>
            </w:tcMar>
            <w:vAlign w:val="center"/>
          </w:tcPr>
          <w:p>
            <w:pPr>
              <w:spacing w:after="0" w:line="240" w:lineRule="auto"/>
            </w:pPr>
            <w:r>
              <w:rPr>
                <w:rFonts w:ascii="Aptos" w:hAnsi="Aptos"/>
                <w:b w:val="0"/>
                <w:i w:val="0"/>
                <w:color w:val="000000"/>
                <w:sz w:val="12"/>
              </w:rPr>
              <w:t>Clinical scope and evidence</w:t>
            </w:r>
          </w:p>
        </w:tc>
        <w:tc>
          <w:tcPr>
            <w:tcW w:type="dxa" w:w="7740"/>
            <w:tcMar>
              <w:top w:w="100" w:type="dxa"/>
              <w:start w:w="120" w:type="dxa"/>
              <w:bottom w:w="100" w:type="dxa"/>
              <w:end w:w="120" w:type="dxa"/>
            </w:tcMar>
            <w:vAlign w:val="center"/>
          </w:tcPr>
          <w:p>
            <w:pPr>
              <w:spacing w:after="0" w:line="240" w:lineRule="auto"/>
            </w:pPr>
            <w:r>
              <w:rPr>
                <w:rFonts w:ascii="Aptos" w:hAnsi="Aptos"/>
                <w:b w:val="0"/>
                <w:i w:val="0"/>
                <w:color w:val="000000"/>
                <w:sz w:val="12"/>
              </w:rPr>
              <w:t>DFU-only boundary, regimen values, three-hour facility-time assumption, qualifications, and evidence-strength statements finalized</w:t>
            </w:r>
          </w:p>
        </w:tc>
        <w:tc>
          <w:tcPr>
            <w:tcW w:type="dxa" w:w="2878"/>
            <w:tcMar>
              <w:top w:w="100" w:type="dxa"/>
              <w:start w:w="120" w:type="dxa"/>
              <w:bottom w:w="100" w:type="dxa"/>
              <w:end w:w="120" w:type="dxa"/>
            </w:tcMar>
            <w:vAlign w:val="center"/>
          </w:tcPr>
          <w:p>
            <w:pPr>
              <w:spacing w:after="0" w:line="240" w:lineRule="auto"/>
            </w:pPr>
            <w:r>
              <w:rPr>
                <w:rFonts w:ascii="Aptos" w:hAnsi="Aptos"/>
                <w:b w:val="0"/>
                <w:i w:val="0"/>
                <w:color w:val="000000"/>
                <w:sz w:val="12"/>
              </w:rPr>
              <w:t>Sections 1–3; Appendices D–F</w:t>
            </w:r>
          </w:p>
        </w:tc>
      </w:tr>
      <w:tr>
        <w:trPr>
          <w:cantSplit w:val="true"/>
        </w:trPr>
        <w:tc>
          <w:tcPr>
            <w:tcW w:type="dxa" w:w="23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Capability architecture</w:t>
            </w:r>
          </w:p>
        </w:tc>
        <w:tc>
          <w:tcPr>
            <w:tcW w:type="dxa" w:w="77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Three capability boundaries and exact artifact handoffs finalized; no patient-specific regimen computation</w:t>
            </w:r>
          </w:p>
        </w:tc>
        <w:tc>
          <w:tcPr>
            <w:tcW w:type="dxa" w:w="287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Sections 1, 3.4, 4.5, and 5.1</w:t>
            </w:r>
          </w:p>
        </w:tc>
      </w:tr>
      <w:tr>
        <w:trPr>
          <w:cantSplit w:val="true"/>
        </w:trPr>
        <w:tc>
          <w:tcPr>
            <w:tcW w:type="dxa" w:w="2350"/>
            <w:tcMar>
              <w:top w:w="100" w:type="dxa"/>
              <w:start w:w="120" w:type="dxa"/>
              <w:bottom w:w="100" w:type="dxa"/>
              <w:end w:w="120" w:type="dxa"/>
            </w:tcMar>
            <w:vAlign w:val="center"/>
          </w:tcPr>
          <w:p>
            <w:pPr>
              <w:spacing w:after="0" w:line="240" w:lineRule="auto"/>
            </w:pPr>
            <w:r>
              <w:rPr>
                <w:rFonts w:ascii="Aptos" w:hAnsi="Aptos"/>
                <w:b w:val="0"/>
                <w:i w:val="0"/>
                <w:color w:val="000000"/>
                <w:sz w:val="12"/>
              </w:rPr>
              <w:t>Questionnaire and presentation</w:t>
            </w:r>
          </w:p>
        </w:tc>
        <w:tc>
          <w:tcPr>
            <w:tcW w:type="dxa" w:w="7740"/>
            <w:tcMar>
              <w:top w:w="100" w:type="dxa"/>
              <w:start w:w="120" w:type="dxa"/>
              <w:bottom w:w="100" w:type="dxa"/>
              <w:end w:w="120" w:type="dxa"/>
            </w:tcMar>
            <w:vAlign w:val="center"/>
          </w:tcPr>
          <w:p>
            <w:pPr>
              <w:spacing w:after="0" w:line="240" w:lineRule="auto"/>
            </w:pPr>
            <w:r>
              <w:rPr>
                <w:rFonts w:ascii="Aptos" w:hAnsi="Aptos"/>
                <w:b w:val="0"/>
                <w:i w:val="0"/>
                <w:color w:val="000000"/>
                <w:sz w:val="12"/>
              </w:rPr>
              <w:t>Q01–Q04, provider change, confirmation, abandonment, and output-presentation requirements finalized</w:t>
            </w:r>
          </w:p>
        </w:tc>
        <w:tc>
          <w:tcPr>
            <w:tcW w:type="dxa" w:w="2878"/>
            <w:tcMar>
              <w:top w:w="100" w:type="dxa"/>
              <w:start w:w="120" w:type="dxa"/>
              <w:bottom w:w="100" w:type="dxa"/>
              <w:end w:w="120" w:type="dxa"/>
            </w:tcMar>
            <w:vAlign w:val="center"/>
          </w:tcPr>
          <w:p>
            <w:pPr>
              <w:spacing w:after="0" w:line="240" w:lineRule="auto"/>
            </w:pPr>
            <w:r>
              <w:rPr>
                <w:rFonts w:ascii="Aptos" w:hAnsi="Aptos"/>
                <w:b w:val="0"/>
                <w:i w:val="0"/>
                <w:color w:val="000000"/>
                <w:sz w:val="12"/>
              </w:rPr>
              <w:t>Sections 4 and 8.6</w:t>
            </w:r>
          </w:p>
        </w:tc>
      </w:tr>
      <w:tr>
        <w:trPr>
          <w:cantSplit w:val="true"/>
        </w:trPr>
        <w:tc>
          <w:tcPr>
            <w:tcW w:type="dxa" w:w="23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Computational contract</w:t>
            </w:r>
          </w:p>
        </w:tc>
        <w:tc>
          <w:tcPr>
            <w:tcW w:type="dxa" w:w="77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Formulas, units, rounding, schemas, 1..1 cardinalities, validation order, and error mappings finalized</w:t>
            </w:r>
          </w:p>
        </w:tc>
        <w:tc>
          <w:tcPr>
            <w:tcW w:type="dxa" w:w="287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Sections 5–9; Appendix G</w:t>
            </w:r>
          </w:p>
        </w:tc>
      </w:tr>
      <w:tr>
        <w:trPr>
          <w:cantSplit w:val="true"/>
        </w:trPr>
        <w:tc>
          <w:tcPr>
            <w:tcW w:type="dxa" w:w="2350"/>
            <w:tcMar>
              <w:top w:w="100" w:type="dxa"/>
              <w:start w:w="120" w:type="dxa"/>
              <w:bottom w:w="100" w:type="dxa"/>
              <w:end w:w="120" w:type="dxa"/>
            </w:tcMar>
            <w:vAlign w:val="center"/>
          </w:tcPr>
          <w:p>
            <w:pPr>
              <w:spacing w:after="0" w:line="240" w:lineRule="auto"/>
            </w:pPr>
            <w:r>
              <w:rPr>
                <w:rFonts w:ascii="Aptos" w:hAnsi="Aptos"/>
                <w:b w:val="0"/>
                <w:i w:val="0"/>
                <w:color w:val="000000"/>
                <w:sz w:val="12"/>
              </w:rPr>
              <w:t>Identifiers and dependencies</w:t>
            </w:r>
          </w:p>
        </w:tc>
        <w:tc>
          <w:tcPr>
            <w:tcW w:type="dxa" w:w="7740"/>
            <w:tcMar>
              <w:top w:w="100" w:type="dxa"/>
              <w:start w:w="120" w:type="dxa"/>
              <w:bottom w:w="100" w:type="dxa"/>
              <w:end w:w="120" w:type="dxa"/>
            </w:tcMar>
            <w:vAlign w:val="center"/>
          </w:tcPr>
          <w:p>
            <w:pPr>
              <w:spacing w:after="0" w:line="240" w:lineRule="auto"/>
            </w:pPr>
            <w:r>
              <w:rPr>
                <w:rFonts w:ascii="Aptos" w:hAnsi="Aptos"/>
                <w:b w:val="0"/>
                <w:i w:val="0"/>
                <w:color w:val="000000"/>
                <w:sz w:val="12"/>
              </w:rPr>
              <w:t>Compact identifiers, full IRIs, version bindings, fingerprints, provenance, and replay requirements finalized</w:t>
            </w:r>
          </w:p>
        </w:tc>
        <w:tc>
          <w:tcPr>
            <w:tcW w:type="dxa" w:w="2878"/>
            <w:tcMar>
              <w:top w:w="100" w:type="dxa"/>
              <w:start w:w="120" w:type="dxa"/>
              <w:bottom w:w="100" w:type="dxa"/>
              <w:end w:w="120" w:type="dxa"/>
            </w:tcMar>
            <w:vAlign w:val="center"/>
          </w:tcPr>
          <w:p>
            <w:pPr>
              <w:spacing w:after="0" w:line="240" w:lineRule="auto"/>
            </w:pPr>
            <w:r>
              <w:rPr>
                <w:rFonts w:ascii="Aptos" w:hAnsi="Aptos"/>
                <w:b w:val="0"/>
                <w:i w:val="0"/>
                <w:color w:val="000000"/>
                <w:sz w:val="12"/>
              </w:rPr>
              <w:t>Sections 1.2 and 8.2; Appendix A</w:t>
            </w:r>
          </w:p>
        </w:tc>
      </w:tr>
      <w:tr>
        <w:trPr>
          <w:cantSplit w:val="true"/>
        </w:trPr>
        <w:tc>
          <w:tcPr>
            <w:tcW w:type="dxa" w:w="23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Provider-roster governance</w:t>
            </w:r>
          </w:p>
        </w:tc>
        <w:tc>
          <w:tcPr>
            <w:tcW w:type="dxa" w:w="77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U.S. boundary, 141 records, normalized addresses, selectability, versioning, and retained accreditation markers finalized</w:t>
            </w:r>
          </w:p>
        </w:tc>
        <w:tc>
          <w:tcPr>
            <w:tcW w:type="dxa" w:w="287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Appendix E</w:t>
            </w:r>
          </w:p>
        </w:tc>
      </w:tr>
      <w:tr>
        <w:trPr>
          <w:cantSplit w:val="true"/>
        </w:trPr>
        <w:tc>
          <w:tcPr>
            <w:tcW w:type="dxa" w:w="2350"/>
            <w:tcMar>
              <w:top w:w="100" w:type="dxa"/>
              <w:start w:w="120" w:type="dxa"/>
              <w:bottom w:w="100" w:type="dxa"/>
              <w:end w:w="120" w:type="dxa"/>
            </w:tcMar>
            <w:vAlign w:val="center"/>
          </w:tcPr>
          <w:p>
            <w:pPr>
              <w:spacing w:after="0" w:line="240" w:lineRule="auto"/>
            </w:pPr>
            <w:r>
              <w:rPr>
                <w:rFonts w:ascii="Aptos" w:hAnsi="Aptos"/>
                <w:b w:val="0"/>
                <w:i w:val="0"/>
                <w:color w:val="000000"/>
                <w:sz w:val="12"/>
              </w:rPr>
              <w:t>Safety, privacy, and ethics</w:t>
            </w:r>
          </w:p>
        </w:tc>
        <w:tc>
          <w:tcPr>
            <w:tcW w:type="dxa" w:w="7740"/>
            <w:tcMar>
              <w:top w:w="100" w:type="dxa"/>
              <w:start w:w="120" w:type="dxa"/>
              <w:bottom w:w="100" w:type="dxa"/>
              <w:end w:w="120" w:type="dxa"/>
            </w:tcMar>
            <w:vAlign w:val="center"/>
          </w:tcPr>
          <w:p>
            <w:pPr>
              <w:spacing w:after="0" w:line="240" w:lineRule="auto"/>
            </w:pPr>
            <w:r>
              <w:rPr>
                <w:rFonts w:ascii="Aptos" w:hAnsi="Aptos"/>
                <w:b w:val="0"/>
                <w:i w:val="0"/>
                <w:color w:val="000000"/>
                <w:sz w:val="12"/>
              </w:rPr>
              <w:t>Planning-only boundaries and prohibitions retained as mandatory Version 1.0 safeguards</w:t>
            </w:r>
          </w:p>
        </w:tc>
        <w:tc>
          <w:tcPr>
            <w:tcW w:type="dxa" w:w="2878"/>
            <w:tcMar>
              <w:top w:w="100" w:type="dxa"/>
              <w:start w:w="120" w:type="dxa"/>
              <w:bottom w:w="100" w:type="dxa"/>
              <w:end w:w="120" w:type="dxa"/>
            </w:tcMar>
            <w:vAlign w:val="center"/>
          </w:tcPr>
          <w:p>
            <w:pPr>
              <w:spacing w:after="0" w:line="240" w:lineRule="auto"/>
            </w:pPr>
            <w:r>
              <w:rPr>
                <w:rFonts w:ascii="Aptos" w:hAnsi="Aptos"/>
                <w:b w:val="0"/>
                <w:i w:val="0"/>
                <w:color w:val="000000"/>
                <w:sz w:val="12"/>
              </w:rPr>
              <w:t>Sections 10–11</w:t>
            </w:r>
          </w:p>
        </w:tc>
      </w:tr>
      <w:tr>
        <w:trPr>
          <w:cantSplit w:val="true"/>
        </w:trPr>
        <w:tc>
          <w:tcPr>
            <w:tcW w:type="dxa" w:w="23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Conformance evidence</w:t>
            </w:r>
          </w:p>
        </w:tc>
        <w:tc>
          <w:tcPr>
            <w:tcW w:type="dxa" w:w="77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108 executable fixtures, closed schema bundle, coverage manifest, and roster snapshot retained as the Version 1.0 conformance package</w:t>
            </w:r>
          </w:p>
        </w:tc>
        <w:tc>
          <w:tcPr>
            <w:tcW w:type="dxa" w:w="287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Appendix C and machine-readable Version 1.0 package</w:t>
            </w:r>
          </w:p>
        </w:tc>
      </w:tr>
    </w:tbl>
    <w:p>
      <w:pPr>
        <w:spacing w:after="20"/>
      </w:pPr>
    </w:p>
    <w:p>
      <w:pPr>
        <w:pStyle w:val="Heading2"/>
      </w:pPr>
      <w:r>
        <w:t>Version 1.0 Release Verification</w:t>
      </w:r>
    </w:p>
    <w:p>
      <w:pPr>
        <w:pStyle w:val="ListBullet"/>
        <w:spacing w:after="20"/>
      </w:pPr>
      <w:r>
        <w:rPr>
          <w:rFonts w:ascii="Aptos" w:hAnsi="Aptos"/>
          <w:b w:val="0"/>
          <w:i w:val="0"/>
          <w:sz w:val="18"/>
        </w:rPr>
        <w:t>The package contains no unresolved specification defect identified during preparation of Version 1.0.</w:t>
      </w:r>
    </w:p>
    <w:p>
      <w:pPr>
        <w:pStyle w:val="ListBullet"/>
        <w:spacing w:after="20"/>
      </w:pPr>
      <w:r>
        <w:rPr>
          <w:rFonts w:ascii="Aptos" w:hAnsi="Aptos"/>
          <w:b w:val="0"/>
          <w:i w:val="0"/>
          <w:sz w:val="18"/>
        </w:rPr>
        <w:t>Every regimen value, facility-time assumption, qualification, citation, and evidence-strength rating is represented in the finalized specification.</w:t>
      </w:r>
    </w:p>
    <w:p>
      <w:pPr>
        <w:pStyle w:val="ListBullet"/>
        <w:spacing w:after="20"/>
      </w:pPr>
      <w:r>
        <w:rPr>
          <w:rFonts w:ascii="Aptos" w:hAnsi="Aptos"/>
          <w:b w:val="0"/>
          <w:i w:val="0"/>
          <w:sz w:val="18"/>
        </w:rPr>
        <w:t>Every request, response, result, error, roster record, identifier, cardinality, and precedence rule is consistent across prose, tables, schemas, manifests, examples, and fixtures.</w:t>
      </w:r>
    </w:p>
    <w:p>
      <w:pPr>
        <w:pStyle w:val="ListBullet"/>
        <w:spacing w:after="20"/>
      </w:pPr>
      <w:r>
        <w:rPr>
          <w:rFonts w:ascii="Aptos" w:hAnsi="Aptos"/>
          <w:b w:val="0"/>
          <w:i w:val="0"/>
          <w:sz w:val="18"/>
        </w:rPr>
        <w:t>The executable fixture bundle validates intact, contains 108 fixtures, exercises all three capabilities and roster cases, exhaustively covers the 12-cell Execution Burden matrix, and covers ERR-01 through ERR-10.</w:t>
      </w:r>
    </w:p>
    <w:p>
      <w:pPr>
        <w:pStyle w:val="ListBullet"/>
        <w:spacing w:after="20"/>
      </w:pPr>
      <w:r>
        <w:rPr>
          <w:rFonts w:ascii="Aptos" w:hAnsi="Aptos"/>
          <w:b w:val="0"/>
          <w:i w:val="0"/>
          <w:sz w:val="18"/>
        </w:rPr>
        <w:t>All 141 Appendix E records satisfy the selectable-record predicates and round-trip exactly between the human-readable Appendix E.4 table and canonical JSON snapshot.</w:t>
      </w:r>
    </w:p>
    <w:p>
      <w:pPr>
        <w:pStyle w:val="ListBullet"/>
        <w:spacing w:after="20"/>
      </w:pPr>
      <w:r>
        <w:rPr>
          <w:rFonts w:ascii="Aptos" w:hAnsi="Aptos"/>
          <w:b w:val="0"/>
          <w:i w:val="0"/>
          <w:sz w:val="18"/>
        </w:rPr>
        <w:t>Version 1.0 arithmetic, RFC 8785 fingerprints, fixture counts, identifier bindings, and package-inventory references are verified before release.</w:t>
      </w:r>
    </w:p>
    <w:p>
      <w:pPr>
        <w:pStyle w:val="Heading2"/>
      </w:pPr>
      <w:r>
        <w:t>Version 1.0 Package Inventory</w:t>
      </w:r>
    </w:p>
    <w:tbl>
      <w:tblPr>
        <w:tblW w:type="dxa" w:w="12968"/>
        <w:tblLayout w:type="fixed"/>
        <w:tblLook w:firstColumn="1" w:firstRow="1" w:lastColumn="0" w:lastRow="0" w:noHBand="0" w:noVBand="1" w:val="04A0"/>
        <w:tblInd w:w="120" w:type="dxa"/>
      </w:tblPr>
      <w:tblGrid>
        <w:gridCol w:w="6700"/>
        <w:gridCol w:w="6268"/>
      </w:tblGrid>
      <w:tr>
        <w:trPr>
          <w:cantSplit w:val="true"/>
          <w:tblHeader w:val="true"/>
        </w:trPr>
        <w:tc>
          <w:tcPr>
            <w:tcW w:type="dxa" w:w="6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ARTIFACT</w:t>
            </w:r>
          </w:p>
        </w:tc>
        <w:tc>
          <w:tcPr>
            <w:tcW w:type="dxa" w:w="62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VERSION 1.0 ROLE</w:t>
            </w:r>
          </w:p>
        </w:tc>
      </w:tr>
      <w:tr>
        <w:trPr>
          <w:cantSplit w:val="true"/>
        </w:trPr>
        <w:tc>
          <w:tcPr>
            <w:tcW w:type="dxa" w:w="6700"/>
            <w:tcMar>
              <w:top w:w="100" w:type="dxa"/>
              <w:start w:w="120" w:type="dxa"/>
              <w:bottom w:w="100" w:type="dxa"/>
              <w:end w:w="120" w:type="dxa"/>
            </w:tcMar>
            <w:vAlign w:val="center"/>
          </w:tcPr>
          <w:p>
            <w:pPr>
              <w:spacing w:after="0" w:line="240" w:lineRule="auto"/>
            </w:pPr>
            <w:r>
              <w:rPr>
                <w:rFonts w:ascii="Aptos" w:hAnsi="Aptos"/>
                <w:b w:val="0"/>
                <w:i w:val="0"/>
                <w:color w:val="000000"/>
                <w:sz w:val="12"/>
              </w:rPr>
              <w:t>DFU_HBOT_Bounded_Regimen_and_Execution_Burden_CKS_Version_1_0.docx</w:t>
            </w:r>
          </w:p>
        </w:tc>
        <w:tc>
          <w:tcPr>
            <w:tcW w:type="dxa" w:w="6268"/>
            <w:tcMar>
              <w:top w:w="100" w:type="dxa"/>
              <w:start w:w="120" w:type="dxa"/>
              <w:bottom w:w="100" w:type="dxa"/>
              <w:end w:w="120" w:type="dxa"/>
            </w:tcMar>
            <w:vAlign w:val="center"/>
          </w:tcPr>
          <w:p>
            <w:pPr>
              <w:spacing w:after="0" w:line="240" w:lineRule="auto"/>
            </w:pPr>
            <w:r>
              <w:rPr>
                <w:rFonts w:ascii="Aptos" w:hAnsi="Aptos"/>
                <w:b w:val="0"/>
                <w:i w:val="0"/>
                <w:color w:val="000000"/>
                <w:sz w:val="12"/>
              </w:rPr>
              <w:t>Human-readable governing specification and appendices</w:t>
            </w:r>
          </w:p>
        </w:tc>
      </w:tr>
      <w:tr>
        <w:trPr>
          <w:cantSplit w:val="true"/>
        </w:trPr>
        <w:tc>
          <w:tcPr>
            <w:tcW w:type="dxa" w:w="6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DFU_HBOT_Burden_CKS_Version_1_0.schema.json</w:t>
            </w:r>
          </w:p>
        </w:tc>
        <w:tc>
          <w:tcPr>
            <w:tcW w:type="dxa" w:w="62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Normative closed JSON Schemas for requests, responses, results, errors, and roster records</w:t>
            </w:r>
          </w:p>
        </w:tc>
      </w:tr>
      <w:tr>
        <w:trPr>
          <w:cantSplit w:val="true"/>
        </w:trPr>
        <w:tc>
          <w:tcPr>
            <w:tcW w:type="dxa" w:w="6700"/>
            <w:tcMar>
              <w:top w:w="100" w:type="dxa"/>
              <w:start w:w="120" w:type="dxa"/>
              <w:bottom w:w="100" w:type="dxa"/>
              <w:end w:w="120" w:type="dxa"/>
            </w:tcMar>
            <w:vAlign w:val="center"/>
          </w:tcPr>
          <w:p>
            <w:pPr>
              <w:spacing w:after="0" w:line="240" w:lineRule="auto"/>
            </w:pPr>
            <w:r>
              <w:rPr>
                <w:rFonts w:ascii="Aptos" w:hAnsi="Aptos"/>
                <w:b w:val="0"/>
                <w:i w:val="0"/>
                <w:color w:val="000000"/>
                <w:sz w:val="12"/>
              </w:rPr>
              <w:t>DFU_HBOT_CKS_Identifier_and_Dependency_Manifest_1_0.json</w:t>
            </w:r>
          </w:p>
        </w:tc>
        <w:tc>
          <w:tcPr>
            <w:tcW w:type="dxa" w:w="6268"/>
            <w:tcMar>
              <w:top w:w="100" w:type="dxa"/>
              <w:start w:w="120" w:type="dxa"/>
              <w:bottom w:w="100" w:type="dxa"/>
              <w:end w:w="120" w:type="dxa"/>
            </w:tcMar>
            <w:vAlign w:val="center"/>
          </w:tcPr>
          <w:p>
            <w:pPr>
              <w:spacing w:after="0" w:line="240" w:lineRule="auto"/>
            </w:pPr>
            <w:r>
              <w:rPr>
                <w:rFonts w:ascii="Aptos" w:hAnsi="Aptos"/>
                <w:b w:val="0"/>
                <w:i w:val="0"/>
                <w:color w:val="000000"/>
                <w:sz w:val="12"/>
              </w:rPr>
              <w:t>Normative identifier scopes, full-IRI bindings, and exact dependencies</w:t>
            </w:r>
          </w:p>
        </w:tc>
      </w:tr>
      <w:tr>
        <w:trPr>
          <w:cantSplit w:val="true"/>
        </w:trPr>
        <w:tc>
          <w:tcPr>
            <w:tcW w:type="dxa" w:w="6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DFU_HBOT_CKS_Normative_Rule_Coverage_1_0.json</w:t>
            </w:r>
          </w:p>
        </w:tc>
        <w:tc>
          <w:tcPr>
            <w:tcW w:type="dxa" w:w="62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Normative rule-family-to-evidence traceability</w:t>
            </w:r>
          </w:p>
        </w:tc>
      </w:tr>
      <w:tr>
        <w:trPr>
          <w:cantSplit w:val="true"/>
        </w:trPr>
        <w:tc>
          <w:tcPr>
            <w:tcW w:type="dxa" w:w="6700"/>
            <w:tcMar>
              <w:top w:w="100" w:type="dxa"/>
              <w:start w:w="120" w:type="dxa"/>
              <w:bottom w:w="100" w:type="dxa"/>
              <w:end w:w="120" w:type="dxa"/>
            </w:tcMar>
            <w:vAlign w:val="center"/>
          </w:tcPr>
          <w:p>
            <w:pPr>
              <w:spacing w:after="0" w:line="240" w:lineRule="auto"/>
            </w:pPr>
            <w:r>
              <w:rPr>
                <w:rFonts w:ascii="Aptos" w:hAnsi="Aptos"/>
                <w:b w:val="0"/>
                <w:i w:val="0"/>
                <w:color w:val="000000"/>
                <w:sz w:val="12"/>
              </w:rPr>
              <w:t>DFU_HBOT_Provider_Roster_Snapshot_Version_1_0.json</w:t>
            </w:r>
          </w:p>
        </w:tc>
        <w:tc>
          <w:tcPr>
            <w:tcW w:type="dxa" w:w="6268"/>
            <w:tcMar>
              <w:top w:w="100" w:type="dxa"/>
              <w:start w:w="120" w:type="dxa"/>
              <w:bottom w:w="100" w:type="dxa"/>
              <w:end w:w="120" w:type="dxa"/>
            </w:tcMar>
            <w:vAlign w:val="center"/>
          </w:tcPr>
          <w:p>
            <w:pPr>
              <w:spacing w:after="0" w:line="240" w:lineRule="auto"/>
            </w:pPr>
            <w:r>
              <w:rPr>
                <w:rFonts w:ascii="Aptos" w:hAnsi="Aptos"/>
                <w:b w:val="0"/>
                <w:i w:val="0"/>
                <w:color w:val="000000"/>
                <w:sz w:val="12"/>
              </w:rPr>
              <w:t>Canonical closed 141-record U.S. provider-roster snapshot released as Version 1.0</w:t>
            </w:r>
          </w:p>
        </w:tc>
      </w:tr>
      <w:tr>
        <w:trPr>
          <w:cantSplit w:val="true"/>
        </w:trPr>
        <w:tc>
          <w:tcPr>
            <w:tcW w:type="dxa" w:w="6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DFU_HBOT_CKS_Conformance_Fixtures_1_0.zip</w:t>
            </w:r>
          </w:p>
        </w:tc>
        <w:tc>
          <w:tcPr>
            <w:tcW w:type="dxa" w:w="62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Executable conformance fixtures, bundle manifest, retained schema/manifests, and canonical roster snapshot</w:t>
            </w:r>
          </w:p>
        </w:tc>
      </w:tr>
    </w:tbl>
    <w:p>
      <w:pPr>
        <w:spacing w:after="20"/>
      </w:pPr>
    </w:p>
    <w:p>
      <w:r>
        <w:rPr>
          <w:rFonts w:ascii="Aptos" w:hAnsi="Aptos"/>
          <w:b w:val="0"/>
          <w:i w:val="0"/>
          <w:sz w:val="18"/>
        </w:rPr>
        <w:t>Version relationship. Formal Review Draft 0.53 is the immediate predecessor. Version 1.0 promotes the fully reviewed package to final status without changing its clinical scope, calculations, numeric values, classifications, driver text, questionnaire behavior, roster content, error mappings, schemas, or result structures. Version-bound IRIs, artifact names, provenance constants, manifests, fixtures, and fingerprints are refreshed for Version 1.0.</w:t>
      </w:r>
    </w:p>
    <w:p>
      <w:pPr>
        <w:pStyle w:val="Heading1"/>
      </w:pPr>
      <w:r>
        <w:t>1. Capability Statement</w:t>
      </w:r>
    </w:p>
    <w:p>
      <w:r>
        <w:rPr>
          <w:rFonts w:ascii="Aptos" w:hAnsi="Aptos"/>
          <w:b w:val="0"/>
          <w:i w:val="0"/>
          <w:sz w:val="18"/>
        </w:rPr>
        <w:t>This CKS defines three connected capabilities: a patient-independent Regimen Range request and response, interactive Burden Questionnaire Logic, and stateless deterministic Burden Response Analysis. The first returns the shorter and longer general DFU HBOT scenarios. The questionnaire registers one confirmed sparse patient response. The analysis applies that response to both scenarios and returns scenario-specific and overall execution burden ranges in one fixed-shape result object.</w:t>
      </w:r>
    </w:p>
    <w:p>
      <w:pPr>
        <w:pStyle w:val="Heading2"/>
      </w:pPr>
      <w:r>
        <w:t>1.1 Three-capability Architecture</w:t>
      </w:r>
    </w:p>
    <w:p>
      <w:r>
        <w:rPr>
          <w:rFonts w:ascii="Aptos" w:hAnsi="Aptos"/>
          <w:b w:val="0"/>
          <w:i w:val="0"/>
          <w:sz w:val="18"/>
        </w:rPr>
        <w:t>The specification separates the governed Regimen Range capability in Sections 2–3, Burden Questionnaire Logic in Section 4, and Burden Response Analysis in Sections 5–9. The regimen response is general knowledge, not patient input. The questionnaire collects and confirms the sole sparse patient response. The analysis consumes both artifacts without selecting or modifying a regimen for the patient.</w:t>
      </w:r>
    </w:p>
    <w:p>
      <w:pPr>
        <w:pStyle w:val="Heading2"/>
      </w:pPr>
      <w:r>
        <w:t>1.2 KGrid-style IRI Architecture</w:t>
      </w:r>
    </w:p>
    <w:p>
      <w:r>
        <w:rPr>
          <w:rFonts w:ascii="Aptos" w:hAnsi="Aptos"/>
          <w:b w:val="0"/>
          <w:i w:val="0"/>
          <w:sz w:val="18"/>
        </w:rPr>
        <w:t>This CKS applies the identity pattern used by the KGrid Knowledge Object specification and the KGrid Meggitt–Wagner CKS: an unversioned family IRI identifies a continuing resource; a version IRI identifies exact immutable content; capabilities and version-governed components are identified beneath the governing namespace. Full HTTPS IRIs are normative wherever an artifact crosses a capability or roster boundary (References 12 and 14).</w:t>
      </w:r>
    </w:p>
    <w:tbl>
      <w:tblPr>
        <w:tblW w:type="dxa" w:w="9360"/>
        <w:tblLayout w:type="fixed"/>
        <w:tblLook w:firstColumn="1" w:firstRow="1" w:lastColumn="0" w:lastRow="0" w:noHBand="0" w:noVBand="1" w:val="04A0"/>
        <w:tblInd w:w="120" w:type="dxa"/>
      </w:tblPr>
      <w:tblGrid>
        <w:gridCol w:w="3300"/>
        <w:gridCol w:w="6060"/>
      </w:tblGrid>
      <w:tr>
        <w:trPr>
          <w:cantSplit w:val="true"/>
          <w:tblHeader w:val="true"/>
        </w:trPr>
        <w:tc>
          <w:tcPr>
            <w:tcW w:type="dxa" w:w="33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RESOURCE</w:t>
            </w:r>
          </w:p>
        </w:tc>
        <w:tc>
          <w:tcPr>
            <w:tcW w:type="dxa" w:w="60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NORMATIVE IRI</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CKS family</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CKS version</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https://kgrid.org/cks/dfu-hbot-burden/versions/cks-1.0</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Regimen Range capability</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https://kgrid.org/cks/dfu-hbot-burden/versions/cks-1.0/regimen-range</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Burden Questionnaire Logic capability</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https://kgrid.org/cks/dfu-hbot-burden/versions/cks-1.0/questionnaire-logic</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Burden Response Analysis capability</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https://kgrid.org/cks/dfu-hbot-burden/versions/cks-1.0/response-analysis</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Shared response-data model</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https://kgrid.org/cks/dfu-hbot-burden/response-models/1.0</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Burden Response Analysis named output model</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https://kgrid.org/cks/dfu-hbot-burden/output-models/1.0</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Burden Questionnaire question set</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https://kgrid.org/cks/dfu-hbot-burden/question-sets/burden-questionnaire/versions/1.0</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Burden Response Analysis result-instance family</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https://kgrid.org/cks/dfu-hbot-burden/result-instances/</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General DFU regimen knowledge package</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https://kgrid.org/cks/dfu-hbot-burden/knowledge-packages/general-dfu-regimen/versions/1.0</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Provider-roster family</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https://kgrid.org/cks/dfu-hbot-burden/provider-rosters/appendix-e</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Bound provider-roster version</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https://kgrid.org/cks/dfu-hbot-burden/provider-rosters/appendix-e/versions/1.0</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Normative JSON Schema bundle</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https://kgrid.org/cks/dfu-hbot-burden/schema-bundles/versions/1.0</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Executable conformance-fixture bundle</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https://kgrid.org/cks/dfu-hbot-burden/conformance-fixtures/versions/1.0</w:t>
            </w:r>
          </w:p>
        </w:tc>
      </w:tr>
      <w:tr>
        <w:trPr>
          <w:cantSplit w:val="true"/>
        </w:trPr>
        <w:tc>
          <w:tcPr>
            <w:tcW w:type="dxa" w:w="3300"/>
            <w:tcMar>
              <w:top w:w="100" w:type="dxa"/>
              <w:start w:w="120" w:type="dxa"/>
              <w:bottom w:w="100" w:type="dxa"/>
              <w:end w:w="120" w:type="dxa"/>
            </w:tcMar>
            <w:vAlign w:val="center"/>
          </w:tcPr>
          <w:p>
            <w:pPr>
              <w:spacing w:after="0" w:line="240" w:lineRule="auto"/>
            </w:pPr>
            <w:r>
              <w:rPr>
                <w:rFonts w:ascii="Aptos" w:hAnsi="Aptos"/>
                <w:b w:val="0"/>
                <w:i w:val="0"/>
                <w:color w:val="000000"/>
                <w:sz w:val="13"/>
              </w:rPr>
              <w:t>Identifier and dependency manifest</w:t>
            </w:r>
          </w:p>
        </w:tc>
        <w:tc>
          <w:tcPr>
            <w:tcW w:type="dxa" w:w="60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https://kgrid.org/cks/dfu-hbot-burden/identifier-dependency-manifests/versions/1.0</w:t>
            </w:r>
          </w:p>
        </w:tc>
      </w:tr>
      <w:tr>
        <w:trPr>
          <w:cantSplit w:val="true"/>
        </w:trPr>
        <w:tc>
          <w:tcPr>
            <w:tcW w:type="dxa" w:w="3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Normative rule-coverage manifest</w:t>
            </w:r>
          </w:p>
        </w:tc>
        <w:tc>
          <w:tcPr>
            <w:tcW w:type="dxa" w:w="6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https://kgrid.org/cks/dfu-hbot-burden/normative-rule-coverage/versions/1.0</w:t>
            </w:r>
          </w:p>
        </w:tc>
      </w:tr>
    </w:tbl>
    <w:p>
      <w:pPr>
        <w:spacing w:after="20"/>
      </w:pPr>
    </w:p>
    <w:p>
      <w:r>
        <w:rPr>
          <w:rFonts w:ascii="Aptos" w:hAnsi="Aptos"/>
          <w:b w:val="0"/>
          <w:i w:val="0"/>
          <w:sz w:val="18"/>
        </w:rPr>
        <w:t>Compact identifiers remain permitted only as local aliases within the full-IRI-governed scope. Q01–Q04 are governed by the versioned question set. Questionnaire states, knowledge elements, inputs, errors, audit outcomes, and presentation checks are governed by this CKS version. Coverage records are governed by the rule-coverage manifest version. Fixture identifiers are governed by the fixture-bundle version. E-### aliases are governed by the bound roster and map to both a stable provider IRI and one version-specific roster-record IRI. No compact identifier SHALL be interpreted without its governing scope. A change in meaning requires a new governing CKS or component version.</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IRI FIELD RULE  </w:t>
            </w:r>
            <w:r>
              <w:rPr>
                <w:rFonts w:ascii="Aptos" w:hAnsi="Aptos"/>
                <w:b w:val="0"/>
                <w:i w:val="0"/>
                <w:sz w:val="18"/>
              </w:rPr>
              <w:t>Every machine-readable property whose name ends in _iri SHALL contain one absolute HTTPS IRI exactly as specified; it SHALL NOT contain a URN, compact identifier, relative reference, display label, redirected substitute, or unversioned family IRI where a version IRI is required.</w:t>
            </w:r>
          </w:p>
        </w:tc>
      </w:tr>
    </w:tbl>
    <w:p>
      <w:pPr>
        <w:spacing w:after="20"/>
      </w:pPr>
    </w:p>
    <w:p>
      <w:pPr>
        <w:pStyle w:val="Heading2"/>
      </w:pPr>
      <w:r>
        <w:t>1.3 Assessment Subject and Boundary</w:t>
      </w:r>
    </w:p>
    <w:p>
      <w:r>
        <w:rPr>
          <w:rFonts w:ascii="Aptos" w:hAnsi="Aptos"/>
          <w:b w:val="0"/>
          <w:i w:val="0"/>
          <w:sz w:val="18"/>
        </w:rPr>
        <w:t>External systems SHALL bind one invocation to one patient, one confirmed diabetes-related foot ulcer, one contemplated DFU HBOT course, one selected hyperbaric oxygen therapy location, and one assessment time. The DFU and contemplated-course bindings are preconditions, not input fields, and are not validated by this function. Subject and ulcer identifiers are outside the function. External systems SHALL NOT combine data from different patients, ulcers, contemplated courses, hyperbaric oxygen therapy locations, or assessment times.</w:t>
      </w:r>
    </w:p>
    <w:p>
      <w:pPr>
        <w:pStyle w:val="Heading2"/>
      </w:pPr>
      <w:r>
        <w:t>1.4 Clinical and Operational Goal</w:t>
      </w:r>
    </w:p>
    <w:p>
      <w:pPr>
        <w:pStyle w:val="ListBullet"/>
        <w:spacing w:after="20"/>
      </w:pPr>
      <w:r>
        <w:rPr>
          <w:rFonts w:ascii="Aptos" w:hAnsi="Aptos"/>
          <w:b w:val="0"/>
          <w:i w:val="0"/>
          <w:sz w:val="18"/>
        </w:rPr>
        <w:t>Return, on request, both the shorter and longer general DFU regimen scenarios and their combined range.</w:t>
      </w:r>
    </w:p>
    <w:p>
      <w:pPr>
        <w:pStyle w:val="ListBullet"/>
        <w:spacing w:after="20"/>
      </w:pPr>
      <w:r>
        <w:rPr>
          <w:rFonts w:ascii="Aptos" w:hAnsi="Aptos"/>
          <w:b w:val="0"/>
          <w:i w:val="0"/>
          <w:sz w:val="18"/>
        </w:rPr>
        <w:t>Accept patient-reported usual one-way miles and usual one-way travel minutes to the selected hyperbaric oxygen therapy location.</w:t>
      </w:r>
    </w:p>
    <w:p>
      <w:pPr>
        <w:pStyle w:val="ListBullet"/>
        <w:spacing w:after="20"/>
      </w:pPr>
      <w:r>
        <w:rPr>
          <w:rFonts w:ascii="Aptos" w:hAnsi="Aptos"/>
          <w:b w:val="0"/>
          <w:i w:val="0"/>
          <w:sz w:val="18"/>
        </w:rPr>
        <w:t>Compute bounded travel, facility, and total patient time.</w:t>
      </w:r>
    </w:p>
    <w:p>
      <w:pPr>
        <w:pStyle w:val="ListBullet"/>
        <w:spacing w:after="20"/>
      </w:pPr>
      <w:r>
        <w:rPr>
          <w:rFonts w:ascii="Aptos" w:hAnsi="Aptos"/>
          <w:b w:val="0"/>
          <w:i w:val="0"/>
          <w:sz w:val="18"/>
        </w:rPr>
        <w:t>Classify execution burden on a five-level ordinal scale from objective travel burden and the reported weekday-attendance value using inspectable rules.</w:t>
      </w:r>
    </w:p>
    <w:p>
      <w:pPr>
        <w:pStyle w:val="ListBullet"/>
        <w:spacing w:after="20"/>
      </w:pPr>
      <w:r>
        <w:rPr>
          <w:rFonts w:ascii="Aptos" w:hAnsi="Aptos"/>
          <w:b w:val="0"/>
          <w:i w:val="0"/>
          <w:sz w:val="18"/>
        </w:rPr>
        <w:t>Produce objective burden, reported weekday-attendance feasibility, and Execution Burden Level from the single four-field sparse input model.</w:t>
      </w:r>
    </w:p>
    <w:p>
      <w:pPr>
        <w:pStyle w:val="Heading2"/>
      </w:pPr>
      <w:r>
        <w:t>1.5 Non-goals</w:t>
      </w:r>
    </w:p>
    <w:p>
      <w:pPr>
        <w:pStyle w:val="ListBullet"/>
        <w:spacing w:after="20"/>
      </w:pPr>
      <w:r>
        <w:rPr>
          <w:rFonts w:ascii="Aptos" w:hAnsi="Aptos"/>
          <w:b w:val="0"/>
          <w:i w:val="0"/>
          <w:sz w:val="18"/>
        </w:rPr>
        <w:t>No determination of clinical indication, contraindications, dose, chamber protocol, treatment response, or stopping rules.</w:t>
      </w:r>
    </w:p>
    <w:p>
      <w:pPr>
        <w:pStyle w:val="ListBullet"/>
        <w:spacing w:after="20"/>
      </w:pPr>
      <w:r>
        <w:rPr>
          <w:rFonts w:ascii="Aptos" w:hAnsi="Aptos"/>
          <w:b w:val="0"/>
          <w:i w:val="0"/>
          <w:sz w:val="18"/>
        </w:rPr>
        <w:t>No patient-level calculation, inference, selection, or personalization of treatment episodes, frequency, pressure, oxygen exposure, course duration, or facility time.</w:t>
      </w:r>
    </w:p>
    <w:p>
      <w:pPr>
        <w:pStyle w:val="ListBullet"/>
        <w:spacing w:after="20"/>
      </w:pPr>
      <w:r>
        <w:rPr>
          <w:rFonts w:ascii="Aptos" w:hAnsi="Aptos"/>
          <w:b w:val="0"/>
          <w:i w:val="0"/>
          <w:sz w:val="18"/>
        </w:rPr>
        <w:t>No use for radiation injury, osteomyelitis not associated with the bound DFU, compromised grafts or flaps, carbon-monoxide poisoning, decompression illness, or any other non-DFU indication.</w:t>
      </w:r>
    </w:p>
    <w:p>
      <w:pPr>
        <w:pStyle w:val="ListBullet"/>
        <w:spacing w:after="20"/>
      </w:pPr>
      <w:r>
        <w:rPr>
          <w:rFonts w:ascii="Aptos" w:hAnsi="Aptos"/>
          <w:b w:val="0"/>
          <w:i w:val="0"/>
          <w:sz w:val="18"/>
        </w:rPr>
        <w:t>No prediction of treatment completion or clinical outcome.</w:t>
      </w:r>
    </w:p>
    <w:p>
      <w:pPr>
        <w:pStyle w:val="ListBullet"/>
        <w:spacing w:after="20"/>
      </w:pPr>
      <w:r>
        <w:rPr>
          <w:rFonts w:ascii="Aptos" w:hAnsi="Aptos"/>
          <w:b w:val="0"/>
          <w:i w:val="0"/>
          <w:sz w:val="18"/>
        </w:rPr>
        <w:t>No exact financial burden, wage loss, parking, fuel, childcare, lodging, or caregiver-cost computation.</w:t>
      </w:r>
    </w:p>
    <w:p>
      <w:pPr>
        <w:pStyle w:val="ListBullet"/>
        <w:spacing w:after="20"/>
      </w:pPr>
      <w:r>
        <w:rPr>
          <w:rFonts w:ascii="Aptos" w:hAnsi="Aptos"/>
          <w:b w:val="0"/>
          <w:i w:val="0"/>
          <w:sz w:val="18"/>
        </w:rPr>
        <w:t>No comprehensive psychosocial, transportation, employment, or caregiver assessment.</w:t>
      </w:r>
    </w:p>
    <w:p>
      <w:pPr>
        <w:pStyle w:val="ListBullet"/>
        <w:spacing w:after="20"/>
      </w:pPr>
      <w:r>
        <w:rPr>
          <w:rFonts w:ascii="Aptos" w:hAnsi="Aptos"/>
          <w:b w:val="0"/>
          <w:i w:val="0"/>
          <w:sz w:val="18"/>
        </w:rPr>
        <w:t>No ranking of facilities by clinical quality or patient preference.</w:t>
      </w:r>
    </w:p>
    <w:p>
      <w:pPr>
        <w:pStyle w:val="Heading1"/>
      </w:pPr>
      <w:r>
        <w:t>2. Scope, Preconditions, and Knowledge Bounds</w:t>
      </w:r>
    </w:p>
    <w:p>
      <w:pPr>
        <w:pStyle w:val="Heading2"/>
      </w:pPr>
      <w:r>
        <w:t>2.1 In-scope Use</w:t>
      </w:r>
    </w:p>
    <w:p>
      <w:r>
        <w:rPr>
          <w:rFonts w:ascii="Aptos" w:hAnsi="Aptos"/>
          <w:b w:val="0"/>
          <w:i w:val="0"/>
          <w:sz w:val="18"/>
        </w:rPr>
        <w:t>The CKS is in scope only when a user needs the general regimen range or a planning estimate for repeated outpatient HBOT attendance for one confirmed diabetes-related foot ulcer. The included General DFU Regimen Knowledge Package SHALL be validated before use. An invocation for any other HBOT indication is outside this specification.</w:t>
      </w:r>
    </w:p>
    <w:p>
      <w:pPr>
        <w:pStyle w:val="Heading2"/>
      </w:pPr>
      <w:r>
        <w:t>2.2 Preconditions</w:t>
      </w:r>
    </w:p>
    <w:p>
      <w:pPr>
        <w:pStyle w:val="ListNumber"/>
        <w:numPr>
          <w:ilvl w:val="0"/>
          <w:numId w:val="19"/>
        </w:numPr>
        <w:spacing w:after="20"/>
      </w:pPr>
      <w:r>
        <w:rPr>
          <w:rFonts w:ascii="Aptos" w:hAnsi="Aptos"/>
          <w:b w:val="0"/>
          <w:i w:val="0"/>
          <w:sz w:val="18"/>
        </w:rPr>
        <w:t>A separate clinical process has confirmed that the bound ulcer is a diabetes-related foot ulcer.</w:t>
      </w:r>
    </w:p>
    <w:p>
      <w:pPr>
        <w:pStyle w:val="ListNumber"/>
        <w:numPr>
          <w:ilvl w:val="0"/>
          <w:numId w:val="19"/>
        </w:numPr>
        <w:spacing w:after="20"/>
      </w:pPr>
      <w:r>
        <w:rPr>
          <w:rFonts w:ascii="Aptos" w:hAnsi="Aptos"/>
          <w:b w:val="0"/>
          <w:i w:val="0"/>
          <w:sz w:val="18"/>
        </w:rPr>
        <w:t>A separate clinical process has determined that DFU HBOT burden estimation is appropriate; this precondition does not itself assert that HBOT is indicated or authorized.</w:t>
      </w:r>
    </w:p>
    <w:p>
      <w:pPr>
        <w:pStyle w:val="ListNumber"/>
        <w:numPr>
          <w:ilvl w:val="0"/>
          <w:numId w:val="19"/>
        </w:numPr>
        <w:spacing w:after="20"/>
      </w:pPr>
      <w:r>
        <w:rPr>
          <w:rFonts w:ascii="Aptos" w:hAnsi="Aptos"/>
          <w:b w:val="0"/>
          <w:i w:val="0"/>
          <w:sz w:val="18"/>
        </w:rPr>
        <w:t>The realization has validated and bound exactly one complete general DFU regimen knowledge package before accepting the invocation.</w:t>
      </w:r>
    </w:p>
    <w:p>
      <w:pPr>
        <w:pStyle w:val="ListNumber"/>
        <w:numPr>
          <w:ilvl w:val="0"/>
          <w:numId w:val="19"/>
        </w:numPr>
        <w:spacing w:after="20"/>
      </w:pPr>
      <w:r>
        <w:rPr>
          <w:rFonts w:ascii="Aptos" w:hAnsi="Aptos"/>
          <w:b w:val="0"/>
          <w:i w:val="0"/>
          <w:sz w:val="18"/>
        </w:rPr>
        <w:t>The invocation is bound to one patient, one confirmed DFU, one contemplated DFU HBOT course, one selected hyperbaric oxygen therapy location, and one assessment time.</w:t>
      </w:r>
    </w:p>
    <w:p>
      <w:pPr>
        <w:pStyle w:val="ListNumber"/>
        <w:numPr>
          <w:ilvl w:val="0"/>
          <w:numId w:val="19"/>
        </w:numPr>
        <w:spacing w:after="20"/>
      </w:pPr>
      <w:r>
        <w:rPr>
          <w:rFonts w:ascii="Aptos" w:hAnsi="Aptos"/>
          <w:b w:val="0"/>
          <w:i w:val="0"/>
          <w:sz w:val="18"/>
        </w:rPr>
        <w:t>The selected provider IRI resolves to exactly one selectable record in the bound Appendix E roster version.</w:t>
      </w:r>
    </w:p>
    <w:p>
      <w:pPr>
        <w:pStyle w:val="ListNumber"/>
        <w:numPr>
          <w:ilvl w:val="0"/>
          <w:numId w:val="19"/>
        </w:numPr>
        <w:spacing w:after="20"/>
      </w:pPr>
      <w:r>
        <w:rPr>
          <w:rFonts w:ascii="Aptos" w:hAnsi="Aptos"/>
          <w:b w:val="0"/>
          <w:i w:val="0"/>
          <w:sz w:val="18"/>
        </w:rPr>
        <w:t>The patient or assisting user can report usual one-way miles and usual one-way travel minutes to that hyperbaric oxygen therapy location.</w:t>
      </w:r>
    </w:p>
    <w:p>
      <w:pPr>
        <w:pStyle w:val="Heading2"/>
      </w:pPr>
      <w:r>
        <w:t>2.3 Evidence Hierarchy and Source Roles</w:t>
      </w:r>
    </w:p>
    <w:p>
      <w:r>
        <w:rPr>
          <w:rFonts w:ascii="Aptos" w:hAnsi="Aptos"/>
          <w:b w:val="0"/>
          <w:i w:val="0"/>
          <w:sz w:val="18"/>
        </w:rPr>
        <w:t>No single source is treated as sufficient for every regimen-knowledge element. The following hierarchy governs how clinical context, numeric bounds, feasibility, and continuation knowledge enter the package.</w:t>
      </w:r>
    </w:p>
    <w:tbl>
      <w:tblPr>
        <w:tblW w:type="dxa" w:w="9360"/>
        <w:tblLayout w:type="fixed"/>
        <w:tblLook w:firstColumn="1" w:firstRow="1" w:lastColumn="0" w:lastRow="0" w:noHBand="0" w:noVBand="1" w:val="04A0"/>
        <w:tblInd w:w="120" w:type="dxa"/>
      </w:tblPr>
      <w:tblGrid>
        <w:gridCol w:w="900"/>
        <w:gridCol w:w="3000"/>
        <w:gridCol w:w="3400"/>
        <w:gridCol w:w="2060"/>
      </w:tblGrid>
      <w:tr>
        <w:trPr>
          <w:cantSplit w:val="true"/>
          <w:tblHeader w:val="true"/>
        </w:trPr>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PRIORITY</w:t>
            </w:r>
          </w:p>
        </w:tc>
        <w:tc>
          <w:tcPr>
            <w:tcW w:type="dxa" w:w="30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AUTHORITY</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NORMATIVE SOURCE ROLE</w:t>
            </w:r>
          </w:p>
        </w:tc>
        <w:tc>
          <w:tcPr>
            <w:tcW w:type="dxa" w:w="20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EXPLICIT LIMIT</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1</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3"/>
              </w:rPr>
              <w:t>UHMS DFU Clinical Practice Guideline (Huang et al., 2015)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3"/>
              </w:rPr>
              <w:t>Principal clinical authority: DFU population, Wagner-grade context, postoperative timing, failure of standard care, and justification for adjunctive HBOT</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3"/>
              </w:rPr>
              <w:t>Does not establish one universally optimal number of treatment episodes</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2</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Controlled-trial protocols</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Episode anchors and weekly frequency, plus exact protocol-specific treatment pressure and oxygen-exposure values</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Protocol values do not prove equivalence, optimality, or support for every value between them</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3</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3"/>
              </w:rPr>
              <w:t>IWGDF 2023 wound-healing guideline</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3"/>
              </w:rPr>
              <w:t>Contemporary selection and feasibility context, including ischemic/neuro-ischemic ulcers, failed standard care, resource availability, proximity, and commitment to weeks of treatment</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3"/>
              </w:rPr>
              <w:t>Does not supply a detailed computable regimen</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4</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CMS NCD 20.29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United States reassessment and continuation policy: evaluation at least every 30 days and continued coverage only with measurable healing during each 30-day treatment period</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Does not establish optimal episode count, pressure, or exposure duration</w:t>
            </w:r>
          </w:p>
        </w:tc>
      </w:tr>
    </w:tbl>
    <w:p>
      <w:pPr>
        <w:spacing w:after="20"/>
      </w:pP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BOUND INTERPRETATION  </w:t>
            </w:r>
            <w:r>
              <w:rPr>
                <w:rFonts w:ascii="Aptos" w:hAnsi="Aptos"/>
                <w:b w:val="0"/>
                <w:i w:val="0"/>
                <w:sz w:val="18"/>
              </w:rPr>
              <w:t>The numeric interval represents commonly studied and guideline-consistent DFU HBOT protocols. It is not a validated patient-specific dose-selection rule, and the burden engine SHALL NOT treat the lower or upper bound as clinically preferable for an individual patient.</w:t>
            </w:r>
          </w:p>
        </w:tc>
      </w:tr>
    </w:tbl>
    <w:p>
      <w:pPr>
        <w:spacing w:after="20"/>
      </w:pPr>
    </w:p>
    <w:p>
      <w:pPr>
        <w:pStyle w:val="Heading2"/>
      </w:pPr>
      <w:r>
        <w:t>2.4 General DFU Regimen Knowledge Package</w:t>
      </w:r>
    </w:p>
    <w:p>
      <w:r>
        <w:rPr>
          <w:rFonts w:ascii="Aptos" w:hAnsi="Aptos"/>
          <w:b w:val="0"/>
          <w:i w:val="0"/>
          <w:sz w:val="18"/>
        </w:rPr>
        <w:t>The following knowledge package is included in full general form so that the regimen assumptions used by the burden engine are explicit, inspectable, and replaceable through governance. It describes a population-level planning envelope for contemplated adjunctive HBOT for DFU. It does not describe what any particular patient should receive.</w:t>
      </w:r>
    </w:p>
    <w:tbl>
      <w:tblPr>
        <w:tblW w:type="dxa" w:w="9360"/>
        <w:tblLayout w:type="fixed"/>
        <w:tblLook w:firstColumn="1" w:firstRow="1" w:lastColumn="0" w:lastRow="0" w:noHBand="0" w:noVBand="1" w:val="04A0"/>
        <w:tblInd w:w="120" w:type="dxa"/>
      </w:tblPr>
      <w:tblGrid>
        <w:gridCol w:w="900"/>
        <w:gridCol w:w="2600"/>
        <w:gridCol w:w="2600"/>
        <w:gridCol w:w="3260"/>
      </w:tblGrid>
      <w:tr>
        <w:trPr>
          <w:cantSplit w:val="true"/>
          <w:tblHeader w:val="true"/>
        </w:trPr>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ID</w:t>
            </w:r>
          </w:p>
        </w:tc>
        <w:tc>
          <w:tcPr>
            <w:tcW w:type="dxa" w:w="26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KNOWLEDGE ELEMENT</w:t>
            </w:r>
          </w:p>
        </w:tc>
        <w:tc>
          <w:tcPr>
            <w:tcW w:type="dxa" w:w="26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GENERAL VALUE</w:t>
            </w:r>
          </w:p>
        </w:tc>
        <w:tc>
          <w:tcPr>
            <w:tcW w:type="dxa" w:w="32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ROLE IN BURDEN ENGINE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RK-01</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Knowledge-package IRI</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https://kgrid.org/cks/dfu-hbot-burden/knowledge-packages/general-dfu-regimen/versions/1.0</w:t>
            </w:r>
          </w:p>
        </w:tc>
        <w:tc>
          <w:tcPr>
            <w:tcW w:type="dxa" w:w="3260"/>
            <w:tcMar>
              <w:top w:w="100" w:type="dxa"/>
              <w:start w:w="120" w:type="dxa"/>
              <w:bottom w:w="100" w:type="dxa"/>
              <w:end w:w="120" w:type="dxa"/>
            </w:tcMar>
            <w:vAlign w:val="center"/>
          </w:tcPr>
          <w:p>
            <w:pPr>
              <w:spacing w:after="0" w:line="240" w:lineRule="auto"/>
            </w:pPr>
            <w:r>
              <w:rPr>
                <w:rFonts w:ascii="Aptos" w:hAnsi="Aptos"/>
                <w:b w:val="0"/>
                <w:i w:val="0"/>
                <w:color w:val="000000"/>
                <w:sz w:val="13"/>
              </w:rPr>
              <w:t>Audit and provenance</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RK-02</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Indication</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diabetes_related_foot_ulcer</w:t>
            </w:r>
          </w:p>
        </w:tc>
        <w:tc>
          <w:tcPr>
            <w:tcW w:type="dxa" w:w="3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Scope guard; never derived from patient data</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RK-03</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Population statement</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Confirmed DFU for which a separate clinical process has made burden estimation appropriate</w:t>
            </w:r>
          </w:p>
        </w:tc>
        <w:tc>
          <w:tcPr>
            <w:tcW w:type="dxa" w:w="3260"/>
            <w:tcMar>
              <w:top w:w="100" w:type="dxa"/>
              <w:start w:w="120" w:type="dxa"/>
              <w:bottom w:w="100" w:type="dxa"/>
              <w:end w:w="120" w:type="dxa"/>
            </w:tcMar>
            <w:vAlign w:val="center"/>
          </w:tcPr>
          <w:p>
            <w:pPr>
              <w:spacing w:after="0" w:line="240" w:lineRule="auto"/>
            </w:pPr>
            <w:r>
              <w:rPr>
                <w:rFonts w:ascii="Aptos" w:hAnsi="Aptos"/>
                <w:b w:val="0"/>
                <w:i w:val="0"/>
                <w:color w:val="000000"/>
                <w:sz w:val="13"/>
              </w:rPr>
              <w:t>External precondition only</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RK-04</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Treatment episodes</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Shorter scenario: 30; longer scenario: 40</w:t>
            </w:r>
          </w:p>
        </w:tc>
        <w:tc>
          <w:tcPr>
            <w:tcW w:type="dxa" w:w="3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Protocol-derived planning anchors; both scenarios are always returned and calculated</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RK-05</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Sessions per week</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Usually 5</w:t>
            </w:r>
          </w:p>
        </w:tc>
        <w:tc>
          <w:tcPr>
            <w:tcW w:type="dxa" w:w="3260"/>
            <w:tcMar>
              <w:top w:w="100" w:type="dxa"/>
              <w:start w:w="120" w:type="dxa"/>
              <w:bottom w:w="100" w:type="dxa"/>
              <w:end w:w="120" w:type="dxa"/>
            </w:tcMar>
            <w:vAlign w:val="center"/>
          </w:tcPr>
          <w:p>
            <w:pPr>
              <w:spacing w:after="0" w:line="240" w:lineRule="auto"/>
            </w:pPr>
            <w:r>
              <w:rPr>
                <w:rFonts w:ascii="Aptos" w:hAnsi="Aptos"/>
                <w:b w:val="0"/>
                <w:i w:val="0"/>
                <w:color w:val="000000"/>
                <w:sz w:val="13"/>
              </w:rPr>
              <w:t>Protocol-derived weekly frequency; numeric value 5 used directly as S</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RK-06</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Scheduled course duration</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Approximately 6–8 uninterrupted weeks</w:t>
            </w:r>
          </w:p>
        </w:tc>
        <w:tc>
          <w:tcPr>
            <w:tcW w:type="dxa" w:w="3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Derived from episode and frequency bounds; not an expected completion date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RK-07</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Treatment pressure</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Anchor protocols: 2.4 ATA (Fedorko) and 2.5 ATA (HODFU); general UHMS definition: not less than 2.0 ATA</w:t>
            </w:r>
          </w:p>
        </w:tc>
        <w:tc>
          <w:tcPr>
            <w:tcW w:type="dxa" w:w="3260"/>
            <w:tcMar>
              <w:top w:w="100" w:type="dxa"/>
              <w:start w:w="120" w:type="dxa"/>
              <w:bottom w:w="100" w:type="dxa"/>
              <w:end w:w="120" w:type="dxa"/>
            </w:tcMar>
            <w:vAlign w:val="center"/>
          </w:tcPr>
          <w:p>
            <w:pPr>
              <w:spacing w:after="0" w:line="240" w:lineRule="auto"/>
            </w:pPr>
            <w:r>
              <w:rPr>
                <w:rFonts w:ascii="Aptos" w:hAnsi="Aptos"/>
                <w:b w:val="0"/>
                <w:i w:val="0"/>
                <w:color w:val="000000"/>
                <w:sz w:val="13"/>
              </w:rPr>
              <w:t>The two trial values are observed protocol endpoints, not a continuous DFU dose range; general context is not used in burden arithmetic</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RK-08</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Oxygen exposure at pressure</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HODFU protocol: 85 minutes; Fedorko protocol: 90 minutes; general UHMS context: typically 90–120 minutes</w:t>
            </w:r>
          </w:p>
        </w:tc>
        <w:tc>
          <w:tcPr>
            <w:tcW w:type="dxa" w:w="3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Exact anchor-protocol values plus separately labeled general context; none is separately added to facility time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RK-09</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Scheduled facility block</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3 hours per treatment episode</w:t>
            </w:r>
          </w:p>
        </w:tc>
        <w:tc>
          <w:tcPr>
            <w:tcW w:type="dxa" w:w="3260"/>
            <w:tcMar>
              <w:top w:w="100" w:type="dxa"/>
              <w:start w:w="120" w:type="dxa"/>
              <w:bottom w:w="100" w:type="dxa"/>
              <w:end w:w="120" w:type="dxa"/>
            </w:tcMar>
            <w:vAlign w:val="center"/>
          </w:tcPr>
          <w:p>
            <w:pPr>
              <w:spacing w:after="0" w:line="240" w:lineRule="auto"/>
            </w:pPr>
            <w:r>
              <w:rPr>
                <w:rFonts w:ascii="Aptos" w:hAnsi="Aptos"/>
                <w:b w:val="0"/>
                <w:i w:val="0"/>
                <w:color w:val="000000"/>
                <w:sz w:val="13"/>
              </w:rPr>
              <w:t>Fixed operational, non-DFU-specific worst-case planning multiplier F; no facility-time interval</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RK-10</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Reassessment</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During the course and at least every 30 days</w:t>
            </w:r>
          </w:p>
        </w:tc>
        <w:tc>
          <w:tcPr>
            <w:tcW w:type="dxa" w:w="3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General clinical-workflow knowledge; displayed as a caveat, never evaluated by the burden engine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RK-11</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Continuation</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Only while measurable improvement and clinical justification persist</w:t>
            </w:r>
          </w:p>
        </w:tc>
        <w:tc>
          <w:tcPr>
            <w:tcW w:type="dxa" w:w="3260"/>
            <w:tcMar>
              <w:top w:w="100" w:type="dxa"/>
              <w:start w:w="120" w:type="dxa"/>
              <w:bottom w:w="100" w:type="dxa"/>
              <w:end w:w="120" w:type="dxa"/>
            </w:tcMar>
            <w:vAlign w:val="center"/>
          </w:tcPr>
          <w:p>
            <w:pPr>
              <w:spacing w:after="0" w:line="240" w:lineRule="auto"/>
            </w:pPr>
            <w:r>
              <w:rPr>
                <w:rFonts w:ascii="Aptos" w:hAnsi="Aptos"/>
                <w:b w:val="0"/>
                <w:i w:val="0"/>
                <w:color w:val="000000"/>
                <w:sz w:val="13"/>
              </w:rPr>
              <w:t>General continuation boundary; never computed from patient response by the burden engine</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RK-12</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Regimen provenance</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UHMS clinical authority; trial protocols for bounds; IWGDF context; CMS reassessment policy</w:t>
            </w:r>
          </w:p>
        </w:tc>
        <w:tc>
          <w:tcPr>
            <w:tcW w:type="dxa" w:w="3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Returned with the result</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RK-13</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Knowledge status</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final_general_knowledge</w:t>
            </w:r>
          </w:p>
        </w:tc>
        <w:tc>
          <w:tcPr>
            <w:tcW w:type="dxa" w:w="3260"/>
            <w:tcMar>
              <w:top w:w="100" w:type="dxa"/>
              <w:start w:w="120" w:type="dxa"/>
              <w:bottom w:w="100" w:type="dxa"/>
              <w:end w:w="120" w:type="dxa"/>
            </w:tcMar>
            <w:vAlign w:val="center"/>
          </w:tcPr>
          <w:p>
            <w:pPr>
              <w:spacing w:after="0" w:line="240" w:lineRule="auto"/>
            </w:pPr>
            <w:r>
              <w:rPr>
                <w:rFonts w:ascii="Aptos" w:hAnsi="Aptos"/>
                <w:b w:val="0"/>
                <w:i w:val="0"/>
                <w:color w:val="000000"/>
                <w:sz w:val="13"/>
              </w:rPr>
              <w:t>Prevents representation as an individualized order</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RK-14</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Review metadata</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Source dates, review date, reviewer, and supersession status</w:t>
            </w:r>
          </w:p>
        </w:tc>
        <w:tc>
          <w:tcPr>
            <w:tcW w:type="dxa" w:w="3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Governance; no patient-level effect</w:t>
            </w:r>
          </w:p>
        </w:tc>
      </w:tr>
    </w:tbl>
    <w:p>
      <w:pPr>
        <w:spacing w:after="20"/>
      </w:pPr>
    </w:p>
    <w:p>
      <w:r>
        <w:rPr>
          <w:rFonts w:ascii="Aptos" w:hAnsi="Aptos"/>
          <w:b w:val="0"/>
          <w:i w:val="0"/>
          <w:sz w:val="18"/>
        </w:rPr>
        <w:t>RK-08 SHALL NOT be added to RK-09 because RK-09 is a scheduled facility block intended to include chamber treatment and routine non-travel treatment-day activities. The burden engine SHALL use RK-09 exactly once. RK-09 SHALL NOT be labeled observed door-to-door facility elapsed time, a confidence interval, or a DFU-specific empirical distribution.</w:t>
      </w:r>
    </w:p>
    <w:p>
      <w:r>
        <w:rPr>
          <w:rFonts w:ascii="Aptos" w:hAnsi="Aptos"/>
          <w:b w:val="0"/>
          <w:i w:val="0"/>
          <w:sz w:val="18"/>
        </w:rPr>
        <w:t>RK-10 and RK-11 are included so the full general regimen context is preserved. The burden engine SHALL NOT receive wound-healing measurements, decide whether improvement occurred, authorize continuation, stop treatment, or revise either scenario during a patient invocation. Actual reassessment and continuation decisions remain outside this CKS.</w:t>
      </w:r>
    </w:p>
    <w:p>
      <w:pPr>
        <w:pStyle w:val="Heading2"/>
      </w:pPr>
      <w:r>
        <w:t>2.5 Knowledge Binding and Immutability</w:t>
      </w:r>
    </w:p>
    <w:p>
      <w:pPr>
        <w:pStyle w:val="ListBullet"/>
        <w:spacing w:after="20"/>
      </w:pPr>
      <w:r>
        <w:rPr>
          <w:rFonts w:ascii="Aptos" w:hAnsi="Aptos"/>
          <w:b w:val="0"/>
          <w:i w:val="0"/>
          <w:sz w:val="18"/>
        </w:rPr>
        <w:t>Exactly one valid General DFU Regimen Knowledge Package SHALL be bound when a conforming burden-engine realization is configured or initialized, before any patient invocation.</w:t>
      </w:r>
    </w:p>
    <w:p>
      <w:pPr>
        <w:pStyle w:val="ListBullet"/>
        <w:spacing w:after="20"/>
      </w:pPr>
      <w:r>
        <w:rPr>
          <w:rFonts w:ascii="Aptos" w:hAnsi="Aptos"/>
          <w:b w:val="0"/>
          <w:i w:val="0"/>
          <w:sz w:val="18"/>
        </w:rPr>
        <w:t>The knowledge package SHALL NOT appear in the patient input object and SHALL NOT be entered, selected, or modified in response to patient characteristics.</w:t>
      </w:r>
    </w:p>
    <w:p>
      <w:pPr>
        <w:pStyle w:val="ListBullet"/>
        <w:spacing w:after="20"/>
      </w:pPr>
      <w:r>
        <w:rPr>
          <w:rFonts w:ascii="Aptos" w:hAnsi="Aptos"/>
          <w:b w:val="0"/>
          <w:i w:val="0"/>
          <w:sz w:val="18"/>
        </w:rPr>
        <w:t>The engine SHALL NOT use ulcer grade, size, duration, perfusion, treatment response, comorbidities, age, transportation burden, attendance difficulty, or any other patient fact to calculate or alter regimen values.</w:t>
      </w:r>
    </w:p>
    <w:p>
      <w:pPr>
        <w:pStyle w:val="ListBullet"/>
        <w:spacing w:after="20"/>
      </w:pPr>
      <w:r>
        <w:rPr>
          <w:rFonts w:ascii="Aptos" w:hAnsi="Aptos"/>
          <w:b w:val="0"/>
          <w:i w:val="0"/>
          <w:sz w:val="18"/>
        </w:rPr>
        <w:t>A package for another HBOT indication SHALL NOT be bound.</w:t>
      </w:r>
    </w:p>
    <w:p>
      <w:pPr>
        <w:pStyle w:val="ListBullet"/>
        <w:spacing w:after="20"/>
      </w:pPr>
      <w:r>
        <w:rPr>
          <w:rFonts w:ascii="Aptos" w:hAnsi="Aptos"/>
          <w:b w:val="0"/>
          <w:i w:val="0"/>
          <w:sz w:val="18"/>
        </w:rPr>
        <w:t>The result SHALL identify the included package and its provenance as general_dfu_knowledge.</w:t>
      </w:r>
    </w:p>
    <w:p>
      <w:pPr>
        <w:pStyle w:val="Heading2"/>
      </w:pPr>
      <w:r>
        <w:t>2.6 Knowledge-package Validation at Initialization</w:t>
      </w:r>
    </w:p>
    <w:p>
      <w:r>
        <w:rPr>
          <w:rFonts w:ascii="Aptos" w:hAnsi="Aptos"/>
          <w:b w:val="0"/>
          <w:i w:val="0"/>
          <w:sz w:val="18"/>
        </w:rPr>
        <w:t>Before accepting any patient invocation, the realization SHALL validate the bound package for required fields, data types, closed indication value, positive numeric bounds, lower≤upper relationships, arithmetic consistency of scheduled course duration, source metadata, and working or approved knowledge status. An invalid or absent package is a realization-configuration failure. It SHALL prevent patient invocation and SHALL NOT be converted into a patient result or attributed to a patient.</w:t>
      </w:r>
    </w:p>
    <w:p>
      <w:pPr>
        <w:pStyle w:val="Heading2"/>
      </w:pPr>
      <w:r>
        <w:t>2.7 Currency</w:t>
      </w:r>
    </w:p>
    <w:p>
      <w:r>
        <w:rPr>
          <w:rFonts w:ascii="Aptos" w:hAnsi="Aptos"/>
          <w:b w:val="0"/>
          <w:i w:val="0"/>
          <w:sz w:val="18"/>
        </w:rPr>
        <w:t>A production governance process SHALL review clinical planning bounds and source currency before release and at a defined interval. Appendix E facility information SHALL be treated as time-sensitive reference data.</w:t>
      </w:r>
    </w:p>
    <w:p>
      <w:pPr>
        <w:pStyle w:val="Heading1"/>
      </w:pPr>
      <w:r>
        <w:t>3. Three-part Architecture</w:t>
      </w:r>
    </w:p>
    <w:p>
      <w:r>
        <w:rPr>
          <w:rFonts w:ascii="Aptos" w:hAnsi="Aptos"/>
          <w:b w:val="0"/>
          <w:i w:val="0"/>
          <w:sz w:val="18"/>
        </w:rPr>
        <w:t>This CKS specifies three distinct but connected capabilities. Regimen Range supplies the fixed general DFU planning envelope. Burden Questionnaire Logic collects and confirms the sole sparse patient response. Burden Response Analysis applies that response to both regimen scenarios and returns scenario-specific and overall burden ranges. A realization MAY implement a capability independently only under the corresponding Section 11.5 conformance profile; a Complete DFU HBOT Burden CKS realization implements all three and their exact handoffs.</w:t>
      </w:r>
    </w:p>
    <w:tbl>
      <w:tblPr>
        <w:tblW w:type="dxa" w:w="9360"/>
        <w:tblLayout w:type="fixed"/>
        <w:tblLook w:firstColumn="1" w:firstRow="1" w:lastColumn="0" w:lastRow="0" w:noHBand="0" w:noVBand="1" w:val="04A0"/>
        <w:tblInd w:w="120" w:type="dxa"/>
      </w:tblPr>
      <w:tblGrid>
        <w:gridCol w:w="2100"/>
        <w:gridCol w:w="2750"/>
        <w:gridCol w:w="2650"/>
        <w:gridCol w:w="1860"/>
      </w:tblGrid>
      <w:tr>
        <w:trPr>
          <w:cantSplit w:val="true"/>
          <w:tblHeader w:val="true"/>
        </w:trPr>
        <w:tc>
          <w:tcPr>
            <w:tcW w:type="dxa" w:w="21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CAPABILITY</w:t>
            </w:r>
          </w:p>
        </w:tc>
        <w:tc>
          <w:tcPr>
            <w:tcW w:type="dxa" w:w="275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PROVISIONAL IDENTIFIER</w:t>
            </w:r>
          </w:p>
        </w:tc>
        <w:tc>
          <w:tcPr>
            <w:tcW w:type="dxa" w:w="265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RESPONSIBILITY</w:t>
            </w:r>
          </w:p>
        </w:tc>
        <w:tc>
          <w:tcPr>
            <w:tcW w:type="dxa" w:w="18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PROHIBITED RESPONSIBILITY</w:t>
            </w:r>
          </w:p>
        </w:tc>
      </w:tr>
      <w:tr>
        <w:trPr>
          <w:cantSplit w:val="true"/>
        </w:trPr>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3"/>
              </w:rPr>
              <w:t>Regimen Range</w:t>
            </w:r>
          </w:p>
        </w:tc>
        <w:tc>
          <w:tcPr>
            <w:tcW w:type="dxa" w:w="275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https://kgrid.org/cks/dfu-hbot-burden/versions/cks-1.0/regimen-range</w:t>
            </w:r>
          </w:p>
        </w:tc>
        <w:tc>
          <w:tcPr>
            <w:tcW w:type="dxa" w:w="2650"/>
            <w:tcMar>
              <w:top w:w="100" w:type="dxa"/>
              <w:start w:w="120" w:type="dxa"/>
              <w:bottom w:w="100" w:type="dxa"/>
              <w:end w:w="120" w:type="dxa"/>
            </w:tcMar>
            <w:vAlign w:val="center"/>
          </w:tcPr>
          <w:p>
            <w:pPr>
              <w:spacing w:after="0" w:line="240" w:lineRule="auto"/>
            </w:pPr>
            <w:r>
              <w:rPr>
                <w:rFonts w:ascii="Aptos" w:hAnsi="Aptos"/>
                <w:b w:val="0"/>
                <w:i w:val="0"/>
                <w:color w:val="000000"/>
                <w:sz w:val="13"/>
              </w:rPr>
              <w:t>Return the governed Fixed Regimen Range Response containing the shorter and longer general scenarios</w:t>
            </w:r>
          </w:p>
        </w:tc>
        <w:tc>
          <w:tcPr>
            <w:tcW w:type="dxa" w:w="1860"/>
            <w:tcMar>
              <w:top w:w="100" w:type="dxa"/>
              <w:start w:w="120" w:type="dxa"/>
              <w:bottom w:w="100" w:type="dxa"/>
              <w:end w:w="120" w:type="dxa"/>
            </w:tcMar>
            <w:vAlign w:val="center"/>
          </w:tcPr>
          <w:p>
            <w:pPr>
              <w:spacing w:after="0" w:line="240" w:lineRule="auto"/>
            </w:pPr>
            <w:r>
              <w:rPr>
                <w:rFonts w:ascii="Aptos" w:hAnsi="Aptos"/>
                <w:b w:val="0"/>
                <w:i w:val="0"/>
                <w:color w:val="000000"/>
                <w:sz w:val="13"/>
              </w:rPr>
              <w:t>No patient input, tailoring, recommendation, or scenario selection</w:t>
            </w:r>
          </w:p>
        </w:tc>
      </w:tr>
      <w:tr>
        <w:trPr>
          <w:cantSplit w:val="true"/>
        </w:trPr>
        <w:tc>
          <w:tcPr>
            <w:tcW w:type="dxa" w:w="2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Burden Questionnaire Logic</w:t>
            </w:r>
          </w:p>
        </w:tc>
        <w:tc>
          <w:tcPr>
            <w:tcW w:type="dxa" w:w="2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https://kgrid.org/cks/dfu-hbot-burden/versions/cks-1.0/questionnaire-logic</w:t>
            </w:r>
          </w:p>
        </w:tc>
        <w:tc>
          <w:tcPr>
            <w:tcW w:type="dxa" w:w="2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Interactive hyperbaric-oxygen-therapy-location selection, reported-travel collection, attendance response, correction, review, and confirmation</w:t>
            </w:r>
          </w:p>
        </w:tc>
        <w:tc>
          <w:tcPr>
            <w:tcW w:type="dxa" w:w="1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 regimen input, regimen selection, or burden arithmetic</w:t>
            </w:r>
          </w:p>
        </w:tc>
      </w:tr>
      <w:tr>
        <w:trPr>
          <w:cantSplit w:val="true"/>
        </w:trPr>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3"/>
              </w:rPr>
              <w:t>Burden Response Analysis</w:t>
            </w:r>
          </w:p>
        </w:tc>
        <w:tc>
          <w:tcPr>
            <w:tcW w:type="dxa" w:w="275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https://kgrid.org/cks/dfu-hbot-burden/versions/cks-1.0/response-analysis</w:t>
            </w:r>
          </w:p>
        </w:tc>
        <w:tc>
          <w:tcPr>
            <w:tcW w:type="dxa" w:w="2650"/>
            <w:tcMar>
              <w:top w:w="100" w:type="dxa"/>
              <w:start w:w="120" w:type="dxa"/>
              <w:bottom w:w="100" w:type="dxa"/>
              <w:end w:w="120" w:type="dxa"/>
            </w:tcMar>
            <w:vAlign w:val="center"/>
          </w:tcPr>
          <w:p>
            <w:pPr>
              <w:spacing w:after="0" w:line="240" w:lineRule="auto"/>
            </w:pPr>
            <w:r>
              <w:rPr>
                <w:rFonts w:ascii="Aptos" w:hAnsi="Aptos"/>
                <w:b w:val="0"/>
                <w:i w:val="0"/>
                <w:color w:val="000000"/>
                <w:sz w:val="13"/>
              </w:rPr>
              <w:t>Accept one explicit combined request; apply the confirmed sparse response to both regimen scenarios</w:t>
            </w:r>
          </w:p>
        </w:tc>
        <w:tc>
          <w:tcPr>
            <w:tcW w:type="dxa" w:w="1860"/>
            <w:tcMar>
              <w:top w:w="100" w:type="dxa"/>
              <w:start w:w="120" w:type="dxa"/>
              <w:bottom w:w="100" w:type="dxa"/>
              <w:end w:w="120" w:type="dxa"/>
            </w:tcMar>
            <w:vAlign w:val="center"/>
          </w:tcPr>
          <w:p>
            <w:pPr>
              <w:spacing w:after="0" w:line="240" w:lineRule="auto"/>
            </w:pPr>
            <w:r>
              <w:rPr>
                <w:rFonts w:ascii="Aptos" w:hAnsi="Aptos"/>
                <w:b w:val="0"/>
                <w:i w:val="0"/>
                <w:color w:val="000000"/>
                <w:sz w:val="13"/>
              </w:rPr>
              <w:t>No user interview, hidden regimen lookup, or patient-specific regimen computation</w:t>
            </w:r>
          </w:p>
        </w:tc>
      </w:tr>
    </w:tbl>
    <w:p>
      <w:pPr>
        <w:spacing w:after="20"/>
      </w:pP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REGISTRATION BOUNDARY  </w:t>
            </w:r>
            <w:r>
              <w:rPr>
                <w:rFonts w:ascii="Aptos" w:hAnsi="Aptos"/>
                <w:b w:val="0"/>
                <w:i w:val="0"/>
                <w:sz w:val="18"/>
              </w:rPr>
              <w:t>Questionnaire answers are provisional until the end user confirms the review state. Abandonment before confirmation produces no Completed Burden Questionnaire Response and supplies nothing to Burden Response Analysis.</w:t>
            </w:r>
          </w:p>
        </w:tc>
      </w:tr>
    </w:tbl>
    <w:p>
      <w:pPr>
        <w:spacing w:after="20"/>
      </w:pPr>
    </w:p>
    <w:p>
      <w:pPr>
        <w:pStyle w:val="Heading2"/>
      </w:pPr>
      <w:r>
        <w:t>3.1 Regimen-range Request Contract</w:t>
      </w:r>
    </w:p>
    <w:p>
      <w:r>
        <w:rPr>
          <w:rFonts w:ascii="Aptos" w:hAnsi="Aptos"/>
          <w:b w:val="0"/>
          <w:i w:val="0"/>
          <w:sz w:val="18"/>
        </w:rPr>
        <w:t>The Regimen Range capability SHALL support one request meaning: show or give the general DFU HBOT regimen range. The request contains no patient facts and no regimen-duration, episode-count, frequency, pressure, exposure, or facility-time input. The request object has exactly one required property.</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w:t>
            </w:r>
          </w:p>
          <w:p>
            <w:pPr>
              <w:spacing w:after="0"/>
            </w:pPr>
            <w:r>
              <w:rPr>
                <w:rFonts w:ascii="Consolas" w:hAnsi="Consolas"/>
                <w:b w:val="0"/>
                <w:i w:val="0"/>
                <w:sz w:val="15"/>
              </w:rPr>
              <w:t xml:space="preserve">  "request_type": "show_regimen_range"</w:t>
            </w:r>
          </w:p>
          <w:p>
            <w:pPr>
              <w:spacing w:after="0"/>
            </w:pPr>
            <w:r>
              <w:rPr>
                <w:rFonts w:ascii="Consolas" w:hAnsi="Consolas"/>
                <w:b w:val="0"/>
                <w:i w:val="0"/>
                <w:sz w:val="15"/>
              </w:rPr>
              <w:t>}</w:t>
            </w:r>
          </w:p>
        </w:tc>
      </w:tr>
    </w:tbl>
    <w:p>
      <w:pPr>
        <w:spacing w:after="20"/>
      </w:pPr>
    </w:p>
    <w:p>
      <w:r>
        <w:rPr>
          <w:rFonts w:ascii="Aptos" w:hAnsi="Aptos"/>
          <w:b w:val="0"/>
          <w:i w:val="0"/>
          <w:sz w:val="18"/>
        </w:rPr>
        <w:t>The request object is closed. An unknown or additional property makes the request invalid and SHALL NOT be ignored. Any other request_type is outside the closed request vocabulary. The capability SHALL NOT accept a request to choose, shorten, extend, personalize, or recommend a regimen.</w:t>
      </w:r>
    </w:p>
    <w:p>
      <w:pPr>
        <w:pStyle w:val="Heading2"/>
      </w:pPr>
      <w:r>
        <w:t>3.2 Fixed Regimen Range Response Contract</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"response_type": "fixed_regimen_range_response",</w:t>
            </w:r>
          </w:p>
          <w:p>
            <w:pPr>
              <w:spacing w:after="0"/>
            </w:pPr>
            <w:r>
              <w:rPr>
                <w:rFonts w:ascii="Consolas" w:hAnsi="Consolas"/>
                <w:b w:val="0"/>
                <w:i w:val="0"/>
                <w:sz w:val="15"/>
              </w:rPr>
              <w:t xml:space="preserve">  "response_model_iri": "https://kgrid.org/cks/dfu-hbot-burden/response-models/1.0",</w:t>
            </w:r>
          </w:p>
          <w:p>
            <w:pPr>
              <w:spacing w:after="0"/>
            </w:pPr>
            <w:r>
              <w:rPr>
                <w:rFonts w:ascii="Consolas" w:hAnsi="Consolas"/>
                <w:b w:val="0"/>
                <w:i w:val="0"/>
                <w:sz w:val="15"/>
              </w:rPr>
              <w:t xml:space="preserve">  "status": "completed",</w:t>
            </w:r>
          </w:p>
          <w:p>
            <w:pPr>
              <w:spacing w:after="0"/>
            </w:pPr>
            <w:r>
              <w:rPr>
                <w:rFonts w:ascii="Consolas" w:hAnsi="Consolas"/>
                <w:b w:val="0"/>
                <w:i w:val="0"/>
                <w:sz w:val="15"/>
              </w:rPr>
              <w:t xml:space="preserve">  "knowledge_package_iri": "https://kgrid.org/cks/dfu-hbot-burden/knowledge-packages/general-dfu-regimen/versions/1.0",</w:t>
            </w:r>
          </w:p>
          <w:p>
            <w:pPr>
              <w:spacing w:after="0"/>
            </w:pPr>
            <w:r>
              <w:rPr>
                <w:rFonts w:ascii="Consolas" w:hAnsi="Consolas"/>
                <w:b w:val="0"/>
                <w:i w:val="0"/>
                <w:sz w:val="15"/>
              </w:rPr>
              <w:t xml:space="preserve">  "knowledge_scope": "general_not_patient_specific",</w:t>
            </w:r>
          </w:p>
          <w:p>
            <w:pPr>
              <w:spacing w:after="0"/>
            </w:pPr>
            <w:r>
              <w:rPr>
                <w:rFonts w:ascii="Consolas" w:hAnsi="Consolas"/>
                <w:b w:val="0"/>
                <w:i w:val="0"/>
                <w:sz w:val="15"/>
              </w:rPr>
              <w:t xml:space="preserve">  "indication": "diabetes_related_foot_ulcer",</w:t>
            </w:r>
          </w:p>
          <w:p>
            <w:pPr>
              <w:spacing w:after="0"/>
            </w:pPr>
            <w:r>
              <w:rPr>
                <w:rFonts w:ascii="Consolas" w:hAnsi="Consolas"/>
                <w:b w:val="0"/>
                <w:i w:val="0"/>
                <w:sz w:val="15"/>
              </w:rPr>
              <w:t xml:space="preserve">  "shorter_regimen_scenario": {</w:t>
            </w:r>
          </w:p>
          <w:p>
            <w:pPr>
              <w:spacing w:after="0"/>
            </w:pPr>
            <w:r>
              <w:rPr>
                <w:rFonts w:ascii="Consolas" w:hAnsi="Consolas"/>
                <w:b w:val="0"/>
                <w:i w:val="0"/>
                <w:sz w:val="15"/>
              </w:rPr>
              <w:t xml:space="preserve">    "episodes": 30,</w:t>
            </w:r>
          </w:p>
          <w:p>
            <w:pPr>
              <w:spacing w:after="0"/>
            </w:pPr>
            <w:r>
              <w:rPr>
                <w:rFonts w:ascii="Consolas" w:hAnsi="Consolas"/>
                <w:b w:val="0"/>
                <w:i w:val="0"/>
                <w:sz w:val="15"/>
              </w:rPr>
              <w:t xml:space="preserve">    "sessions_per_week": 5,</w:t>
            </w:r>
          </w:p>
          <w:p>
            <w:pPr>
              <w:spacing w:after="0"/>
            </w:pPr>
            <w:r>
              <w:rPr>
                <w:rFonts w:ascii="Consolas" w:hAnsi="Consolas"/>
                <w:b w:val="0"/>
                <w:i w:val="0"/>
                <w:sz w:val="15"/>
              </w:rPr>
              <w:t xml:space="preserve">    "course_weeks": 6.0</w:t>
            </w:r>
          </w:p>
          <w:p>
            <w:pPr>
              <w:spacing w:after="0"/>
            </w:pPr>
            <w:r>
              <w:rPr>
                <w:rFonts w:ascii="Consolas" w:hAnsi="Consolas"/>
                <w:b w:val="0"/>
                <w:i w:val="0"/>
                <w:sz w:val="15"/>
              </w:rPr>
              <w:t xml:space="preserve">  },</w:t>
            </w:r>
          </w:p>
          <w:p>
            <w:pPr>
              <w:spacing w:after="0"/>
            </w:pPr>
            <w:r>
              <w:rPr>
                <w:rFonts w:ascii="Consolas" w:hAnsi="Consolas"/>
                <w:b w:val="0"/>
                <w:i w:val="0"/>
                <w:sz w:val="15"/>
              </w:rPr>
              <w:t xml:space="preserve">  "longer_regimen_scenario": {</w:t>
            </w:r>
          </w:p>
          <w:p>
            <w:pPr>
              <w:spacing w:after="0"/>
            </w:pPr>
            <w:r>
              <w:rPr>
                <w:rFonts w:ascii="Consolas" w:hAnsi="Consolas"/>
                <w:b w:val="0"/>
                <w:i w:val="0"/>
                <w:sz w:val="15"/>
              </w:rPr>
              <w:t xml:space="preserve">    "episodes": 40,</w:t>
            </w:r>
          </w:p>
          <w:p>
            <w:pPr>
              <w:spacing w:after="0"/>
            </w:pPr>
            <w:r>
              <w:rPr>
                <w:rFonts w:ascii="Consolas" w:hAnsi="Consolas"/>
                <w:b w:val="0"/>
                <w:i w:val="0"/>
                <w:sz w:val="15"/>
              </w:rPr>
              <w:t xml:space="preserve">    "sessions_per_week": 5,</w:t>
            </w:r>
          </w:p>
          <w:p>
            <w:pPr>
              <w:spacing w:after="0"/>
            </w:pPr>
            <w:r>
              <w:rPr>
                <w:rFonts w:ascii="Consolas" w:hAnsi="Consolas"/>
                <w:b w:val="0"/>
                <w:i w:val="0"/>
                <w:sz w:val="15"/>
              </w:rPr>
              <w:t xml:space="preserve">    "course_weeks": 8.0</w:t>
            </w:r>
          </w:p>
          <w:p>
            <w:pPr>
              <w:spacing w:after="0"/>
            </w:pPr>
            <w:r>
              <w:rPr>
                <w:rFonts w:ascii="Consolas" w:hAnsi="Consolas"/>
                <w:b w:val="0"/>
                <w:i w:val="0"/>
                <w:sz w:val="15"/>
              </w:rPr>
              <w:t xml:space="preserve">  },</w:t>
            </w:r>
          </w:p>
          <w:p>
            <w:pPr>
              <w:spacing w:after="0"/>
            </w:pPr>
            <w:r>
              <w:rPr>
                <w:rFonts w:ascii="Consolas" w:hAnsi="Consolas"/>
                <w:b w:val="0"/>
                <w:i w:val="0"/>
                <w:sz w:val="15"/>
              </w:rPr>
              <w:t xml:space="preserve">  "combined_range": {</w:t>
            </w:r>
          </w:p>
          <w:p>
            <w:pPr>
              <w:spacing w:after="0"/>
            </w:pPr>
            <w:r>
              <w:rPr>
                <w:rFonts w:ascii="Consolas" w:hAnsi="Consolas"/>
                <w:b w:val="0"/>
                <w:i w:val="0"/>
                <w:sz w:val="15"/>
              </w:rPr>
              <w:t xml:space="preserve">    "episodes": [30,40],</w:t>
            </w:r>
          </w:p>
          <w:p>
            <w:pPr>
              <w:spacing w:after="0"/>
            </w:pPr>
            <w:r>
              <w:rPr>
                <w:rFonts w:ascii="Consolas" w:hAnsi="Consolas"/>
                <w:b w:val="0"/>
                <w:i w:val="0"/>
                <w:sz w:val="15"/>
              </w:rPr>
              <w:t xml:space="preserve">    "sessions_per_week": 5,</w:t>
            </w:r>
          </w:p>
          <w:p>
            <w:pPr>
              <w:spacing w:after="0"/>
            </w:pPr>
            <w:r>
              <w:rPr>
                <w:rFonts w:ascii="Consolas" w:hAnsi="Consolas"/>
                <w:b w:val="0"/>
                <w:i w:val="0"/>
                <w:sz w:val="15"/>
              </w:rPr>
              <w:t xml:space="preserve">    "course_weeks": [6.0,8.0]</w:t>
            </w:r>
          </w:p>
          <w:p>
            <w:pPr>
              <w:spacing w:after="0"/>
            </w:pPr>
            <w:r>
              <w:rPr>
                <w:rFonts w:ascii="Consolas" w:hAnsi="Consolas"/>
                <w:b w:val="0"/>
                <w:i w:val="0"/>
                <w:sz w:val="15"/>
              </w:rPr>
              <w:t xml:space="preserve">  },</w:t>
            </w:r>
          </w:p>
          <w:p>
            <w:pPr>
              <w:spacing w:after="0"/>
            </w:pPr>
            <w:r>
              <w:rPr>
                <w:rFonts w:ascii="Consolas" w:hAnsi="Consolas"/>
                <w:b w:val="0"/>
                <w:i w:val="0"/>
                <w:sz w:val="15"/>
              </w:rPr>
              <w:t xml:space="preserve">  "scheduled_facility_hours_per_episode": {</w:t>
            </w:r>
          </w:p>
          <w:p>
            <w:pPr>
              <w:spacing w:after="0"/>
            </w:pPr>
            <w:r>
              <w:rPr>
                <w:rFonts w:ascii="Consolas" w:hAnsi="Consolas"/>
                <w:b w:val="0"/>
                <w:i w:val="0"/>
                <w:sz w:val="15"/>
              </w:rPr>
              <w:t xml:space="preserve">    "value": 3.0,</w:t>
            </w:r>
          </w:p>
          <w:p>
            <w:pPr>
              <w:spacing w:after="0"/>
            </w:pPr>
            <w:r>
              <w:rPr>
                <w:rFonts w:ascii="Consolas" w:hAnsi="Consolas"/>
                <w:b w:val="0"/>
                <w:i w:val="0"/>
                <w:sz w:val="15"/>
              </w:rPr>
              <w:t xml:space="preserve">    "unit": "h"</w:t>
            </w:r>
          </w:p>
          <w:p>
            <w:pPr>
              <w:spacing w:after="0"/>
            </w:pPr>
            <w:r>
              <w:rPr>
                <w:rFonts w:ascii="Consolas" w:hAnsi="Consolas"/>
                <w:b w:val="0"/>
                <w:i w:val="0"/>
                <w:sz w:val="15"/>
              </w:rPr>
              <w:t xml:space="preserve">  },</w:t>
            </w:r>
          </w:p>
          <w:p>
            <w:pPr>
              <w:spacing w:after="0"/>
            </w:pPr>
            <w:r>
              <w:rPr>
                <w:rFonts w:ascii="Consolas" w:hAnsi="Consolas"/>
                <w:b w:val="0"/>
                <w:i w:val="0"/>
                <w:sz w:val="15"/>
              </w:rPr>
              <w:t xml:space="preserve">  "tailored_to_patient": false,</w:t>
            </w:r>
          </w:p>
          <w:p>
            <w:pPr>
              <w:spacing w:after="0"/>
            </w:pPr>
            <w:r>
              <w:rPr>
                <w:rFonts w:ascii="Consolas" w:hAnsi="Consolas"/>
                <w:b w:val="0"/>
                <w:i w:val="0"/>
                <w:sz w:val="15"/>
              </w:rPr>
              <w:t xml:space="preserve">  "display_label": "General DFU HBOT planning range: approximately 30–40 episodes, usually five per week, over approximately 6–8 weeks."</w:t>
            </w:r>
          </w:p>
          <w:p>
            <w:pPr>
              <w:spacing w:after="0"/>
            </w:pPr>
            <w:r>
              <w:rPr>
                <w:rFonts w:ascii="Consolas" w:hAnsi="Consolas"/>
                <w:b w:val="0"/>
                <w:i w:val="0"/>
                <w:sz w:val="15"/>
              </w:rPr>
              <w:t>}</w:t>
            </w:r>
          </w:p>
        </w:tc>
      </w:tr>
    </w:tbl>
    <w:p>
      <w:pPr>
        <w:spacing w:after="20"/>
      </w:pPr>
    </w:p>
    <w:p>
      <w:pPr>
        <w:pStyle w:val="Heading3"/>
      </w:pPr>
      <w:r>
        <w:t>3.2.1 Tabular Representation</w:t>
      </w:r>
    </w:p>
    <w:p>
      <w:r>
        <w:rPr>
          <w:rFonts w:ascii="Aptos" w:hAnsi="Aptos"/>
          <w:b w:val="0"/>
          <w:i w:val="0"/>
          <w:sz w:val="18"/>
        </w:rPr>
        <w:t>The following table is a normative row-wise representation of the same Fixed Regimen Range Response. It introduces no additional fields or values. The JSON object and this table SHALL be semantically identical; if an editorial inconsistency is discovered, the exact field paths and fixed values in this table SHALL be used to identify the discrepancy before release.</w:t>
      </w:r>
    </w:p>
    <w:tbl>
      <w:tblPr>
        <w:tblW w:type="dxa" w:w="9360"/>
        <w:tblLayout w:type="fixed"/>
        <w:tblLook w:firstColumn="1" w:firstRow="1" w:lastColumn="0" w:lastRow="0" w:noHBand="0" w:noVBand="1" w:val="04A0"/>
        <w:tblInd w:w="120" w:type="dxa"/>
      </w:tblPr>
      <w:tblGrid>
        <w:gridCol w:w="2500"/>
        <w:gridCol w:w="600"/>
        <w:gridCol w:w="1500"/>
        <w:gridCol w:w="2400"/>
        <w:gridCol w:w="2360"/>
      </w:tblGrid>
      <w:tr>
        <w:trPr>
          <w:cantSplit w:val="true"/>
          <w:tblHeader w:val="true"/>
        </w:trPr>
        <w:tc>
          <w:tcPr>
            <w:tcW w:type="dxa" w:w="25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FIELD PATH</w:t>
            </w:r>
          </w:p>
        </w:tc>
        <w:tc>
          <w:tcPr>
            <w:tcW w:type="dxa" w:w="6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CARD.</w:t>
            </w:r>
          </w:p>
        </w:tc>
        <w:tc>
          <w:tcPr>
            <w:tcW w:type="dxa" w:w="15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TYPE / UNIT</w:t>
            </w:r>
          </w:p>
        </w:tc>
        <w:tc>
          <w:tcPr>
            <w:tcW w:type="dxa" w:w="24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FIXED VALUE</w:t>
            </w:r>
          </w:p>
        </w:tc>
        <w:tc>
          <w:tcPr>
            <w:tcW w:type="dxa" w:w="236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MEANING</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specification_iri</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absolute HTTPS IRI</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https://kgrid.org/cks/dfu-hbot-burden/versions/cks-1.0</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Identifies the exact governing CKS version</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response_type</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closed string</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fixed_regimen_range_response</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Identifies this predetermined artifact type</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response_model_iri</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absolute HTTPS IRI</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https://kgrid.org/cks/dfu-hbot-burden/response-models/1.0</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Identifies this response contract version</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status</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closed string</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completed</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Response is complete and usable after validation</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knowledge_package_iri</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absolute HTTPS IRI</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https://kgrid.org/cks/dfu-hbot-burden/knowledge-packages/general-dfu-regimen/versions/1.0</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Identifies the governed source package version</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knowledge_scope</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closed string</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general_not_patient_specific</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Declares that values are not tailored</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indication</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closed string</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diabetes_related_foot_ulcer</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Limits the artifact to DFU</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shorter_regimen_scenario.episodes</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integer / episode</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30</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Lower-episode planning anchor</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shorter_regimen_scenario.sessions_per_week</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integer / episode·week⁻¹</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5</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Weekly frequency for shorter scenario</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shorter_regimen_scenario.course_weeks</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number / week</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6.0</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Derived as 30 ÷ 5</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longer_regimen_scenario.episodes</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integer / episode</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40</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Upper-episode planning anchor</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longer_regimen_scenario.sessions_per_week</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integer / episode·week⁻¹</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5</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Weekly frequency for longer scenario</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longer_regimen_scenario.course_weeks</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number / week</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8.0</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Derived as 40 ÷ 5</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combined_range.episodes</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2-integer array / episode</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[30,40]</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Lower-to-upper episode interval</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combined_range.sessions_per_week</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integer / episode·week⁻¹</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5</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Common weekly frequency</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combined_range.course_weeks</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2-number array / week</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[6.0,8.0]</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Lower-to-upper course-week interval</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scheduled_facility_hours_per_episode.value</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number / h·episode⁻¹</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3.0</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Single worst-case scheduled facility-time planning multiplier</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scheduled_facility_hours_per_episode.unit</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closed string</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Declares hours; no conversion permitted</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tailored_to_patient</w:t>
            </w:r>
          </w:p>
        </w:tc>
        <w:tc>
          <w:tcPr>
            <w:tcW w:type="dxa" w:w="600"/>
            <w:tcMar>
              <w:top w:w="100" w:type="dxa"/>
              <w:start w:w="120" w:type="dxa"/>
              <w:bottom w:w="100" w:type="dxa"/>
              <w:end w:w="120" w:type="dxa"/>
            </w:tcMar>
            <w:vAlign w:val="center"/>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1"/>
              </w:rPr>
              <w:t>boolean</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1"/>
              </w:rPr>
              <w:t>false</w:t>
            </w:r>
          </w:p>
        </w:tc>
        <w:tc>
          <w:tcPr>
            <w:tcW w:type="dxa" w:w="2360"/>
            <w:tcMar>
              <w:top w:w="100" w:type="dxa"/>
              <w:start w:w="120" w:type="dxa"/>
              <w:bottom w:w="100" w:type="dxa"/>
              <w:end w:w="120" w:type="dxa"/>
            </w:tcMar>
            <w:vAlign w:val="center"/>
          </w:tcPr>
          <w:p>
            <w:pPr>
              <w:spacing w:after="0" w:line="240" w:lineRule="auto"/>
            </w:pPr>
            <w:r>
              <w:rPr>
                <w:rFonts w:ascii="Aptos" w:hAnsi="Aptos"/>
                <w:b w:val="0"/>
                <w:i w:val="0"/>
                <w:color w:val="000000"/>
                <w:sz w:val="11"/>
              </w:rPr>
              <w:t>Confirms patient-independent knowledge</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display_label</w:t>
            </w:r>
          </w:p>
        </w:tc>
        <w:tc>
          <w:tcPr>
            <w:tcW w:type="dxa" w:w="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1..1</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string</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General DFU HBOT planning range: approximately 30–40 episodes, usually five per week, over approximately 6–8 weeks.</w:t>
            </w:r>
          </w:p>
        </w:tc>
        <w:tc>
          <w:tcPr>
            <w:tcW w:type="dxa" w:w="2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Required patient-facing summary</w:t>
            </w:r>
          </w:p>
        </w:tc>
      </w:tr>
    </w:tbl>
    <w:p>
      <w:pPr>
        <w:spacing w:after="20"/>
      </w:pPr>
    </w:p>
    <w:p>
      <w:r>
        <w:rPr>
          <w:rFonts w:ascii="Aptos" w:hAnsi="Aptos"/>
          <w:b w:val="0"/>
          <w:i w:val="0"/>
          <w:sz w:val="18"/>
        </w:rPr>
        <w:t>shorter_regimen_scenario is the lower-episode planning scenario and longer_regimen_scenario is the upper-episode planning scenario. These labels are relative within this bounded range and do not assert a standard course, preferred course, expected prescription, probability distribution, or patient-specific recommendation. Both scenarios SHALL always be returned together from the same knowledge package.</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MEANING OF FIXED  </w:t>
            </w:r>
            <w:r>
              <w:rPr>
                <w:rFonts w:ascii="Aptos" w:hAnsi="Aptos"/>
                <w:b w:val="0"/>
                <w:i w:val="0"/>
                <w:sz w:val="18"/>
              </w:rPr>
              <w:t>Fixed Regimen Range Response names a predetermined governed knowledge artifact. It is not a response to an open-ended clinical question, a free-text answer, or a patient-derived result. For a given knowledge-package version, every valid show_regimen_range request SHALL return the same fixed values.</w:t>
            </w:r>
          </w:p>
        </w:tc>
      </w:tr>
    </w:tbl>
    <w:p>
      <w:pPr>
        <w:spacing w:after="20"/>
      </w:pPr>
    </w:p>
    <w:p>
      <w:pPr>
        <w:pStyle w:val="Heading2"/>
      </w:pPr>
      <w:r>
        <w:t>3.3 Computational Completeness and Validation</w:t>
      </w:r>
    </w:p>
    <w:p>
      <w:r>
        <w:rPr>
          <w:rFonts w:ascii="Aptos" w:hAnsi="Aptos"/>
          <w:b w:val="0"/>
          <w:i w:val="0"/>
          <w:sz w:val="18"/>
        </w:rPr>
        <w:t>The Fixed Regimen Range Response is the sole source of every regimen-dependent numeric value consumed by Burden Response Analysis. No numeric regimen or facility-time parameter may be read from application configuration, inferred from display text, supplied by the questionnaire, or obtained from another knowledge lookup.</w:t>
      </w:r>
    </w:p>
    <w:tbl>
      <w:tblPr>
        <w:tblW w:type="dxa" w:w="9360"/>
        <w:tblLayout w:type="fixed"/>
        <w:tblLook w:firstColumn="1" w:firstRow="1" w:lastColumn="0" w:lastRow="0" w:noHBand="0" w:noVBand="1" w:val="04A0"/>
        <w:tblInd w:w="120" w:type="dxa"/>
      </w:tblPr>
      <w:tblGrid>
        <w:gridCol w:w="1500"/>
        <w:gridCol w:w="3500"/>
        <w:gridCol w:w="2200"/>
        <w:gridCol w:w="2160"/>
      </w:tblGrid>
      <w:tr>
        <w:trPr>
          <w:cantSplit w:val="true"/>
          <w:tblHeader w:val="true"/>
        </w:trPr>
        <w:tc>
          <w:tcPr>
            <w:tcW w:type="dxa" w:w="15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ANALYSIS SYMBOL</w:t>
            </w:r>
          </w:p>
        </w:tc>
        <w:tc>
          <w:tcPr>
            <w:tcW w:type="dxa" w:w="35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REQUIRED RESPONSE PATH</w:t>
            </w:r>
          </w:p>
        </w:tc>
        <w:tc>
          <w:tcPr>
            <w:tcW w:type="dxa" w:w="2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EXACT VALUE / TYPE</w:t>
            </w:r>
          </w:p>
        </w:tc>
        <w:tc>
          <w:tcPr>
            <w:tcW w:type="dxa" w:w="21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COMPUTATIONAL ROLE</w:t>
            </w:r>
          </w:p>
        </w:tc>
      </w:tr>
      <w:tr>
        <w:trPr>
          <w:cantSplit w:val="true"/>
        </w:trPr>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2"/>
              </w:rPr>
              <w:t>Vshorter</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shorter_regimen_scenario.episodes</w:t>
            </w:r>
          </w:p>
        </w:tc>
        <w:tc>
          <w:tcPr>
            <w:tcW w:type="dxa" w:w="2200"/>
            <w:tcMar>
              <w:top w:w="100" w:type="dxa"/>
              <w:start w:w="120" w:type="dxa"/>
              <w:bottom w:w="100" w:type="dxa"/>
              <w:end w:w="120" w:type="dxa"/>
            </w:tcMar>
            <w:vAlign w:val="center"/>
          </w:tcPr>
          <w:p>
            <w:pPr>
              <w:spacing w:after="0" w:line="240" w:lineRule="auto"/>
            </w:pPr>
            <w:r>
              <w:rPr>
                <w:rFonts w:ascii="Aptos" w:hAnsi="Aptos"/>
                <w:b w:val="0"/>
                <w:i w:val="0"/>
                <w:color w:val="000000"/>
                <w:sz w:val="12"/>
              </w:rPr>
              <w:t>integer 30</w:t>
            </w:r>
          </w:p>
        </w:tc>
        <w:tc>
          <w:tcPr>
            <w:tcW w:type="dxa" w:w="2160"/>
            <w:tcMar>
              <w:top w:w="100" w:type="dxa"/>
              <w:start w:w="120" w:type="dxa"/>
              <w:bottom w:w="100" w:type="dxa"/>
              <w:end w:w="120" w:type="dxa"/>
            </w:tcMar>
            <w:vAlign w:val="center"/>
          </w:tcPr>
          <w:p>
            <w:pPr>
              <w:spacing w:after="0" w:line="240" w:lineRule="auto"/>
            </w:pPr>
            <w:r>
              <w:rPr>
                <w:rFonts w:ascii="Aptos" w:hAnsi="Aptos"/>
                <w:b w:val="0"/>
                <w:i w:val="0"/>
                <w:color w:val="000000"/>
                <w:sz w:val="12"/>
              </w:rPr>
              <w:t>Episode multiplier for shorter scenario</w:t>
            </w:r>
          </w:p>
        </w:tc>
      </w:tr>
      <w:tr>
        <w:trPr>
          <w:cantSplit w:val="true"/>
        </w:trPr>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Vlonger</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longer_regimen_scenario.episodes</w:t>
            </w:r>
          </w:p>
        </w:tc>
        <w:tc>
          <w:tcPr>
            <w:tcW w:type="dxa" w:w="2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integer 40</w:t>
            </w:r>
          </w:p>
        </w:tc>
        <w:tc>
          <w:tcPr>
            <w:tcW w:type="dxa" w:w="21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Episode multiplier for longer scenario</w:t>
            </w:r>
          </w:p>
        </w:tc>
      </w:tr>
      <w:tr>
        <w:trPr>
          <w:cantSplit w:val="true"/>
        </w:trPr>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2"/>
              </w:rPr>
              <w:t>S</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shorter/longer_regimen_scenario.sessions_per_week</w:t>
            </w:r>
          </w:p>
        </w:tc>
        <w:tc>
          <w:tcPr>
            <w:tcW w:type="dxa" w:w="2200"/>
            <w:tcMar>
              <w:top w:w="100" w:type="dxa"/>
              <w:start w:w="120" w:type="dxa"/>
              <w:bottom w:w="100" w:type="dxa"/>
              <w:end w:w="120" w:type="dxa"/>
            </w:tcMar>
            <w:vAlign w:val="center"/>
          </w:tcPr>
          <w:p>
            <w:pPr>
              <w:spacing w:after="0" w:line="240" w:lineRule="auto"/>
            </w:pPr>
            <w:r>
              <w:rPr>
                <w:rFonts w:ascii="Aptos" w:hAnsi="Aptos"/>
                <w:b w:val="0"/>
                <w:i w:val="0"/>
                <w:color w:val="000000"/>
                <w:sz w:val="12"/>
              </w:rPr>
              <w:t>integer 5 in both scenarios</w:t>
            </w:r>
          </w:p>
        </w:tc>
        <w:tc>
          <w:tcPr>
            <w:tcW w:type="dxa" w:w="2160"/>
            <w:tcMar>
              <w:top w:w="100" w:type="dxa"/>
              <w:start w:w="120" w:type="dxa"/>
              <w:bottom w:w="100" w:type="dxa"/>
              <w:end w:w="120" w:type="dxa"/>
            </w:tcMar>
            <w:vAlign w:val="center"/>
          </w:tcPr>
          <w:p>
            <w:pPr>
              <w:spacing w:after="0" w:line="240" w:lineRule="auto"/>
            </w:pPr>
            <w:r>
              <w:rPr>
                <w:rFonts w:ascii="Aptos" w:hAnsi="Aptos"/>
                <w:b w:val="0"/>
                <w:i w:val="0"/>
                <w:color w:val="000000"/>
                <w:sz w:val="12"/>
              </w:rPr>
              <w:t>Course-week derivation</w:t>
            </w:r>
          </w:p>
        </w:tc>
      </w:tr>
      <w:tr>
        <w:trPr>
          <w:cantSplit w:val="true"/>
        </w:trPr>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Wshorter</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shorter_regimen_scenario.course_weeks</w:t>
            </w:r>
          </w:p>
        </w:tc>
        <w:tc>
          <w:tcPr>
            <w:tcW w:type="dxa" w:w="2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number 6.0</w:t>
            </w:r>
          </w:p>
        </w:tc>
        <w:tc>
          <w:tcPr>
            <w:tcW w:type="dxa" w:w="21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Required derived value; validate against 30 ÷ 5</w:t>
            </w:r>
          </w:p>
        </w:tc>
      </w:tr>
      <w:tr>
        <w:trPr>
          <w:cantSplit w:val="true"/>
        </w:trPr>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2"/>
              </w:rPr>
              <w:t>Wlonger</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longer_regimen_scenario.course_weeks</w:t>
            </w:r>
          </w:p>
        </w:tc>
        <w:tc>
          <w:tcPr>
            <w:tcW w:type="dxa" w:w="2200"/>
            <w:tcMar>
              <w:top w:w="100" w:type="dxa"/>
              <w:start w:w="120" w:type="dxa"/>
              <w:bottom w:w="100" w:type="dxa"/>
              <w:end w:w="120" w:type="dxa"/>
            </w:tcMar>
            <w:vAlign w:val="center"/>
          </w:tcPr>
          <w:p>
            <w:pPr>
              <w:spacing w:after="0" w:line="240" w:lineRule="auto"/>
            </w:pPr>
            <w:r>
              <w:rPr>
                <w:rFonts w:ascii="Aptos" w:hAnsi="Aptos"/>
                <w:b w:val="0"/>
                <w:i w:val="0"/>
                <w:color w:val="000000"/>
                <w:sz w:val="12"/>
              </w:rPr>
              <w:t>number 8.0</w:t>
            </w:r>
          </w:p>
        </w:tc>
        <w:tc>
          <w:tcPr>
            <w:tcW w:type="dxa" w:w="2160"/>
            <w:tcMar>
              <w:top w:w="100" w:type="dxa"/>
              <w:start w:w="120" w:type="dxa"/>
              <w:bottom w:w="100" w:type="dxa"/>
              <w:end w:w="120" w:type="dxa"/>
            </w:tcMar>
            <w:vAlign w:val="center"/>
          </w:tcPr>
          <w:p>
            <w:pPr>
              <w:spacing w:after="0" w:line="240" w:lineRule="auto"/>
            </w:pPr>
            <w:r>
              <w:rPr>
                <w:rFonts w:ascii="Aptos" w:hAnsi="Aptos"/>
                <w:b w:val="0"/>
                <w:i w:val="0"/>
                <w:color w:val="000000"/>
                <w:sz w:val="12"/>
              </w:rPr>
              <w:t>Required derived value; validate against 40 ÷ 5</w:t>
            </w:r>
          </w:p>
        </w:tc>
      </w:tr>
      <w:tr>
        <w:trPr>
          <w:cantSplit w:val="true"/>
        </w:trPr>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scheduled_facility_hours_per_episode.value</w:t>
            </w:r>
          </w:p>
        </w:tc>
        <w:tc>
          <w:tcPr>
            <w:tcW w:type="dxa" w:w="2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number 3.0</w:t>
            </w:r>
          </w:p>
        </w:tc>
        <w:tc>
          <w:tcPr>
            <w:tcW w:type="dxa" w:w="21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Single scheduled facility-time multiplier</w:t>
            </w:r>
          </w:p>
        </w:tc>
      </w:tr>
      <w:tr>
        <w:trPr>
          <w:cantSplit w:val="true"/>
        </w:trPr>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2"/>
              </w:rPr>
              <w:t>Funit</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scheduled_facility_hours_per_episode.unit</w:t>
            </w:r>
          </w:p>
        </w:tc>
        <w:tc>
          <w:tcPr>
            <w:tcW w:type="dxa" w:w="2200"/>
            <w:tcMar>
              <w:top w:w="100" w:type="dxa"/>
              <w:start w:w="120" w:type="dxa"/>
              <w:bottom w:w="100" w:type="dxa"/>
              <w:end w:w="120" w:type="dxa"/>
            </w:tcMar>
            <w:vAlign w:val="center"/>
          </w:tcPr>
          <w:p>
            <w:pPr>
              <w:spacing w:after="0" w:line="240" w:lineRule="auto"/>
            </w:pPr>
            <w:r>
              <w:rPr>
                <w:rFonts w:ascii="Aptos" w:hAnsi="Aptos"/>
                <w:b w:val="0"/>
                <w:i w:val="0"/>
                <w:color w:val="000000"/>
                <w:sz w:val="12"/>
              </w:rPr>
              <w:t>closed string h</w:t>
            </w:r>
          </w:p>
        </w:tc>
        <w:tc>
          <w:tcPr>
            <w:tcW w:type="dxa" w:w="2160"/>
            <w:tcMar>
              <w:top w:w="100" w:type="dxa"/>
              <w:start w:w="120" w:type="dxa"/>
              <w:bottom w:w="100" w:type="dxa"/>
              <w:end w:w="120" w:type="dxa"/>
            </w:tcMar>
            <w:vAlign w:val="center"/>
          </w:tcPr>
          <w:p>
            <w:pPr>
              <w:spacing w:after="0" w:line="240" w:lineRule="auto"/>
            </w:pPr>
            <w:r>
              <w:rPr>
                <w:rFonts w:ascii="Aptos" w:hAnsi="Aptos"/>
                <w:b w:val="0"/>
                <w:i w:val="0"/>
                <w:color w:val="000000"/>
                <w:sz w:val="12"/>
              </w:rPr>
              <w:t>Declares hours; no unit conversion permitted</w:t>
            </w:r>
          </w:p>
        </w:tc>
      </w:tr>
    </w:tbl>
    <w:p>
      <w:pPr>
        <w:spacing w:after="20"/>
      </w:pPr>
    </w:p>
    <w:p>
      <w:r>
        <w:rPr>
          <w:rFonts w:ascii="Aptos" w:hAnsi="Aptos"/>
          <w:b w:val="0"/>
          <w:i w:val="0"/>
          <w:sz w:val="18"/>
        </w:rPr>
        <w:t>Before analysis, the realization SHALL enforce all of the following invariants in order.</w:t>
      </w:r>
    </w:p>
    <w:p>
      <w:pPr>
        <w:pStyle w:val="ListNumber"/>
        <w:numPr>
          <w:ilvl w:val="0"/>
          <w:numId w:val="20"/>
        </w:numPr>
        <w:spacing w:after="20"/>
      </w:pPr>
      <w:r>
        <w:rPr>
          <w:rFonts w:ascii="Aptos" w:hAnsi="Aptos"/>
          <w:b w:val="0"/>
          <w:i w:val="0"/>
          <w:sz w:val="18"/>
        </w:rPr>
        <w:t>specification_iri, response_model_iri, and knowledge_package_iri equal the exact Version 1.0 IRIs specified by this CKS; response_type equals fixed_regimen_range_response; status equals completed; knowledge_scope equals general_not_patient_specific; indication equals diabetes_related_foot_ulcer; and tailored_to_patient is false.</w:t>
      </w:r>
    </w:p>
    <w:p>
      <w:pPr>
        <w:pStyle w:val="ListNumber"/>
        <w:numPr>
          <w:ilvl w:val="0"/>
          <w:numId w:val="20"/>
        </w:numPr>
        <w:spacing w:after="20"/>
      </w:pPr>
      <w:r>
        <w:rPr>
          <w:rFonts w:ascii="Aptos" w:hAnsi="Aptos"/>
          <w:b w:val="0"/>
          <w:i w:val="0"/>
          <w:sz w:val="18"/>
        </w:rPr>
        <w:t>Both scenario objects, combined_range, scheduled_facility_hours_per_episode, and display_label are present, non-null, and uniquely named.</w:t>
      </w:r>
    </w:p>
    <w:p>
      <w:pPr>
        <w:pStyle w:val="ListNumber"/>
        <w:numPr>
          <w:ilvl w:val="0"/>
          <w:numId w:val="20"/>
        </w:numPr>
        <w:spacing w:after="20"/>
      </w:pPr>
      <w:r>
        <w:rPr>
          <w:rFonts w:ascii="Aptos" w:hAnsi="Aptos"/>
          <w:b w:val="0"/>
          <w:i w:val="0"/>
          <w:sz w:val="18"/>
        </w:rPr>
        <w:t>Vshorter and Vlonger are positive integers and Vshorter &lt; Vlonger.</w:t>
      </w:r>
    </w:p>
    <w:p>
      <w:pPr>
        <w:pStyle w:val="ListNumber"/>
        <w:numPr>
          <w:ilvl w:val="0"/>
          <w:numId w:val="20"/>
        </w:numPr>
        <w:spacing w:after="20"/>
      </w:pPr>
      <w:r>
        <w:rPr>
          <w:rFonts w:ascii="Aptos" w:hAnsi="Aptos"/>
          <w:b w:val="0"/>
          <w:i w:val="0"/>
          <w:sz w:val="18"/>
        </w:rPr>
        <w:t>The sessions-per-week value is a positive integer, is identical in both scenarios, and equals combined_range.sessions_per_week.</w:t>
      </w:r>
    </w:p>
    <w:p>
      <w:pPr>
        <w:pStyle w:val="ListNumber"/>
        <w:numPr>
          <w:ilvl w:val="0"/>
          <w:numId w:val="20"/>
        </w:numPr>
        <w:spacing w:after="20"/>
      </w:pPr>
      <w:r>
        <w:rPr>
          <w:rFonts w:ascii="Aptos" w:hAnsi="Aptos"/>
          <w:b w:val="0"/>
          <w:i w:val="0"/>
          <w:sz w:val="18"/>
        </w:rPr>
        <w:t>Each course_weeks value equals episodes ÷ sessions_per_week exactly before display formatting.</w:t>
      </w:r>
    </w:p>
    <w:p>
      <w:pPr>
        <w:pStyle w:val="ListNumber"/>
        <w:numPr>
          <w:ilvl w:val="0"/>
          <w:numId w:val="20"/>
        </w:numPr>
        <w:spacing w:after="20"/>
      </w:pPr>
      <w:r>
        <w:rPr>
          <w:rFonts w:ascii="Aptos" w:hAnsi="Aptos"/>
          <w:b w:val="0"/>
          <w:i w:val="0"/>
          <w:sz w:val="18"/>
        </w:rPr>
        <w:t>combined_range.episodes equals [Vshorter,Vlonger] and combined_range.course_weeks equals [Wshorter,Wlonger] in lower-to-upper order.</w:t>
      </w:r>
    </w:p>
    <w:p>
      <w:pPr>
        <w:pStyle w:val="ListNumber"/>
        <w:numPr>
          <w:ilvl w:val="0"/>
          <w:numId w:val="20"/>
        </w:numPr>
        <w:spacing w:after="20"/>
      </w:pPr>
      <w:r>
        <w:rPr>
          <w:rFonts w:ascii="Aptos" w:hAnsi="Aptos"/>
          <w:b w:val="0"/>
          <w:i w:val="0"/>
          <w:sz w:val="18"/>
        </w:rPr>
        <w:t>F is the finite positive number 3.0 and Funit equals h.</w:t>
      </w:r>
    </w:p>
    <w:p>
      <w:pPr>
        <w:pStyle w:val="ListNumber"/>
        <w:numPr>
          <w:ilvl w:val="0"/>
          <w:numId w:val="20"/>
        </w:numPr>
        <w:spacing w:after="20"/>
      </w:pPr>
      <w:r>
        <w:rPr>
          <w:rFonts w:ascii="Aptos" w:hAnsi="Aptos"/>
          <w:b w:val="0"/>
          <w:i w:val="0"/>
          <w:sz w:val="18"/>
        </w:rPr>
        <w:t>No value is coerced. An invalid or inconsistent response is a dependency-validation failure; analysis arithmetic SHALL NOT begin and no Burden Response Analysis result SHALL be emitted.</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FACILITY-TIME ASSUMPTION  </w:t>
            </w:r>
            <w:r>
              <w:rPr>
                <w:rFonts w:ascii="Aptos" w:hAnsi="Aptos"/>
                <w:b w:val="0"/>
                <w:i w:val="0"/>
                <w:sz w:val="18"/>
              </w:rPr>
              <w:t>The single 3.0-hour value is a realistic worst-case scheduled facility-time planning assumption per treatment episode. It includes the chamber session and routine non-travel treatment-day activities represented by RK-09. It is not oxygen-exposure time, observed door-to-door elapsed time, an interval, or a patient-specific prediction. The engine SHALL multiply it once per episode and SHALL NOT add RK-08 separately.</w:t>
            </w:r>
          </w:p>
        </w:tc>
      </w:tr>
    </w:tbl>
    <w:p>
      <w:pPr>
        <w:spacing w:after="20"/>
      </w:pPr>
    </w:p>
    <w:p>
      <w:r>
        <w:rPr>
          <w:rFonts w:ascii="Aptos" w:hAnsi="Aptos"/>
          <w:b w:val="0"/>
          <w:i w:val="0"/>
          <w:sz w:val="18"/>
        </w:rPr>
        <w:t>Treatment pressure, oxygen-exposure duration, reassessment, and continuation knowledge remain part of the complete General DFU Regimen Knowledge Package for context and provenance. They are not computational parameters of this burden engine and SHALL NOT alter its arithmetic.</w:t>
      </w:r>
    </w:p>
    <w:p>
      <w:pPr>
        <w:pStyle w:val="Heading2"/>
      </w:pPr>
      <w:r>
        <w:t>3.4 Regimen Range Display and Handoff</w:t>
      </w:r>
    </w:p>
    <w:p>
      <w:pPr>
        <w:pStyle w:val="ListBullet"/>
        <w:spacing w:after="20"/>
      </w:pPr>
      <w:r>
        <w:rPr>
          <w:rFonts w:ascii="Aptos" w:hAnsi="Aptos"/>
          <w:b w:val="0"/>
          <w:i w:val="0"/>
          <w:sz w:val="18"/>
        </w:rPr>
        <w:t>A user-facing realization SHALL offer an action labeled “Show the regimen range” or semantically equivalent wording.</w:t>
      </w:r>
    </w:p>
    <w:p>
      <w:pPr>
        <w:pStyle w:val="ListBullet"/>
        <w:spacing w:after="20"/>
      </w:pPr>
      <w:r>
        <w:rPr>
          <w:rFonts w:ascii="Aptos" w:hAnsi="Aptos"/>
          <w:b w:val="0"/>
          <w:i w:val="0"/>
          <w:sz w:val="18"/>
        </w:rPr>
        <w:t>The display SHALL show the shorter and longer scenarios side by side and SHALL state that neither was selected for the patient.</w:t>
      </w:r>
    </w:p>
    <w:p>
      <w:pPr>
        <w:pStyle w:val="ListBullet"/>
        <w:spacing w:after="20"/>
      </w:pPr>
      <w:r>
        <w:rPr>
          <w:rFonts w:ascii="Aptos" w:hAnsi="Aptos"/>
          <w:b w:val="0"/>
          <w:i w:val="0"/>
          <w:sz w:val="18"/>
        </w:rPr>
        <w:t>Burden Questionnaire Logic MAY display the response for orientation, but SHALL NOT register any regimen property as a questionnaire answer.</w:t>
      </w:r>
    </w:p>
    <w:p>
      <w:pPr>
        <w:pStyle w:val="ListBullet"/>
        <w:spacing w:after="20"/>
      </w:pPr>
      <w:r>
        <w:rPr>
          <w:rFonts w:ascii="Aptos" w:hAnsi="Aptos"/>
          <w:b w:val="0"/>
          <w:i w:val="0"/>
          <w:sz w:val="18"/>
        </w:rPr>
        <w:t>Burden Response Analysis SHALL receive the complete Fixed Regimen Range Response as the fixed_regimen_range_response property of the single Section 5.1 analysis request. No hidden regimen lookup, configuration substitution, or alternative handoff is conformant.</w:t>
      </w:r>
    </w:p>
    <w:p>
      <w:pPr>
        <w:pStyle w:val="ListBullet"/>
        <w:spacing w:after="20"/>
      </w:pPr>
      <w:r>
        <w:rPr>
          <w:rFonts w:ascii="Aptos" w:hAnsi="Aptos"/>
          <w:b w:val="0"/>
          <w:i w:val="0"/>
          <w:sz w:val="18"/>
        </w:rPr>
        <w:t>If the Fixed Regimen Range Response is absent, invalid, internally inconsistent, or from a different knowledge-package version, Burden Response Analysis SHALL NOT run.</w:t>
      </w:r>
    </w:p>
    <w:p>
      <w:pPr>
        <w:pStyle w:val="Heading1"/>
      </w:pPr>
      <w:r>
        <w:t>4. Burden Questionnaire Logic</w:t>
      </w:r>
    </w:p>
    <w:p>
      <w:pPr>
        <w:pStyle w:val="Heading2"/>
      </w:pPr>
      <w:r>
        <w:t>4.1 Interaction Subject and Canonical Order</w:t>
      </w:r>
    </w:p>
    <w:p>
      <w:r>
        <w:rPr>
          <w:rFonts w:ascii="Aptos" w:hAnsi="Aptos"/>
          <w:b w:val="0"/>
          <w:i w:val="0"/>
          <w:sz w:val="18"/>
        </w:rPr>
        <w:t>One questionnaire instance SHALL concern one patient, one confirmed DFU, one contemplated DFU HBOT course, one intended hyperbaric oxygen therapy location, and one assessment event. The questionnaire SHALL use the fixed order Q01 through Q04 below. State or jurisdiction filtering is permitted only as a location-search aid within Q01; it is not a fifth question or registered patient input. Q02, Q03, and Q04 are dependent on the confirmed Q01 location.</w:t>
      </w:r>
    </w:p>
    <w:tbl>
      <w:tblPr>
        <w:tblW w:type="dxa" w:w="9360"/>
        <w:tblLayout w:type="fixed"/>
        <w:tblLook w:firstColumn="1" w:firstRow="1" w:lastColumn="0" w:lastRow="0" w:noHBand="0" w:noVBand="1" w:val="04A0"/>
        <w:tblInd w:w="120" w:type="dxa"/>
      </w:tblPr>
      <w:tblGrid>
        <w:gridCol w:w="900"/>
        <w:gridCol w:w="3500"/>
        <w:gridCol w:w="3000"/>
        <w:gridCol w:w="1960"/>
      </w:tblGrid>
      <w:tr>
        <w:trPr>
          <w:cantSplit w:val="true"/>
          <w:tblHeader w:val="true"/>
        </w:trPr>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ID</w:t>
            </w:r>
          </w:p>
        </w:tc>
        <w:tc>
          <w:tcPr>
            <w:tcW w:type="dxa" w:w="35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USER-FACING QUESTION</w:t>
            </w:r>
          </w:p>
        </w:tc>
        <w:tc>
          <w:tcPr>
            <w:tcW w:type="dxa" w:w="30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CONTROL</w:t>
            </w:r>
          </w:p>
        </w:tc>
        <w:tc>
          <w:tcPr>
            <w:tcW w:type="dxa" w:w="19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REGISTERED FIELD</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Q01</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3"/>
              </w:rPr>
              <w:t>Where will you receive hyperbaric oxygen therapy?</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3"/>
              </w:rPr>
              <w:t>Searchable Appendix E selector; state/jurisdiction filter; location confirmation card</w:t>
            </w:r>
          </w:p>
        </w:tc>
        <w:tc>
          <w:tcPr>
            <w:tcW w:type="dxa" w:w="1960"/>
            <w:tcMar>
              <w:top w:w="100" w:type="dxa"/>
              <w:start w:w="120" w:type="dxa"/>
              <w:bottom w:w="100" w:type="dxa"/>
              <w:end w:w="120" w:type="dxa"/>
            </w:tcMar>
            <w:vAlign w:val="center"/>
          </w:tcPr>
          <w:p>
            <w:pPr>
              <w:spacing w:after="0" w:line="240" w:lineRule="auto"/>
            </w:pPr>
            <w:r>
              <w:rPr>
                <w:rFonts w:ascii="Aptos" w:hAnsi="Aptos"/>
                <w:b w:val="0"/>
                <w:i w:val="0"/>
                <w:color w:val="000000"/>
                <w:sz w:val="13"/>
              </w:rPr>
              <w:t>hyperbaric_oxygen_therapy_location</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Q02</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About how many miles is it one way from where you usually start to this hyperbaric oxygen therapy location?</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Required bounded decimal; miles</w:t>
            </w:r>
          </w:p>
        </w:tc>
        <w:tc>
          <w:tcPr>
            <w:tcW w:type="dxa" w:w="1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one_way_miles</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Q03</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3"/>
              </w:rPr>
              <w:t>About how long does that trip usually take one way?</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3"/>
              </w:rPr>
              <w:t>Required hours-and-minutes control normalized to total minutes</w:t>
            </w:r>
          </w:p>
        </w:tc>
        <w:tc>
          <w:tcPr>
            <w:tcW w:type="dxa" w:w="1960"/>
            <w:tcMar>
              <w:top w:w="100" w:type="dxa"/>
              <w:start w:w="120" w:type="dxa"/>
              <w:bottom w:w="100" w:type="dxa"/>
              <w:end w:w="120" w:type="dxa"/>
            </w:tcMar>
            <w:vAlign w:val="center"/>
          </w:tcPr>
          <w:p>
            <w:pPr>
              <w:spacing w:after="0" w:line="240" w:lineRule="auto"/>
            </w:pPr>
            <w:r>
              <w:rPr>
                <w:rFonts w:ascii="Aptos" w:hAnsi="Aptos"/>
                <w:b w:val="0"/>
                <w:i w:val="0"/>
                <w:color w:val="000000"/>
                <w:sz w:val="13"/>
              </w:rPr>
              <w:t>one_way_travel_minutes</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Q04</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Thinking about receiving treatment at [confirmed location name] five weekdays per week for approximately 6–8 weeks—and apart from the miles and travel time you reported—how much difficulty do you expect with attending the scheduled treatments?</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Exactly one anchored response: No difficulty expected; Some difficulty expected; Major difficulty expected</w:t>
            </w:r>
          </w:p>
        </w:tc>
        <w:tc>
          <w:tcPr>
            <w:tcW w:type="dxa" w:w="1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weekday_attendance_difficulty</w:t>
            </w:r>
          </w:p>
        </w:tc>
      </w:tr>
    </w:tbl>
    <w:p>
      <w:pPr>
        <w:spacing w:after="20"/>
      </w:pPr>
    </w:p>
    <w:p>
      <w:pPr>
        <w:pStyle w:val="Heading2"/>
      </w:pPr>
      <w:r>
        <w:t>4.2 Response Coding and Question-specific Rules</w:t>
      </w:r>
    </w:p>
    <w:p>
      <w:pPr>
        <w:pStyle w:val="ListBullet"/>
        <w:spacing w:after="20"/>
      </w:pPr>
      <w:r>
        <w:rPr>
          <w:rFonts w:ascii="Aptos" w:hAnsi="Aptos"/>
          <w:b w:val="0"/>
          <w:i w:val="0"/>
          <w:sz w:val="18"/>
        </w:rPr>
        <w:t>Q01 SHALL store exactly one stable provider IRI from the selectable records of the bound Appendix E roster version. The interface MAY display the corresponding E-### compact alias but SHALL register the full provider IRI. It SHALL display and require confirmation of the corresponding location name and address and SHALL NOT silently substitute another location.</w:t>
      </w:r>
    </w:p>
    <w:p>
      <w:pPr>
        <w:pStyle w:val="ListBullet"/>
        <w:spacing w:after="20"/>
      </w:pPr>
      <w:r>
        <w:rPr>
          <w:rFonts w:ascii="Aptos" w:hAnsi="Aptos"/>
          <w:b w:val="0"/>
          <w:i w:val="0"/>
          <w:sz w:val="18"/>
        </w:rPr>
        <w:t>Q02 SHALL store a finite number from 0 through 1000. A user-entered zero SHALL trigger an explicit confirmation that no travel miles are required.</w:t>
      </w:r>
    </w:p>
    <w:p>
      <w:pPr>
        <w:pStyle w:val="ListBullet"/>
        <w:spacing w:after="20"/>
      </w:pPr>
      <w:r>
        <w:rPr>
          <w:rFonts w:ascii="Aptos" w:hAnsi="Aptos"/>
          <w:b w:val="0"/>
          <w:i w:val="0"/>
          <w:sz w:val="18"/>
        </w:rPr>
        <w:t>Q03 SHALL store a finite number of total minutes from 0 through 1440. An hours-and-minutes control MAY be used, but the registered value SHALL be total minutes. A user-entered zero SHALL trigger an explicit confirmation that no travel time is required.</w:t>
      </w:r>
    </w:p>
    <w:p>
      <w:pPr>
        <w:pStyle w:val="ListBullet"/>
        <w:spacing w:after="20"/>
      </w:pPr>
      <w:r>
        <w:rPr>
          <w:rFonts w:ascii="Aptos" w:hAnsi="Aptos"/>
          <w:b w:val="0"/>
          <w:i w:val="0"/>
          <w:sz w:val="18"/>
        </w:rPr>
        <w:t>Q04 SHALL be asked only after Q01 through Q03 are valid. The interface SHALL insert the confirmed Appendix E location name into the question and SHALL show the fixed planning frame of five weekday sessions per week for approximately 6–8 weeks.</w:t>
      </w:r>
    </w:p>
    <w:p>
      <w:pPr>
        <w:pStyle w:val="ListBullet"/>
        <w:spacing w:after="20"/>
      </w:pPr>
      <w:r>
        <w:rPr>
          <w:rFonts w:ascii="Aptos" w:hAnsi="Aptos"/>
          <w:b w:val="0"/>
          <w:i w:val="0"/>
          <w:sz w:val="18"/>
        </w:rPr>
        <w:t>Q04 SHALL explicitly exclude the one-way miles and travel time already reported in Q02 and Q03. The user SHALL rate other anticipated difficulty with attending the scheduled treatments. Relevant considerations may include work or school schedules, caregiving, treatment-day availability, non-travel cost, and other practical or personal constraints; the interface SHALL NOT require a reason, register a barrier category, or infer one.</w:t>
      </w:r>
    </w:p>
    <w:p>
      <w:pPr>
        <w:pStyle w:val="ListBullet"/>
        <w:spacing w:after="20"/>
      </w:pPr>
      <w:r>
        <w:rPr>
          <w:rFonts w:ascii="Aptos" w:hAnsi="Aptos"/>
          <w:b w:val="0"/>
          <w:i w:val="0"/>
          <w:sz w:val="18"/>
        </w:rPr>
        <w:t>Q04 SHALL map No difficulty expected to none, Some difficulty expected to some, and Major difficulty expected to major. The anchors mean: none = no material non-travel attendance difficulty is expected; some = a material non-travel difficulty is expected but is not presently viewed as a major obstacle; major = a material non-travel difficulty is expected and is presently viewed as a major obstacle. The response is ordinal and subjective; it is not an attendance probability, predicted missed-episode count, adherence score, or clinical assessment.</w:t>
      </w:r>
    </w:p>
    <w:p>
      <w:pPr>
        <w:pStyle w:val="ListBullet"/>
        <w:spacing w:after="20"/>
      </w:pPr>
      <w:r>
        <w:rPr>
          <w:rFonts w:ascii="Aptos" w:hAnsi="Aptos"/>
          <w:b w:val="0"/>
          <w:i w:val="0"/>
          <w:sz w:val="18"/>
        </w:rPr>
        <w:t>Q04 requests one overall expectation across the full general 6–8-week planning range. It SHALL NOT ask for separate shorter- and longer-scenario ratings, and the response SHALL NOT alter either regimen scenario.</w:t>
      </w:r>
    </w:p>
    <w:p>
      <w:pPr>
        <w:pStyle w:val="ListBullet"/>
        <w:spacing w:after="20"/>
      </w:pPr>
      <w:r>
        <w:rPr>
          <w:rFonts w:ascii="Aptos" w:hAnsi="Aptos"/>
          <w:b w:val="0"/>
          <w:i w:val="0"/>
          <w:sz w:val="18"/>
        </w:rPr>
        <w:t>Q04 SHALL have no preselected or default response. Exactly one anchor is required to advance. An omitted, undecided, or refused response SHALL remain unanswered and SHALL prevent QTS-REVIEW and QTS-COMPLETED; it SHALL NOT be mapped to none.</w:t>
      </w:r>
    </w:p>
    <w:p>
      <w:pPr>
        <w:pStyle w:val="ListBullet"/>
        <w:spacing w:after="20"/>
      </w:pPr>
      <w:r>
        <w:rPr>
          <w:rFonts w:ascii="Aptos" w:hAnsi="Aptos"/>
          <w:b w:val="0"/>
          <w:i w:val="0"/>
          <w:sz w:val="18"/>
        </w:rPr>
        <w:t>A response reflects the respondent's expectation at the assessment time. If a helper enters the response, the helper SHALL report the patient's stated expectation rather than substitute the helper's judgment.</w:t>
      </w:r>
    </w:p>
    <w:p>
      <w:pPr>
        <w:pStyle w:val="ListBullet"/>
        <w:spacing w:after="20"/>
      </w:pPr>
      <w:r>
        <w:rPr>
          <w:rFonts w:ascii="Aptos" w:hAnsi="Aptos"/>
          <w:b w:val="0"/>
          <w:i w:val="0"/>
          <w:sz w:val="18"/>
        </w:rPr>
        <w:t>Q02 and Q03 are usual one-way reports. The questionnaire SHALL NOT infer one from the other, apply an assumed speed, request a patient address, or call a geocoding or routing service.</w:t>
      </w:r>
    </w:p>
    <w:p>
      <w:pPr>
        <w:pStyle w:val="Heading2"/>
      </w:pPr>
      <w:r>
        <w:t>4.3 Normative Questionnaire State Model</w:t>
      </w:r>
    </w:p>
    <w:p>
      <w:r>
        <w:rPr>
          <w:rFonts w:ascii="Aptos" w:hAnsi="Aptos"/>
          <w:b w:val="0"/>
          <w:i w:val="0"/>
          <w:sz w:val="18"/>
        </w:rPr>
        <w:t>The questionnaire SHALL maintain exactly one current state. Only the control bound to the current nonterminal state may advance the interaction. QNTS states are nonterminal; QTS-REVIEW is provisional and requires confirmation; QTS-COMPLETED and QTS-ABANDONED are terminal. QTS-COMPLETED is immutable and emits one completed response; QTS-ABANDONED emits none.</w:t>
      </w:r>
    </w:p>
    <w:tbl>
      <w:tblPr>
        <w:tblW w:type="dxa" w:w="9360"/>
        <w:tblLayout w:type="fixed"/>
        <w:tblLook w:firstColumn="1" w:firstRow="1" w:lastColumn="0" w:lastRow="0" w:noHBand="0" w:noVBand="1" w:val="04A0"/>
        <w:tblInd w:w="120" w:type="dxa"/>
      </w:tblPr>
      <w:tblGrid>
        <w:gridCol w:w="1450"/>
        <w:gridCol w:w="3450"/>
        <w:gridCol w:w="2800"/>
        <w:gridCol w:w="1660"/>
      </w:tblGrid>
      <w:tr>
        <w:trPr>
          <w:cantSplit w:val="true"/>
          <w:tblHeader w:val="true"/>
        </w:trPr>
        <w:tc>
          <w:tcPr>
            <w:tcW w:type="dxa" w:w="145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STATE</w:t>
            </w:r>
          </w:p>
        </w:tc>
        <w:tc>
          <w:tcPr>
            <w:tcW w:type="dxa" w:w="345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CURRENT INTERACTION</w:t>
            </w:r>
          </w:p>
        </w:tc>
        <w:tc>
          <w:tcPr>
            <w:tcW w:type="dxa" w:w="28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VALID ADVANCE</w:t>
            </w:r>
          </w:p>
        </w:tc>
        <w:tc>
          <w:tcPr>
            <w:tcW w:type="dxa" w:w="16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NEXT STATE</w:t>
            </w:r>
          </w:p>
        </w:tc>
      </w:tr>
      <w:tr>
        <w:trPr>
          <w:cantSplit w:val="true"/>
        </w:trPr>
        <w:tc>
          <w:tcPr>
            <w:tcW w:type="dxa" w:w="1450"/>
            <w:tcMar>
              <w:top w:w="100" w:type="dxa"/>
              <w:start w:w="120" w:type="dxa"/>
              <w:bottom w:w="100" w:type="dxa"/>
              <w:end w:w="120" w:type="dxa"/>
            </w:tcMar>
            <w:vAlign w:val="center"/>
          </w:tcPr>
          <w:p>
            <w:pPr>
              <w:spacing w:after="0" w:line="240" w:lineRule="auto"/>
            </w:pPr>
            <w:r>
              <w:rPr>
                <w:rFonts w:ascii="Aptos" w:hAnsi="Aptos"/>
                <w:b w:val="0"/>
                <w:i w:val="0"/>
                <w:color w:val="000000"/>
                <w:sz w:val="13"/>
              </w:rPr>
              <w:t>QNTS-00</w:t>
            </w:r>
          </w:p>
        </w:tc>
        <w:tc>
          <w:tcPr>
            <w:tcW w:type="dxa" w:w="3450"/>
            <w:tcMar>
              <w:top w:w="100" w:type="dxa"/>
              <w:start w:w="120" w:type="dxa"/>
              <w:bottom w:w="100" w:type="dxa"/>
              <w:end w:w="120" w:type="dxa"/>
            </w:tcMar>
            <w:vAlign w:val="center"/>
          </w:tcPr>
          <w:p>
            <w:pPr>
              <w:spacing w:after="0" w:line="240" w:lineRule="auto"/>
            </w:pPr>
            <w:r>
              <w:rPr>
                <w:rFonts w:ascii="Aptos" w:hAnsi="Aptos"/>
                <w:b w:val="0"/>
                <w:i w:val="0"/>
                <w:color w:val="000000"/>
                <w:sz w:val="13"/>
              </w:rPr>
              <w:t>Q01 hyperbaric oxygen therapy location selection and confirmation</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3"/>
              </w:rPr>
              <w:t>One selectable provider IRI confirmed</w:t>
            </w:r>
          </w:p>
        </w:tc>
        <w:tc>
          <w:tcPr>
            <w:tcW w:type="dxa" w:w="1660"/>
            <w:tcMar>
              <w:top w:w="100" w:type="dxa"/>
              <w:start w:w="120" w:type="dxa"/>
              <w:bottom w:w="100" w:type="dxa"/>
              <w:end w:w="120" w:type="dxa"/>
            </w:tcMar>
            <w:vAlign w:val="center"/>
          </w:tcPr>
          <w:p>
            <w:pPr>
              <w:spacing w:after="0" w:line="240" w:lineRule="auto"/>
            </w:pPr>
            <w:r>
              <w:rPr>
                <w:rFonts w:ascii="Aptos" w:hAnsi="Aptos"/>
                <w:b w:val="0"/>
                <w:i w:val="0"/>
                <w:color w:val="000000"/>
                <w:sz w:val="13"/>
              </w:rPr>
              <w:t>QNTS-01</w:t>
            </w:r>
          </w:p>
        </w:tc>
      </w:tr>
      <w:tr>
        <w:trPr>
          <w:cantSplit w:val="true"/>
        </w:trPr>
        <w:tc>
          <w:tcPr>
            <w:tcW w:type="dxa" w:w="14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QNTS-01</w:t>
            </w:r>
          </w:p>
        </w:tc>
        <w:tc>
          <w:tcPr>
            <w:tcW w:type="dxa" w:w="34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Q02 one-way miles</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Valid bounded number; zero separately confirmed</w:t>
            </w:r>
          </w:p>
        </w:tc>
        <w:tc>
          <w:tcPr>
            <w:tcW w:type="dxa" w:w="1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QNTS-02</w:t>
            </w:r>
          </w:p>
        </w:tc>
      </w:tr>
      <w:tr>
        <w:trPr>
          <w:cantSplit w:val="true"/>
        </w:trPr>
        <w:tc>
          <w:tcPr>
            <w:tcW w:type="dxa" w:w="1450"/>
            <w:tcMar>
              <w:top w:w="100" w:type="dxa"/>
              <w:start w:w="120" w:type="dxa"/>
              <w:bottom w:w="100" w:type="dxa"/>
              <w:end w:w="120" w:type="dxa"/>
            </w:tcMar>
            <w:vAlign w:val="center"/>
          </w:tcPr>
          <w:p>
            <w:pPr>
              <w:spacing w:after="0" w:line="240" w:lineRule="auto"/>
            </w:pPr>
            <w:r>
              <w:rPr>
                <w:rFonts w:ascii="Aptos" w:hAnsi="Aptos"/>
                <w:b w:val="0"/>
                <w:i w:val="0"/>
                <w:color w:val="000000"/>
                <w:sz w:val="13"/>
              </w:rPr>
              <w:t>QNTS-02</w:t>
            </w:r>
          </w:p>
        </w:tc>
        <w:tc>
          <w:tcPr>
            <w:tcW w:type="dxa" w:w="3450"/>
            <w:tcMar>
              <w:top w:w="100" w:type="dxa"/>
              <w:start w:w="120" w:type="dxa"/>
              <w:bottom w:w="100" w:type="dxa"/>
              <w:end w:w="120" w:type="dxa"/>
            </w:tcMar>
            <w:vAlign w:val="center"/>
          </w:tcPr>
          <w:p>
            <w:pPr>
              <w:spacing w:after="0" w:line="240" w:lineRule="auto"/>
            </w:pPr>
            <w:r>
              <w:rPr>
                <w:rFonts w:ascii="Aptos" w:hAnsi="Aptos"/>
                <w:b w:val="0"/>
                <w:i w:val="0"/>
                <w:color w:val="000000"/>
                <w:sz w:val="13"/>
              </w:rPr>
              <w:t>Q03 one-way travel duration</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3"/>
              </w:rPr>
              <w:t>Valid bounded duration; zero separately confirmed</w:t>
            </w:r>
          </w:p>
        </w:tc>
        <w:tc>
          <w:tcPr>
            <w:tcW w:type="dxa" w:w="1660"/>
            <w:tcMar>
              <w:top w:w="100" w:type="dxa"/>
              <w:start w:w="120" w:type="dxa"/>
              <w:bottom w:w="100" w:type="dxa"/>
              <w:end w:w="120" w:type="dxa"/>
            </w:tcMar>
            <w:vAlign w:val="center"/>
          </w:tcPr>
          <w:p>
            <w:pPr>
              <w:spacing w:after="0" w:line="240" w:lineRule="auto"/>
            </w:pPr>
            <w:r>
              <w:rPr>
                <w:rFonts w:ascii="Aptos" w:hAnsi="Aptos"/>
                <w:b w:val="0"/>
                <w:i w:val="0"/>
                <w:color w:val="000000"/>
                <w:sz w:val="13"/>
              </w:rPr>
              <w:t>QNTS-03</w:t>
            </w:r>
          </w:p>
        </w:tc>
      </w:tr>
      <w:tr>
        <w:trPr>
          <w:cantSplit w:val="true"/>
        </w:trPr>
        <w:tc>
          <w:tcPr>
            <w:tcW w:type="dxa" w:w="14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QNTS-03</w:t>
            </w:r>
          </w:p>
        </w:tc>
        <w:tc>
          <w:tcPr>
            <w:tcW w:type="dxa" w:w="34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Q04 weekday-attendance difficulty</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One closed response selected</w:t>
            </w:r>
          </w:p>
        </w:tc>
        <w:tc>
          <w:tcPr>
            <w:tcW w:type="dxa" w:w="1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QTS-REVIEW</w:t>
            </w:r>
          </w:p>
        </w:tc>
      </w:tr>
      <w:tr>
        <w:trPr>
          <w:cantSplit w:val="true"/>
        </w:trPr>
        <w:tc>
          <w:tcPr>
            <w:tcW w:type="dxa" w:w="1450"/>
            <w:tcMar>
              <w:top w:w="100" w:type="dxa"/>
              <w:start w:w="120" w:type="dxa"/>
              <w:bottom w:w="100" w:type="dxa"/>
              <w:end w:w="120" w:type="dxa"/>
            </w:tcMar>
            <w:vAlign w:val="center"/>
          </w:tcPr>
          <w:p>
            <w:pPr>
              <w:spacing w:after="0" w:line="240" w:lineRule="auto"/>
            </w:pPr>
            <w:r>
              <w:rPr>
                <w:rFonts w:ascii="Aptos" w:hAnsi="Aptos"/>
                <w:b w:val="0"/>
                <w:i w:val="0"/>
                <w:color w:val="000000"/>
                <w:sz w:val="13"/>
              </w:rPr>
              <w:t>QTS-REVIEW</w:t>
            </w:r>
          </w:p>
        </w:tc>
        <w:tc>
          <w:tcPr>
            <w:tcW w:type="dxa" w:w="3450"/>
            <w:tcMar>
              <w:top w:w="100" w:type="dxa"/>
              <w:start w:w="120" w:type="dxa"/>
              <w:bottom w:w="100" w:type="dxa"/>
              <w:end w:w="120" w:type="dxa"/>
            </w:tcMar>
            <w:vAlign w:val="center"/>
          </w:tcPr>
          <w:p>
            <w:pPr>
              <w:spacing w:after="0" w:line="240" w:lineRule="auto"/>
            </w:pPr>
            <w:r>
              <w:rPr>
                <w:rFonts w:ascii="Aptos" w:hAnsi="Aptos"/>
                <w:b w:val="0"/>
                <w:i w:val="0"/>
                <w:color w:val="000000"/>
                <w:sz w:val="13"/>
              </w:rPr>
              <w:t>Display all four values, hyperbaric oxygen therapy location name/address, and general-regimen disclaimer</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3"/>
              </w:rPr>
              <w:t>Confirm or return to edit</w:t>
            </w:r>
          </w:p>
        </w:tc>
        <w:tc>
          <w:tcPr>
            <w:tcW w:type="dxa" w:w="1660"/>
            <w:tcMar>
              <w:top w:w="100" w:type="dxa"/>
              <w:start w:w="120" w:type="dxa"/>
              <w:bottom w:w="100" w:type="dxa"/>
              <w:end w:w="120" w:type="dxa"/>
            </w:tcMar>
            <w:vAlign w:val="center"/>
          </w:tcPr>
          <w:p>
            <w:pPr>
              <w:spacing w:after="0" w:line="240" w:lineRule="auto"/>
            </w:pPr>
            <w:r>
              <w:rPr>
                <w:rFonts w:ascii="Aptos" w:hAnsi="Aptos"/>
                <w:b w:val="0"/>
                <w:i w:val="0"/>
                <w:color w:val="000000"/>
                <w:sz w:val="13"/>
              </w:rPr>
              <w:t>QTS-COMPLETED or applicable QNTS</w:t>
            </w:r>
          </w:p>
        </w:tc>
      </w:tr>
      <w:tr>
        <w:trPr>
          <w:cantSplit w:val="true"/>
        </w:trPr>
        <w:tc>
          <w:tcPr>
            <w:tcW w:type="dxa" w:w="14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QTS-COMPLETED</w:t>
            </w:r>
          </w:p>
        </w:tc>
        <w:tc>
          <w:tcPr>
            <w:tcW w:type="dxa" w:w="34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 current question</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 further transition</w:t>
            </w:r>
          </w:p>
        </w:tc>
        <w:tc>
          <w:tcPr>
            <w:tcW w:type="dxa" w:w="1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w:t>
            </w:r>
          </w:p>
        </w:tc>
      </w:tr>
      <w:tr>
        <w:trPr>
          <w:cantSplit w:val="true"/>
        </w:trPr>
        <w:tc>
          <w:tcPr>
            <w:tcW w:type="dxa" w:w="1450"/>
            <w:tcMar>
              <w:top w:w="100" w:type="dxa"/>
              <w:start w:w="120" w:type="dxa"/>
              <w:bottom w:w="100" w:type="dxa"/>
              <w:end w:w="120" w:type="dxa"/>
            </w:tcMar>
            <w:vAlign w:val="center"/>
          </w:tcPr>
          <w:p>
            <w:pPr>
              <w:spacing w:after="0" w:line="240" w:lineRule="auto"/>
            </w:pPr>
            <w:r>
              <w:rPr>
                <w:rFonts w:ascii="Aptos" w:hAnsi="Aptos"/>
                <w:b w:val="0"/>
                <w:i w:val="0"/>
                <w:color w:val="000000"/>
                <w:sz w:val="13"/>
              </w:rPr>
              <w:t>QTS-ABANDONED</w:t>
            </w:r>
          </w:p>
        </w:tc>
        <w:tc>
          <w:tcPr>
            <w:tcW w:type="dxa" w:w="3450"/>
            <w:tcMar>
              <w:top w:w="100" w:type="dxa"/>
              <w:start w:w="120" w:type="dxa"/>
              <w:bottom w:w="100" w:type="dxa"/>
              <w:end w:w="120" w:type="dxa"/>
            </w:tcMar>
            <w:vAlign w:val="center"/>
          </w:tcPr>
          <w:p>
            <w:pPr>
              <w:spacing w:after="0" w:line="240" w:lineRule="auto"/>
            </w:pPr>
            <w:r>
              <w:rPr>
                <w:rFonts w:ascii="Aptos" w:hAnsi="Aptos"/>
                <w:b w:val="0"/>
                <w:i w:val="0"/>
                <w:color w:val="000000"/>
                <w:sz w:val="13"/>
              </w:rPr>
              <w:t>No current question</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3"/>
              </w:rPr>
              <w:t>No further transition</w:t>
            </w:r>
          </w:p>
        </w:tc>
        <w:tc>
          <w:tcPr>
            <w:tcW w:type="dxa" w:w="1660"/>
            <w:tcMar>
              <w:top w:w="100" w:type="dxa"/>
              <w:start w:w="120" w:type="dxa"/>
              <w:bottom w:w="100" w:type="dxa"/>
              <w:end w:w="120" w:type="dxa"/>
            </w:tcMar>
            <w:vAlign w:val="center"/>
          </w:tcPr>
          <w:p>
            <w:pPr>
              <w:spacing w:after="0" w:line="240" w:lineRule="auto"/>
            </w:pPr>
            <w:r>
              <w:rPr>
                <w:rFonts w:ascii="Aptos" w:hAnsi="Aptos"/>
                <w:b w:val="0"/>
                <w:i w:val="0"/>
                <w:color w:val="000000"/>
                <w:sz w:val="13"/>
              </w:rPr>
              <w:t>—</w:t>
            </w:r>
          </w:p>
        </w:tc>
      </w:tr>
    </w:tbl>
    <w:p>
      <w:pPr>
        <w:spacing w:after="20"/>
      </w:pPr>
    </w:p>
    <w:p>
      <w:pPr>
        <w:pStyle w:val="Heading3"/>
      </w:pPr>
      <w:r>
        <w:t>4.3.1 Zero-confirmation Control Gate</w:t>
      </w:r>
    </w:p>
    <w:p>
      <w:r>
        <w:rPr>
          <w:rFonts w:ascii="Aptos" w:hAnsi="Aptos"/>
          <w:b w:val="0"/>
          <w:i w:val="0"/>
          <w:sz w:val="18"/>
        </w:rPr>
        <w:t>Zero confirmation is a control-level validity gate within the current questionnaire state. It is not a questionnaire state, sub-state, alternate state variable, or additional response field. The seven QNTS/QTS states in Section 4.3 are exhaustive; a realization SHALL NOT introduce a normative pending-confirmation state or serialize zero-confirmation interaction data into the Completed Burden Questionnaire Response.</w:t>
      </w:r>
    </w:p>
    <w:p>
      <w:pPr>
        <w:pStyle w:val="ListBullet"/>
        <w:spacing w:after="20"/>
      </w:pPr>
      <w:r>
        <w:rPr>
          <w:rFonts w:ascii="Aptos" w:hAnsi="Aptos"/>
          <w:b w:val="0"/>
          <w:i w:val="0"/>
          <w:sz w:val="18"/>
        </w:rPr>
        <w:t>When numeric zero is submitted for Q02 in QNTS-01 or Q03 in QNTS-02, the current state SHALL remain unchanged, the corresponding provisional answer SHALL remain unanswered, and the interface SHALL request explicit confirmation of the zero meaning for that same question.</w:t>
      </w:r>
    </w:p>
    <w:p>
      <w:pPr>
        <w:pStyle w:val="ListBullet"/>
        <w:spacing w:after="20"/>
      </w:pPr>
      <w:r>
        <w:rPr>
          <w:rFonts w:ascii="Aptos" w:hAnsi="Aptos"/>
          <w:b w:val="0"/>
          <w:i w:val="0"/>
          <w:sz w:val="18"/>
        </w:rPr>
        <w:t>Acceptance of the matching zero confirmation SHALL atomically commit numeric zero as the provisional answer and perform the table-defined transition: QNTS-01 to QNTS-02 for Q02, or QNTS-02 to QNTS-03 for Q03.</w:t>
      </w:r>
    </w:p>
    <w:p>
      <w:pPr>
        <w:pStyle w:val="ListBullet"/>
        <w:spacing w:after="20"/>
      </w:pPr>
      <w:r>
        <w:rPr>
          <w:rFonts w:ascii="Aptos" w:hAnsi="Aptos"/>
          <w:b w:val="0"/>
          <w:i w:val="0"/>
          <w:sz w:val="18"/>
        </w:rPr>
        <w:t>Cancellation or dismissal of the confirmation SHALL leave the current state and provisional answers unchanged. Submission of a valid nonzero replacement SHALL cancel the pending control prompt, commit the replacement, and perform the ordinary table-defined transition. A confirmation event with no matching pending zero for the current control SHALL have no data or state effect and SHALL produce corrective interaction guidance.</w:t>
      </w:r>
    </w:p>
    <w:p>
      <w:pPr>
        <w:pStyle w:val="ListBullet"/>
        <w:spacing w:after="20"/>
      </w:pPr>
      <w:r>
        <w:rPr>
          <w:rFonts w:ascii="Aptos" w:hAnsi="Aptos"/>
          <w:b w:val="0"/>
          <w:i w:val="0"/>
          <w:sz w:val="18"/>
        </w:rPr>
        <w:t>When Q02 or Q03 is revised to zero from QTS-REVIEW, the zero confirmation is likewise a control-level gate: QTS-REVIEW remains the current state and the prior valid provisional value remains unchanged until confirmation. Acceptance atomically replaces the prior value with numeric zero and returns to QTS-REVIEW; cancellation or dismissal retains the prior value.</w:t>
      </w:r>
    </w:p>
    <w:p>
      <w:pPr>
        <w:pStyle w:val="Heading2"/>
      </w:pPr>
      <w:r>
        <w:t>4.4 Review, Revision, and Abandonment</w:t>
      </w:r>
    </w:p>
    <w:p>
      <w:pPr>
        <w:pStyle w:val="ListBullet"/>
        <w:spacing w:after="20"/>
      </w:pPr>
      <w:r>
        <w:rPr>
          <w:rFonts w:ascii="Aptos" w:hAnsi="Aptos"/>
          <w:b w:val="0"/>
          <w:i w:val="0"/>
          <w:sz w:val="18"/>
        </w:rPr>
        <w:t>Before confirmation, the realization SHALL allow the user to inspect all four registered values and the resolved hyperbaric oxygen therapy location name and address.</w:t>
      </w:r>
    </w:p>
    <w:p>
      <w:pPr>
        <w:pStyle w:val="ListBullet"/>
        <w:spacing w:after="20"/>
      </w:pPr>
      <w:r>
        <w:rPr>
          <w:rFonts w:ascii="Aptos" w:hAnsi="Aptos"/>
          <w:b w:val="0"/>
          <w:i w:val="0"/>
          <w:sz w:val="18"/>
        </w:rPr>
        <w:t>A realization SHALL allow correction from QTS-REVIEW. Revising a value SHALL replace that provisional value, revalidate it, and return to QTS-REVIEW only after Q01 through Q04 are again valid.</w:t>
      </w:r>
    </w:p>
    <w:p>
      <w:pPr>
        <w:pStyle w:val="ListBullet"/>
        <w:spacing w:after="20"/>
      </w:pPr>
      <w:r>
        <w:rPr>
          <w:rFonts w:ascii="Aptos" w:hAnsi="Aptos"/>
          <w:b w:val="0"/>
          <w:i w:val="0"/>
          <w:sz w:val="18"/>
        </w:rPr>
        <w:t>Revising Q02, Q03, or Q04 SHALL retain the other provisional answers. Revising Q01 is governed exclusively by the provider-change rule below. A rejected revision SHALL leave the prior valid provisional value unchanged and keep the interaction in QTS-REVIEW with question-specific corrective guidance.</w:t>
      </w:r>
    </w:p>
    <w:p>
      <w:pPr>
        <w:pStyle w:val="Heading3"/>
      </w:pPr>
      <w:r>
        <w:t>4.4.1 Provider Change Rule</w:t>
      </w:r>
    </w:p>
    <w:p>
      <w:pPr>
        <w:pStyle w:val="ListBullet"/>
        <w:spacing w:after="20"/>
      </w:pPr>
      <w:r>
        <w:rPr>
          <w:rFonts w:ascii="Aptos" w:hAnsi="Aptos"/>
          <w:b w:val="0"/>
          <w:i w:val="0"/>
          <w:sz w:val="18"/>
        </w:rPr>
        <w:t>A provider change means replacement of the confirmed Q01 provider IRI with a different provider IRI. Changing a search filter, opening another roster record without confirming it, or reselecting the same provider IRI is not a provider change.</w:t>
      </w:r>
    </w:p>
    <w:p>
      <w:pPr>
        <w:pStyle w:val="ListBullet"/>
        <w:spacing w:after="20"/>
      </w:pPr>
      <w:r>
        <w:rPr>
          <w:rFonts w:ascii="Aptos" w:hAnsi="Aptos"/>
          <w:b w:val="0"/>
          <w:i w:val="0"/>
          <w:sz w:val="18"/>
        </w:rPr>
        <w:t>Before QTS-COMPLETED, a provider change SHALL atomically replace Q01, clear the provisional values for Q02, Q03, and Q04, and transition to QNTS-01. The interface SHALL explain that distance, travel time, and non-travel attendance difficulty must be answered again for the newly confirmed location.</w:t>
      </w:r>
    </w:p>
    <w:p>
      <w:pPr>
        <w:pStyle w:val="ListBullet"/>
        <w:spacing w:after="20"/>
      </w:pPr>
      <w:r>
        <w:rPr>
          <w:rFonts w:ascii="Aptos" w:hAnsi="Aptos"/>
          <w:b w:val="0"/>
          <w:i w:val="0"/>
          <w:sz w:val="18"/>
        </w:rPr>
        <w:t>Cleared values SHALL NOT be shown as defaults, copied to the new location, submitted for analysis, or restored through browser navigation. The user SHALL re-enter Q02 and Q03 and re-answer Q04 before returning to QTS-REVIEW.</w:t>
      </w:r>
    </w:p>
    <w:p>
      <w:pPr>
        <w:pStyle w:val="ListBullet"/>
        <w:spacing w:after="20"/>
      </w:pPr>
      <w:r>
        <w:rPr>
          <w:rFonts w:ascii="Aptos" w:hAnsi="Aptos"/>
          <w:b w:val="0"/>
          <w:i w:val="0"/>
          <w:sz w:val="18"/>
        </w:rPr>
        <w:t>Reselecting the same provider IRI SHALL retain Q02 through Q04 and SHALL NOT force re-entry. The interface SHALL redisplay the bound roster name and address so the user can verify that the intended location is unchanged.</w:t>
      </w:r>
    </w:p>
    <w:p>
      <w:pPr>
        <w:pStyle w:val="ListBullet"/>
        <w:spacing w:after="20"/>
      </w:pPr>
      <w:r>
        <w:rPr>
          <w:rFonts w:ascii="Aptos" w:hAnsi="Aptos"/>
          <w:b w:val="0"/>
          <w:i w:val="0"/>
          <w:sz w:val="18"/>
        </w:rPr>
        <w:t>If the selected provider IRI ceases to resolve to exactly one selectable record in the bound roster version before completion, Q01 becomes invalid. The realization SHALL clear Q02 through Q04, return to QNTS-00, and require selection and confirmation of a valid location.</w:t>
      </w:r>
    </w:p>
    <w:p>
      <w:pPr>
        <w:pStyle w:val="ListBullet"/>
        <w:spacing w:after="20"/>
      </w:pPr>
      <w:r>
        <w:rPr>
          <w:rFonts w:ascii="Aptos" w:hAnsi="Aptos"/>
          <w:b w:val="0"/>
          <w:i w:val="0"/>
          <w:sz w:val="18"/>
        </w:rPr>
        <w:t>QTS-COMPLETED is immutable. A provider change after completion SHALL begin a new questionnaire instance and produce a new Completed Burden Questionnaire Response after all four questions are answered and confirmed. The prior completed response and any prior analysis result SHALL NOT be mutated, relabeled, or reused for the new provider.</w:t>
      </w:r>
    </w:p>
    <w:p>
      <w:pPr>
        <w:pStyle w:val="ListBullet"/>
        <w:spacing w:after="20"/>
      </w:pPr>
      <w:r>
        <w:rPr>
          <w:rFonts w:ascii="Aptos" w:hAnsi="Aptos"/>
          <w:b w:val="0"/>
          <w:i w:val="0"/>
          <w:sz w:val="18"/>
        </w:rPr>
        <w:t>Burden Response Analysis SHALL use only the provider IRI inside the submitted Completed Burden Questionnaire Response. A different provider selected elsewhere in the host application SHALL NOT override it. If the intended provider has changed, the host application SHALL obtain a new Completed Burden Questionnaire Response and invoke a new analysis.</w:t>
      </w:r>
    </w:p>
    <w:p>
      <w:r>
        <w:br w:type="page"/>
      </w:r>
    </w:p>
    <w:tbl>
      <w:tblPr>
        <w:tblW w:type="dxa" w:w="9360"/>
        <w:tblLayout w:type="fixed"/>
        <w:tblLook w:firstColumn="1" w:firstRow="1" w:lastColumn="0" w:lastRow="0" w:noHBand="0" w:noVBand="1" w:val="04A0"/>
        <w:tblInd w:w="120" w:type="dxa"/>
      </w:tblPr>
      <w:tblGrid>
        <w:gridCol w:w="2100"/>
        <w:gridCol w:w="2100"/>
        <w:gridCol w:w="3220"/>
        <w:gridCol w:w="1940"/>
      </w:tblGrid>
      <w:tr>
        <w:trPr>
          <w:cantSplit w:val="true"/>
          <w:tblHeader w:val="true"/>
        </w:trPr>
        <w:tc>
          <w:tcPr>
            <w:tcW w:type="dxa" w:w="21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EVENT</w:t>
            </w:r>
          </w:p>
        </w:tc>
        <w:tc>
          <w:tcPr>
            <w:tcW w:type="dxa" w:w="21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STATE WHEN EVENT OCCURS</w:t>
            </w:r>
          </w:p>
        </w:tc>
        <w:tc>
          <w:tcPr>
            <w:tcW w:type="dxa" w:w="322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REQUIRED DATA EFFECT</w:t>
            </w:r>
          </w:p>
        </w:tc>
        <w:tc>
          <w:tcPr>
            <w:tcW w:type="dxa" w:w="194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REQUIRED NEXT STATE</w:t>
            </w:r>
          </w:p>
        </w:tc>
      </w:tr>
      <w:tr>
        <w:trPr>
          <w:cantSplit w:val="true"/>
        </w:trPr>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2"/>
              </w:rPr>
              <w:t>Different selectable provider IRI confirmed</w:t>
            </w:r>
          </w:p>
        </w:tc>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2"/>
              </w:rPr>
              <w:t>QNTS-01, QNTS-02, QNTS-03, or QTS-REVIEW</w:t>
            </w:r>
          </w:p>
        </w:tc>
        <w:tc>
          <w:tcPr>
            <w:tcW w:type="dxa" w:w="3220"/>
            <w:tcMar>
              <w:top w:w="100" w:type="dxa"/>
              <w:start w:w="120" w:type="dxa"/>
              <w:bottom w:w="100" w:type="dxa"/>
              <w:end w:w="120" w:type="dxa"/>
            </w:tcMar>
            <w:vAlign w:val="center"/>
          </w:tcPr>
          <w:p>
            <w:pPr>
              <w:spacing w:after="0" w:line="240" w:lineRule="auto"/>
            </w:pPr>
            <w:r>
              <w:rPr>
                <w:rFonts w:ascii="Aptos" w:hAnsi="Aptos"/>
                <w:b w:val="0"/>
                <w:i w:val="0"/>
                <w:color w:val="000000"/>
                <w:sz w:val="12"/>
              </w:rPr>
              <w:t>Replace Q01; clear Q02, Q03, Q04 atomically</w:t>
            </w:r>
          </w:p>
        </w:tc>
        <w:tc>
          <w:tcPr>
            <w:tcW w:type="dxa" w:w="1940"/>
            <w:tcMar>
              <w:top w:w="100" w:type="dxa"/>
              <w:start w:w="120" w:type="dxa"/>
              <w:bottom w:w="100" w:type="dxa"/>
              <w:end w:w="120" w:type="dxa"/>
            </w:tcMar>
            <w:vAlign w:val="center"/>
          </w:tcPr>
          <w:p>
            <w:pPr>
              <w:spacing w:after="0" w:line="240" w:lineRule="auto"/>
            </w:pPr>
            <w:r>
              <w:rPr>
                <w:rFonts w:ascii="Aptos" w:hAnsi="Aptos"/>
                <w:b w:val="0"/>
                <w:i w:val="0"/>
                <w:color w:val="000000"/>
                <w:sz w:val="12"/>
              </w:rPr>
              <w:t>QNTS-01</w:t>
            </w:r>
          </w:p>
        </w:tc>
      </w:tr>
      <w:tr>
        <w:trPr>
          <w:cantSplit w:val="true"/>
        </w:trPr>
        <w:tc>
          <w:tcPr>
            <w:tcW w:type="dxa" w:w="2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Same provider IRI reselected</w:t>
            </w:r>
          </w:p>
        </w:tc>
        <w:tc>
          <w:tcPr>
            <w:tcW w:type="dxa" w:w="2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Any active state after Q01</w:t>
            </w:r>
          </w:p>
        </w:tc>
        <w:tc>
          <w:tcPr>
            <w:tcW w:type="dxa" w:w="322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Retain Q01–Q04; redisplay bound name/address</w:t>
            </w:r>
          </w:p>
        </w:tc>
        <w:tc>
          <w:tcPr>
            <w:tcW w:type="dxa" w:w="19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 state change</w:t>
            </w:r>
          </w:p>
        </w:tc>
      </w:tr>
      <w:tr>
        <w:trPr>
          <w:cantSplit w:val="true"/>
        </w:trPr>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2"/>
              </w:rPr>
              <w:t>Provider IRI becomes unselectable/unresolved/nonunique</w:t>
            </w:r>
          </w:p>
        </w:tc>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2"/>
              </w:rPr>
              <w:t>Any active state after Q01</w:t>
            </w:r>
          </w:p>
        </w:tc>
        <w:tc>
          <w:tcPr>
            <w:tcW w:type="dxa" w:w="3220"/>
            <w:tcMar>
              <w:top w:w="100" w:type="dxa"/>
              <w:start w:w="120" w:type="dxa"/>
              <w:bottom w:w="100" w:type="dxa"/>
              <w:end w:w="120" w:type="dxa"/>
            </w:tcMar>
            <w:vAlign w:val="center"/>
          </w:tcPr>
          <w:p>
            <w:pPr>
              <w:spacing w:after="0" w:line="240" w:lineRule="auto"/>
            </w:pPr>
            <w:r>
              <w:rPr>
                <w:rFonts w:ascii="Aptos" w:hAnsi="Aptos"/>
                <w:b w:val="0"/>
                <w:i w:val="0"/>
                <w:color w:val="000000"/>
                <w:sz w:val="12"/>
              </w:rPr>
              <w:t>Invalidate Q01; clear Q02, Q03, Q04 atomically</w:t>
            </w:r>
          </w:p>
        </w:tc>
        <w:tc>
          <w:tcPr>
            <w:tcW w:type="dxa" w:w="1940"/>
            <w:tcMar>
              <w:top w:w="100" w:type="dxa"/>
              <w:start w:w="120" w:type="dxa"/>
              <w:bottom w:w="100" w:type="dxa"/>
              <w:end w:w="120" w:type="dxa"/>
            </w:tcMar>
            <w:vAlign w:val="center"/>
          </w:tcPr>
          <w:p>
            <w:pPr>
              <w:spacing w:after="0" w:line="240" w:lineRule="auto"/>
            </w:pPr>
            <w:r>
              <w:rPr>
                <w:rFonts w:ascii="Aptos" w:hAnsi="Aptos"/>
                <w:b w:val="0"/>
                <w:i w:val="0"/>
                <w:color w:val="000000"/>
                <w:sz w:val="12"/>
              </w:rPr>
              <w:t>QNTS-00</w:t>
            </w:r>
          </w:p>
        </w:tc>
      </w:tr>
      <w:tr>
        <w:trPr>
          <w:cantSplit w:val="true"/>
        </w:trPr>
        <w:tc>
          <w:tcPr>
            <w:tcW w:type="dxa" w:w="2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Different provider intended</w:t>
            </w:r>
          </w:p>
        </w:tc>
        <w:tc>
          <w:tcPr>
            <w:tcW w:type="dxa" w:w="2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QTS-COMPLETED</w:t>
            </w:r>
          </w:p>
        </w:tc>
        <w:tc>
          <w:tcPr>
            <w:tcW w:type="dxa" w:w="322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Do not mutate completed artifact; start a new empty questionnaire instance</w:t>
            </w:r>
          </w:p>
        </w:tc>
        <w:tc>
          <w:tcPr>
            <w:tcW w:type="dxa" w:w="19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New QNTS-00</w:t>
            </w:r>
          </w:p>
        </w:tc>
      </w:tr>
      <w:tr>
        <w:trPr>
          <w:cantSplit w:val="true"/>
        </w:trPr>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2"/>
              </w:rPr>
              <w:t>Different host-application selection</w:t>
            </w:r>
          </w:p>
        </w:tc>
        <w:tc>
          <w:tcPr>
            <w:tcW w:type="dxa" w:w="2100"/>
            <w:tcMar>
              <w:top w:w="100" w:type="dxa"/>
              <w:start w:w="120" w:type="dxa"/>
              <w:bottom w:w="100" w:type="dxa"/>
              <w:end w:w="120" w:type="dxa"/>
            </w:tcMar>
            <w:vAlign w:val="center"/>
          </w:tcPr>
          <w:p>
            <w:pPr>
              <w:spacing w:after="0" w:line="240" w:lineRule="auto"/>
            </w:pPr>
            <w:r>
              <w:rPr>
                <w:rFonts w:ascii="Aptos" w:hAnsi="Aptos"/>
                <w:b w:val="0"/>
                <w:i w:val="0"/>
                <w:color w:val="000000"/>
                <w:sz w:val="12"/>
              </w:rPr>
              <w:t>Analysis invocation</w:t>
            </w:r>
          </w:p>
        </w:tc>
        <w:tc>
          <w:tcPr>
            <w:tcW w:type="dxa" w:w="3220"/>
            <w:tcMar>
              <w:top w:w="100" w:type="dxa"/>
              <w:start w:w="120" w:type="dxa"/>
              <w:bottom w:w="100" w:type="dxa"/>
              <w:end w:w="120" w:type="dxa"/>
            </w:tcMar>
            <w:vAlign w:val="center"/>
          </w:tcPr>
          <w:p>
            <w:pPr>
              <w:spacing w:after="0" w:line="240" w:lineRule="auto"/>
            </w:pPr>
            <w:r>
              <w:rPr>
                <w:rFonts w:ascii="Aptos" w:hAnsi="Aptos"/>
                <w:b w:val="0"/>
                <w:i w:val="0"/>
                <w:color w:val="000000"/>
                <w:sz w:val="12"/>
              </w:rPr>
              <w:t>Do not override submitted questionnaire response</w:t>
            </w:r>
          </w:p>
        </w:tc>
        <w:tc>
          <w:tcPr>
            <w:tcW w:type="dxa" w:w="1940"/>
            <w:tcMar>
              <w:top w:w="100" w:type="dxa"/>
              <w:start w:w="120" w:type="dxa"/>
              <w:bottom w:w="100" w:type="dxa"/>
              <w:end w:w="120" w:type="dxa"/>
            </w:tcMar>
            <w:vAlign w:val="center"/>
          </w:tcPr>
          <w:p>
            <w:pPr>
              <w:spacing w:after="0" w:line="240" w:lineRule="auto"/>
            </w:pPr>
            <w:r>
              <w:rPr>
                <w:rFonts w:ascii="Aptos" w:hAnsi="Aptos"/>
                <w:b w:val="0"/>
                <w:i w:val="0"/>
                <w:color w:val="000000"/>
                <w:sz w:val="12"/>
              </w:rPr>
              <w:t>Analyze submitted provider IRI or require a new completed response</w:t>
            </w:r>
          </w:p>
        </w:tc>
      </w:tr>
    </w:tbl>
    <w:p>
      <w:pPr>
        <w:spacing w:after="20"/>
      </w:pPr>
    </w:p>
    <w:p>
      <w:pPr>
        <w:pStyle w:val="Heading3"/>
      </w:pPr>
      <w:r>
        <w:t>4.4.2 Confirmation and Abandonment</w:t>
      </w:r>
    </w:p>
    <w:p>
      <w:pPr>
        <w:pStyle w:val="ListBullet"/>
        <w:spacing w:after="20"/>
      </w:pPr>
      <w:r>
        <w:rPr>
          <w:rFonts w:ascii="Aptos" w:hAnsi="Aptos"/>
          <w:b w:val="0"/>
          <w:i w:val="0"/>
          <w:sz w:val="18"/>
        </w:rPr>
        <w:t>The questionnaire SHALL display that the 30–40-episode regimen is general DFU planning knowledge and was not selected or calculated for the patient.</w:t>
      </w:r>
    </w:p>
    <w:p>
      <w:pPr>
        <w:pStyle w:val="ListBullet"/>
        <w:spacing w:after="20"/>
      </w:pPr>
      <w:r>
        <w:rPr>
          <w:rFonts w:ascii="Aptos" w:hAnsi="Aptos"/>
          <w:b w:val="0"/>
          <w:i w:val="0"/>
          <w:sz w:val="18"/>
        </w:rPr>
        <w:t>Only an explicit confirmation in QTS-REVIEW may create QTS-COMPLETED and register a Completed Burden Questionnaire Response.</w:t>
      </w:r>
    </w:p>
    <w:p>
      <w:pPr>
        <w:pStyle w:val="ListBullet"/>
        <w:spacing w:after="20"/>
      </w:pPr>
      <w:r>
        <w:rPr>
          <w:rFonts w:ascii="Aptos" w:hAnsi="Aptos"/>
          <w:b w:val="0"/>
          <w:i w:val="0"/>
          <w:sz w:val="18"/>
        </w:rPr>
        <w:t>An abandon event from any nonterminal state SHALL atomically discard all provisional answers, enter QTS-ABANDONED, and end the instance. No partial response, completed response, or burden result SHALL be emitted. Restarting after abandonment requires a new questionnaire instance in QNTS-00.</w:t>
      </w:r>
    </w:p>
    <w:p>
      <w:r>
        <w:br w:type="page"/>
      </w:r>
    </w:p>
    <w:p>
      <w:pPr>
        <w:pStyle w:val="Heading2"/>
      </w:pPr>
      <w:r>
        <w:t>4.5 Completed Burden Questionnaire Response</w:t>
      </w:r>
    </w:p>
    <w:p>
      <w:r>
        <w:rPr>
          <w:rFonts w:ascii="Aptos" w:hAnsi="Aptos"/>
          <w:b w:val="0"/>
          <w:i w:val="0"/>
          <w:sz w:val="18"/>
        </w:rPr>
        <w:t>Normative response-model IRI: https://kgrid.org/cks/dfu-hbot-burden/response-models/1.0</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"questionnaire_status": "completed",</w:t>
            </w:r>
          </w:p>
          <w:p>
            <w:pPr>
              <w:spacing w:after="0"/>
            </w:pPr>
            <w:r>
              <w:rPr>
                <w:rFonts w:ascii="Consolas" w:hAnsi="Consolas"/>
                <w:b w:val="0"/>
                <w:i w:val="0"/>
                <w:sz w:val="15"/>
              </w:rPr>
              <w:t xml:space="preserve">  "response_model_iri": "https://kgrid.org/cks/dfu-hbot-burden/response-models/1.0",</w:t>
            </w:r>
          </w:p>
          <w:p>
            <w:pPr>
              <w:spacing w:after="0"/>
            </w:pPr>
            <w:r>
              <w:rPr>
                <w:rFonts w:ascii="Consolas" w:hAnsi="Consolas"/>
                <w:b w:val="0"/>
                <w:i w:val="0"/>
                <w:sz w:val="15"/>
              </w:rPr>
              <w:t xml:space="preserve">  "provider_roster_version_iri": "https://kgrid.org/cks/dfu-hbot-burden/provider-rosters/appendix-e/versions/1.0",</w:t>
            </w:r>
          </w:p>
          <w:p>
            <w:pPr>
              <w:spacing w:after="0"/>
            </w:pPr>
            <w:r>
              <w:rPr>
                <w:rFonts w:ascii="Consolas" w:hAnsi="Consolas"/>
                <w:b w:val="0"/>
                <w:i w:val="0"/>
                <w:sz w:val="15"/>
              </w:rPr>
              <w:t xml:space="preserve">  "response_projection": {</w:t>
            </w:r>
          </w:p>
          <w:p>
            <w:pPr>
              <w:spacing w:after="0"/>
            </w:pPr>
            <w:r>
              <w:rPr>
                <w:rFonts w:ascii="Consolas" w:hAnsi="Consolas"/>
                <w:b w:val="0"/>
                <w:i w:val="0"/>
                <w:sz w:val="15"/>
              </w:rPr>
              <w:t xml:space="preserve">    "hyperbaric_oxygen_therapy_location": "https://kgrid.org/cks/dfu-hbot-burden/providers/e-001",</w:t>
            </w:r>
          </w:p>
          <w:p>
            <w:pPr>
              <w:spacing w:after="0"/>
            </w:pPr>
            <w:r>
              <w:rPr>
                <w:rFonts w:ascii="Consolas" w:hAnsi="Consolas"/>
                <w:b w:val="0"/>
                <w:i w:val="0"/>
                <w:sz w:val="15"/>
              </w:rPr>
              <w:t xml:space="preserve">    "one_way_miles": 12.5,</w:t>
            </w:r>
          </w:p>
          <w:p>
            <w:pPr>
              <w:spacing w:after="0"/>
            </w:pPr>
            <w:r>
              <w:rPr>
                <w:rFonts w:ascii="Consolas" w:hAnsi="Consolas"/>
                <w:b w:val="0"/>
                <w:i w:val="0"/>
                <w:sz w:val="15"/>
              </w:rPr>
              <w:t xml:space="preserve">    "one_way_travel_minutes": 22,</w:t>
            </w:r>
          </w:p>
          <w:p>
            <w:pPr>
              <w:spacing w:after="0"/>
            </w:pPr>
            <w:r>
              <w:rPr>
                <w:rFonts w:ascii="Consolas" w:hAnsi="Consolas"/>
                <w:b w:val="0"/>
                <w:i w:val="0"/>
                <w:sz w:val="15"/>
              </w:rPr>
              <w:t xml:space="preserve">    "weekday_attendance_difficulty": "some"</w:t>
            </w:r>
          </w:p>
          <w:p>
            <w:pPr>
              <w:spacing w:after="0"/>
            </w:pPr>
            <w:r>
              <w:rPr>
                <w:rFonts w:ascii="Consolas" w:hAnsi="Consolas"/>
                <w:b w:val="0"/>
                <w:i w:val="0"/>
                <w:sz w:val="15"/>
              </w:rPr>
              <w:t xml:space="preserve">  },</w:t>
            </w:r>
          </w:p>
          <w:p>
            <w:pPr>
              <w:spacing w:after="0"/>
            </w:pPr>
            <w:r>
              <w:rPr>
                <w:rFonts w:ascii="Consolas" w:hAnsi="Consolas"/>
                <w:b w:val="0"/>
                <w:i w:val="0"/>
                <w:sz w:val="15"/>
              </w:rPr>
              <w:t xml:space="preserve">  "confirmed": true</w:t>
            </w:r>
          </w:p>
          <w:p>
            <w:pPr>
              <w:spacing w:after="0"/>
            </w:pPr>
            <w:r>
              <w:rPr>
                <w:rFonts w:ascii="Consolas" w:hAnsi="Consolas"/>
                <w:b w:val="0"/>
                <w:i w:val="0"/>
                <w:sz w:val="15"/>
              </w:rPr>
              <w:t>}</w:t>
            </w:r>
          </w:p>
        </w:tc>
      </w:tr>
    </w:tbl>
    <w:p>
      <w:pPr>
        <w:spacing w:after="20"/>
      </w:pPr>
    </w:p>
    <w:p>
      <w:r>
        <w:rPr>
          <w:rFonts w:ascii="Aptos" w:hAnsi="Aptos"/>
          <w:b w:val="0"/>
          <w:i w:val="0"/>
          <w:sz w:val="18"/>
        </w:rPr>
        <w:t>specification_iri, questionnaire_status, response_model_iri, provider_roster_version_iri, and confirmed are questionnaire-envelope metadata, not additional patient inputs. response_projection is the sole sparse analytical input model. All four projection fields are required, no alternate patient input model exists, and the questionnaire SHALL NOT register an incomplete projection. provider_roster_version_iri identifies the exact immutable snapshot from which the provider was selected.</w:t>
      </w:r>
    </w:p>
    <w:p>
      <w:r>
        <w:rPr>
          <w:rFonts w:ascii="Aptos" w:hAnsi="Aptos"/>
          <w:b w:val="0"/>
          <w:i w:val="0"/>
          <w:sz w:val="18"/>
        </w:rPr>
        <w:t>Provisional answers used to drive QNTS-00 through QTS-REVIEW are internal interaction state, not an alternative input model and not a capability-boundary artifact. Only the QTS-COMPLETED object above may cross into Burden Response Analysis. A realization SHALL NOT serialize missing answers, null placeholders, question events, search filters, display labels, helper identity, or correction history into response_projection.</w:t>
      </w:r>
    </w:p>
    <w:p>
      <w:pPr>
        <w:pStyle w:val="Heading2"/>
      </w:pPr>
      <w:r>
        <w:t>4.6 Representation Independence</w:t>
      </w:r>
    </w:p>
    <w:p>
      <w:r>
        <w:rPr>
          <w:rFonts w:ascii="Aptos" w:hAnsi="Aptos"/>
          <w:b w:val="0"/>
          <w:i w:val="0"/>
          <w:sz w:val="18"/>
        </w:rPr>
        <w:t>A realization MAY use a web form, tablet workflow, patient portal, clinician-assisted interview, JSON, FHIR, or another representation if it preserves the questions, coding, state behavior, confirmation boundary, response projection, and abandonment semantics.</w:t>
      </w:r>
    </w:p>
    <w:p>
      <w:r>
        <w:br w:type="page"/>
      </w:r>
    </w:p>
    <w:p>
      <w:pPr>
        <w:pStyle w:val="Heading1"/>
      </w:pPr>
      <w:r>
        <w:t>5. Burden Response Analysis</w:t>
      </w:r>
    </w:p>
    <w:p>
      <w:pPr>
        <w:pStyle w:val="Heading2"/>
      </w:pPr>
      <w:r>
        <w:t>5.1 Exact Analysis-request Handoff</w:t>
      </w:r>
    </w:p>
    <w:p>
      <w:r>
        <w:rPr>
          <w:rFonts w:ascii="Aptos" w:hAnsi="Aptos"/>
          <w:b w:val="0"/>
          <w:i w:val="0"/>
          <w:sz w:val="18"/>
        </w:rPr>
        <w:t>Burden Response Analysis SHALL have exactly one normative invocation interface. The caller SHALL submit one analysis-request object containing the complete artifacts produced by the other two capabilities: one confirmed Completed Burden Questionnaire Response and one patient-independent Fixed Regimen Range Response. The request also declares the exact immutable provider-roster version against which the invocation is to be evaluated. The request has exactly the four top-level properties shown below.</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w:t>
            </w:r>
          </w:p>
          <w:p>
            <w:pPr>
              <w:spacing w:after="0"/>
            </w:pPr>
            <w:r>
              <w:rPr>
                <w:rFonts w:ascii="Consolas" w:hAnsi="Consolas"/>
                <w:b w:val="0"/>
                <w:i w:val="0"/>
                <w:sz w:val="15"/>
              </w:rPr>
              <w:t xml:space="preserve">  "request_type": "calculate_burden_range",</w:t>
            </w:r>
          </w:p>
          <w:p>
            <w:pPr>
              <w:spacing w:after="0"/>
            </w:pPr>
            <w:r>
              <w:rPr>
                <w:rFonts w:ascii="Consolas" w:hAnsi="Consolas"/>
                <w:b w:val="0"/>
                <w:i w:val="0"/>
                <w:sz w:val="15"/>
              </w:rPr>
              <w:t xml:space="preserve">  "provider_roster_version_iri": "https://kgrid.org/cks/dfu-hbot-burden/provider-rosters/appendix-e/versions/1.0",</w:t>
            </w:r>
          </w:p>
          <w:p>
            <w:pPr>
              <w:spacing w:after="0"/>
            </w:pPr>
            <w:r>
              <w:rPr>
                <w:rFonts w:ascii="Consolas" w:hAnsi="Consolas"/>
                <w:b w:val="0"/>
                <w:i w:val="0"/>
                <w:sz w:val="15"/>
              </w:rPr>
              <w:t xml:space="preserve">  "questionnaire_response": {</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"questionnaire_status": "completed",</w:t>
            </w:r>
          </w:p>
          <w:p>
            <w:pPr>
              <w:spacing w:after="0"/>
            </w:pPr>
            <w:r>
              <w:rPr>
                <w:rFonts w:ascii="Consolas" w:hAnsi="Consolas"/>
                <w:b w:val="0"/>
                <w:i w:val="0"/>
                <w:sz w:val="15"/>
              </w:rPr>
              <w:t xml:space="preserve">    "response_model_iri": "https://kgrid.org/cks/dfu-hbot-burden/response-models/1.0",</w:t>
            </w:r>
          </w:p>
          <w:p>
            <w:pPr>
              <w:spacing w:after="0"/>
            </w:pPr>
            <w:r>
              <w:rPr>
                <w:rFonts w:ascii="Consolas" w:hAnsi="Consolas"/>
                <w:b w:val="0"/>
                <w:i w:val="0"/>
                <w:sz w:val="15"/>
              </w:rPr>
              <w:t xml:space="preserve">    "provider_roster_version_iri": "https://kgrid.org/cks/dfu-hbot-burden/provider-rosters/appendix-e/versions/1.0",</w:t>
            </w:r>
          </w:p>
          <w:p>
            <w:pPr>
              <w:spacing w:after="0"/>
            </w:pPr>
            <w:r>
              <w:rPr>
                <w:rFonts w:ascii="Consolas" w:hAnsi="Consolas"/>
                <w:b w:val="0"/>
                <w:i w:val="0"/>
                <w:sz w:val="15"/>
              </w:rPr>
              <w:t xml:space="preserve">    "response_projection": {</w:t>
            </w:r>
          </w:p>
          <w:p>
            <w:pPr>
              <w:spacing w:after="0"/>
            </w:pPr>
            <w:r>
              <w:rPr>
                <w:rFonts w:ascii="Consolas" w:hAnsi="Consolas"/>
                <w:b w:val="0"/>
                <w:i w:val="0"/>
                <w:sz w:val="15"/>
              </w:rPr>
              <w:t xml:space="preserve">      "hyperbaric_oxygen_therapy_location": "https://kgrid.org/cks/dfu-hbot-burden/providers/e-001",</w:t>
            </w:r>
          </w:p>
          <w:p>
            <w:pPr>
              <w:spacing w:after="0"/>
            </w:pPr>
            <w:r>
              <w:rPr>
                <w:rFonts w:ascii="Consolas" w:hAnsi="Consolas"/>
                <w:b w:val="0"/>
                <w:i w:val="0"/>
                <w:sz w:val="15"/>
              </w:rPr>
              <w:t xml:space="preserve">      "one_way_miles": 12.5,</w:t>
            </w:r>
          </w:p>
          <w:p>
            <w:pPr>
              <w:spacing w:after="0"/>
            </w:pPr>
            <w:r>
              <w:rPr>
                <w:rFonts w:ascii="Consolas" w:hAnsi="Consolas"/>
                <w:b w:val="0"/>
                <w:i w:val="0"/>
                <w:sz w:val="15"/>
              </w:rPr>
              <w:t xml:space="preserve">      "one_way_travel_minutes": 22,</w:t>
            </w:r>
          </w:p>
          <w:p>
            <w:pPr>
              <w:spacing w:after="0"/>
            </w:pPr>
            <w:r>
              <w:rPr>
                <w:rFonts w:ascii="Consolas" w:hAnsi="Consolas"/>
                <w:b w:val="0"/>
                <w:i w:val="0"/>
                <w:sz w:val="15"/>
              </w:rPr>
              <w:t xml:space="preserve">      "weekday_attendance_difficulty": "some"</w:t>
            </w:r>
          </w:p>
          <w:p>
            <w:pPr>
              <w:spacing w:after="0"/>
            </w:pPr>
            <w:r>
              <w:rPr>
                <w:rFonts w:ascii="Consolas" w:hAnsi="Consolas"/>
                <w:b w:val="0"/>
                <w:i w:val="0"/>
                <w:sz w:val="15"/>
              </w:rPr>
              <w:t xml:space="preserve">    },</w:t>
            </w:r>
          </w:p>
          <w:p>
            <w:pPr>
              <w:spacing w:after="0"/>
            </w:pPr>
            <w:r>
              <w:rPr>
                <w:rFonts w:ascii="Consolas" w:hAnsi="Consolas"/>
                <w:b w:val="0"/>
                <w:i w:val="0"/>
                <w:sz w:val="15"/>
              </w:rPr>
              <w:t xml:space="preserve">    "confirmed": true</w:t>
            </w:r>
          </w:p>
          <w:p>
            <w:pPr>
              <w:spacing w:after="0"/>
            </w:pPr>
            <w:r>
              <w:rPr>
                <w:rFonts w:ascii="Consolas" w:hAnsi="Consolas"/>
                <w:b w:val="0"/>
                <w:i w:val="0"/>
                <w:sz w:val="15"/>
              </w:rPr>
              <w:t xml:space="preserve">  },</w:t>
            </w:r>
          </w:p>
          <w:p>
            <w:pPr>
              <w:spacing w:after="0"/>
            </w:pPr>
            <w:r>
              <w:rPr>
                <w:rFonts w:ascii="Consolas" w:hAnsi="Consolas"/>
                <w:b w:val="0"/>
                <w:i w:val="0"/>
                <w:sz w:val="15"/>
              </w:rPr>
              <w:t xml:space="preserve">  "fixed_regimen_range_response": {</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"response_type": "fixed_regimen_range_response",</w:t>
            </w:r>
          </w:p>
          <w:p>
            <w:pPr>
              <w:spacing w:after="0"/>
            </w:pPr>
            <w:r>
              <w:rPr>
                <w:rFonts w:ascii="Consolas" w:hAnsi="Consolas"/>
                <w:b w:val="0"/>
                <w:i w:val="0"/>
                <w:sz w:val="15"/>
              </w:rPr>
              <w:t xml:space="preserve">    "response_model_iri": "https://kgrid.org/cks/dfu-hbot-burden/response-models/1.0",</w:t>
            </w:r>
          </w:p>
          <w:p>
            <w:pPr>
              <w:spacing w:after="0"/>
            </w:pPr>
            <w:r>
              <w:rPr>
                <w:rFonts w:ascii="Consolas" w:hAnsi="Consolas"/>
                <w:b w:val="0"/>
                <w:i w:val="0"/>
                <w:sz w:val="15"/>
              </w:rPr>
              <w:t xml:space="preserve">    "status": "completed",</w:t>
            </w:r>
          </w:p>
          <w:p>
            <w:pPr>
              <w:spacing w:after="0"/>
            </w:pPr>
            <w:r>
              <w:rPr>
                <w:rFonts w:ascii="Consolas" w:hAnsi="Consolas"/>
                <w:b w:val="0"/>
                <w:i w:val="0"/>
                <w:sz w:val="15"/>
              </w:rPr>
              <w:t xml:space="preserve">    "knowledge_package_iri": "https://kgrid.org/cks/dfu-hbot-burden/knowledge-packages/general-dfu-regimen/versions/1.0",</w:t>
            </w:r>
          </w:p>
          <w:p>
            <w:pPr>
              <w:spacing w:after="0"/>
            </w:pPr>
            <w:r>
              <w:rPr>
                <w:rFonts w:ascii="Consolas" w:hAnsi="Consolas"/>
                <w:b w:val="0"/>
                <w:i w:val="0"/>
                <w:sz w:val="15"/>
              </w:rPr>
              <w:t xml:space="preserve">    "knowledge_scope": "general_not_patient_specific",</w:t>
            </w:r>
          </w:p>
          <w:p>
            <w:pPr>
              <w:spacing w:after="0"/>
            </w:pPr>
            <w:r>
              <w:rPr>
                <w:rFonts w:ascii="Consolas" w:hAnsi="Consolas"/>
                <w:b w:val="0"/>
                <w:i w:val="0"/>
                <w:sz w:val="15"/>
              </w:rPr>
              <w:t xml:space="preserve">    "indication": "diabetes_related_foot_ulcer",</w:t>
            </w:r>
          </w:p>
          <w:p>
            <w:pPr>
              <w:spacing w:after="0"/>
            </w:pPr>
            <w:r>
              <w:rPr>
                <w:rFonts w:ascii="Consolas" w:hAnsi="Consolas"/>
                <w:b w:val="0"/>
                <w:i w:val="0"/>
                <w:sz w:val="15"/>
              </w:rPr>
              <w:t xml:space="preserve">    "shorter_regimen_scenario": {</w:t>
            </w:r>
          </w:p>
          <w:p>
            <w:pPr>
              <w:spacing w:after="0"/>
            </w:pPr>
            <w:r>
              <w:rPr>
                <w:rFonts w:ascii="Consolas" w:hAnsi="Consolas"/>
                <w:b w:val="0"/>
                <w:i w:val="0"/>
                <w:sz w:val="15"/>
              </w:rPr>
              <w:t xml:space="preserve">      "episodes": 30, "sessions_per_week": 5, "course_weeks": 6.0</w:t>
            </w:r>
          </w:p>
          <w:p>
            <w:pPr>
              <w:spacing w:after="0"/>
            </w:pPr>
            <w:r>
              <w:rPr>
                <w:rFonts w:ascii="Consolas" w:hAnsi="Consolas"/>
                <w:b w:val="0"/>
                <w:i w:val="0"/>
                <w:sz w:val="15"/>
              </w:rPr>
              <w:t xml:space="preserve">    },</w:t>
            </w:r>
          </w:p>
          <w:p>
            <w:pPr>
              <w:spacing w:after="0"/>
            </w:pPr>
            <w:r>
              <w:rPr>
                <w:rFonts w:ascii="Consolas" w:hAnsi="Consolas"/>
                <w:b w:val="0"/>
                <w:i w:val="0"/>
                <w:sz w:val="15"/>
              </w:rPr>
              <w:t xml:space="preserve">    "longer_regimen_scenario": {</w:t>
            </w:r>
          </w:p>
          <w:p>
            <w:pPr>
              <w:spacing w:after="0"/>
            </w:pPr>
            <w:r>
              <w:rPr>
                <w:rFonts w:ascii="Consolas" w:hAnsi="Consolas"/>
                <w:b w:val="0"/>
                <w:i w:val="0"/>
                <w:sz w:val="15"/>
              </w:rPr>
              <w:t xml:space="preserve">      "episodes": 40, "sessions_per_week": 5, "course_weeks": 8.0</w:t>
            </w:r>
          </w:p>
          <w:p>
            <w:pPr>
              <w:spacing w:after="0"/>
            </w:pPr>
            <w:r>
              <w:rPr>
                <w:rFonts w:ascii="Consolas" w:hAnsi="Consolas"/>
                <w:b w:val="0"/>
                <w:i w:val="0"/>
                <w:sz w:val="15"/>
              </w:rPr>
              <w:t xml:space="preserve">    },</w:t>
            </w:r>
          </w:p>
          <w:p>
            <w:pPr>
              <w:spacing w:after="0"/>
            </w:pPr>
            <w:r>
              <w:rPr>
                <w:rFonts w:ascii="Consolas" w:hAnsi="Consolas"/>
                <w:b w:val="0"/>
                <w:i w:val="0"/>
                <w:sz w:val="15"/>
              </w:rPr>
              <w:t xml:space="preserve">    "combined_range": {</w:t>
            </w:r>
          </w:p>
          <w:p>
            <w:pPr>
              <w:spacing w:after="0"/>
            </w:pPr>
            <w:r>
              <w:rPr>
                <w:rFonts w:ascii="Consolas" w:hAnsi="Consolas"/>
                <w:b w:val="0"/>
                <w:i w:val="0"/>
                <w:sz w:val="15"/>
              </w:rPr>
              <w:t xml:space="preserve">      "episodes": [30,40], "sessions_per_week": 5, "course_weeks": [6.0,8.0]</w:t>
            </w:r>
          </w:p>
          <w:p>
            <w:pPr>
              <w:spacing w:after="0"/>
            </w:pPr>
            <w:r>
              <w:rPr>
                <w:rFonts w:ascii="Consolas" w:hAnsi="Consolas"/>
                <w:b w:val="0"/>
                <w:i w:val="0"/>
                <w:sz w:val="15"/>
              </w:rPr>
              <w:t xml:space="preserve">    },</w:t>
            </w:r>
          </w:p>
          <w:p>
            <w:pPr>
              <w:spacing w:after="0"/>
            </w:pPr>
            <w:r>
              <w:rPr>
                <w:rFonts w:ascii="Consolas" w:hAnsi="Consolas"/>
                <w:b w:val="0"/>
                <w:i w:val="0"/>
                <w:sz w:val="15"/>
              </w:rPr>
              <w:t xml:space="preserve">    "scheduled_facility_hours_per_episode": {</w:t>
            </w:r>
          </w:p>
          <w:p>
            <w:pPr>
              <w:spacing w:after="0"/>
            </w:pPr>
            <w:r>
              <w:rPr>
                <w:rFonts w:ascii="Consolas" w:hAnsi="Consolas"/>
                <w:b w:val="0"/>
                <w:i w:val="0"/>
                <w:sz w:val="15"/>
              </w:rPr>
              <w:t xml:space="preserve">      "value": 3.0, "unit": "h"</w:t>
            </w:r>
          </w:p>
          <w:p>
            <w:pPr>
              <w:spacing w:after="0"/>
            </w:pPr>
            <w:r>
              <w:rPr>
                <w:rFonts w:ascii="Consolas" w:hAnsi="Consolas"/>
                <w:b w:val="0"/>
                <w:i w:val="0"/>
                <w:sz w:val="15"/>
              </w:rPr>
              <w:t xml:space="preserve">    },</w:t>
            </w:r>
          </w:p>
          <w:p>
            <w:pPr>
              <w:spacing w:after="0"/>
            </w:pPr>
            <w:r>
              <w:rPr>
                <w:rFonts w:ascii="Consolas" w:hAnsi="Consolas"/>
                <w:b w:val="0"/>
                <w:i w:val="0"/>
                <w:sz w:val="15"/>
              </w:rPr>
              <w:t xml:space="preserve">    "tailored_to_patient": false,</w:t>
            </w:r>
          </w:p>
          <w:p>
            <w:pPr>
              <w:spacing w:after="0"/>
            </w:pPr>
            <w:r>
              <w:rPr>
                <w:rFonts w:ascii="Consolas" w:hAnsi="Consolas"/>
                <w:b w:val="0"/>
                <w:i w:val="0"/>
                <w:sz w:val="15"/>
              </w:rPr>
              <w:t xml:space="preserve">    "display_label": "General DFU HBOT planning range: approximately 30–40 episodes, usually five per week, over approximately 6–8 weeks."</w:t>
            </w:r>
          </w:p>
          <w:p>
            <w:pPr>
              <w:spacing w:after="0"/>
            </w:pPr>
            <w:r>
              <w:rPr>
                <w:rFonts w:ascii="Consolas" w:hAnsi="Consolas"/>
                <w:b w:val="0"/>
                <w:i w:val="0"/>
                <w:sz w:val="15"/>
              </w:rPr>
              <w:t xml:space="preserve">  }</w:t>
            </w:r>
          </w:p>
          <w:p>
            <w:pPr>
              <w:spacing w:after="0"/>
            </w:pPr>
            <w:r>
              <w:rPr>
                <w:rFonts w:ascii="Consolas" w:hAnsi="Consolas"/>
                <w:b w:val="0"/>
                <w:i w:val="0"/>
                <w:sz w:val="15"/>
              </w:rPr>
              <w:t>}</w:t>
            </w:r>
          </w:p>
        </w:tc>
      </w:tr>
    </w:tbl>
    <w:p>
      <w:pPr>
        <w:spacing w:after="20"/>
      </w:pPr>
    </w:p>
    <w:p>
      <w:pPr>
        <w:pStyle w:val="ListBullet"/>
        <w:spacing w:after="20"/>
      </w:pPr>
      <w:r>
        <w:rPr>
          <w:rFonts w:ascii="Aptos" w:hAnsi="Aptos"/>
          <w:b w:val="0"/>
          <w:i w:val="0"/>
          <w:sz w:val="18"/>
        </w:rPr>
        <w:t>request_type SHALL equal calculate_burden_range.</w:t>
      </w:r>
    </w:p>
    <w:p>
      <w:pPr>
        <w:pStyle w:val="ListBullet"/>
        <w:spacing w:after="20"/>
      </w:pPr>
      <w:r>
        <w:rPr>
          <w:rFonts w:ascii="Aptos" w:hAnsi="Aptos"/>
          <w:b w:val="0"/>
          <w:i w:val="0"/>
          <w:sz w:val="18"/>
        </w:rPr>
        <w:t>provider_roster_version_iri SHALL equal the exact immutable roster version required for this invocation. It is dependency metadata, not a patient input.</w:t>
      </w:r>
    </w:p>
    <w:p>
      <w:pPr>
        <w:pStyle w:val="ListBullet"/>
        <w:spacing w:after="20"/>
      </w:pPr>
      <w:r>
        <w:rPr>
          <w:rFonts w:ascii="Aptos" w:hAnsi="Aptos"/>
          <w:b w:val="0"/>
          <w:i w:val="0"/>
          <w:sz w:val="18"/>
        </w:rPr>
        <w:t>questionnaire_response SHALL be the complete, unmodified Section 4.5 artifact. Passing response_projection alone is not conformant.</w:t>
      </w:r>
    </w:p>
    <w:p>
      <w:pPr>
        <w:pStyle w:val="ListBullet"/>
        <w:spacing w:after="20"/>
      </w:pPr>
      <w:r>
        <w:rPr>
          <w:rFonts w:ascii="Aptos" w:hAnsi="Aptos"/>
          <w:b w:val="0"/>
          <w:i w:val="0"/>
          <w:sz w:val="18"/>
        </w:rPr>
        <w:t>fixed_regimen_range_response SHALL be the complete, unmodified Section 3.2 artifact, including scheduled_facility_hours_per_episode.</w:t>
      </w:r>
    </w:p>
    <w:p>
      <w:pPr>
        <w:pStyle w:val="ListBullet"/>
        <w:spacing w:after="20"/>
      </w:pPr>
      <w:r>
        <w:rPr>
          <w:rFonts w:ascii="Aptos" w:hAnsi="Aptos"/>
          <w:b w:val="0"/>
          <w:i w:val="0"/>
          <w:sz w:val="18"/>
        </w:rPr>
        <w:t>All four properties are required, non-null, and unique. An additional top-level property makes the analysis request invalid.</w:t>
      </w:r>
    </w:p>
    <w:p>
      <w:pPr>
        <w:pStyle w:val="ListBullet"/>
        <w:spacing w:after="20"/>
      </w:pPr>
      <w:r>
        <w:rPr>
          <w:rFonts w:ascii="Aptos" w:hAnsi="Aptos"/>
          <w:b w:val="0"/>
          <w:i w:val="0"/>
          <w:sz w:val="18"/>
        </w:rPr>
        <w:t>No patient identifier, ulcer identifier, assessment timestamp, regimen choice, or regimen-duration field is part of the analysis request.</w:t>
      </w:r>
    </w:p>
    <w:p>
      <w:pPr>
        <w:pStyle w:val="ListBullet"/>
        <w:spacing w:after="20"/>
      </w:pPr>
      <w:r>
        <w:rPr>
          <w:rFonts w:ascii="Aptos" w:hAnsi="Aptos"/>
          <w:b w:val="0"/>
          <w:i w:val="0"/>
          <w:sz w:val="18"/>
        </w:rPr>
        <w:t>Validation order SHALL be: top-level object and property set; request_type; request-level roster-version support; questionnaire-response envelope; roster-version equality; regimen-range-response envelope; response_projection; roster dependency loading and integrity; hyperbaric oxygen therapy location lookup; arithmetic.</w:t>
      </w:r>
    </w:p>
    <w:p>
      <w:pPr>
        <w:pStyle w:val="ListBullet"/>
        <w:spacing w:after="20"/>
      </w:pPr>
      <w:r>
        <w:rPr>
          <w:rFonts w:ascii="Aptos" w:hAnsi="Aptos"/>
          <w:b w:val="0"/>
          <w:i w:val="0"/>
          <w:sz w:val="18"/>
        </w:rPr>
        <w:t>Appendix E is the analysis engine's bound reference-data dependency. It is not copied into the request.</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FROZEN HANDOFF  </w:t>
            </w:r>
            <w:r>
              <w:rPr>
                <w:rFonts w:ascii="Aptos" w:hAnsi="Aptos"/>
                <w:b w:val="0"/>
                <w:i w:val="0"/>
                <w:sz w:val="18"/>
              </w:rPr>
              <w:t>No conformant realization may replace fixed_regimen_range_response with hidden configuration, obtain it by an internal lookup during analysis, pass only a knowledge-package IRI, or pass questionnaire fields outside questionnaire_response. Representation bindings MAY wrap the entire request for transport, but SHALL preserve this logical request without adding analytical inputs.</w:t>
            </w:r>
          </w:p>
        </w:tc>
      </w:tr>
    </w:tbl>
    <w:p>
      <w:pPr>
        <w:spacing w:after="20"/>
      </w:pPr>
    </w:p>
    <w:p>
      <w:pPr>
        <w:pStyle w:val="Heading2"/>
      </w:pPr>
      <w:r>
        <w:t>5.2 Sole Sparse Patient-data Projection</w:t>
      </w:r>
    </w:p>
    <w:p>
      <w:r>
        <w:rPr>
          <w:rFonts w:ascii="Aptos" w:hAnsi="Aptos"/>
          <w:b w:val="0"/>
          <w:i w:val="0"/>
          <w:sz w:val="18"/>
        </w:rPr>
        <w:t>Within the analysis request, response_projection from the confirmed Completed Burden Questionnaire Response is the sole patient-data projection. Burden Response Analysis SHALL reject an unconfirmed, incomplete, or differently identified questionnaire response and SHALL NOT accept interactive events as analytical input.</w:t>
      </w:r>
    </w:p>
    <w:tbl>
      <w:tblPr>
        <w:tblW w:type="dxa" w:w="9360"/>
        <w:tblLayout w:type="fixed"/>
        <w:tblLook w:firstColumn="1" w:firstRow="1" w:lastColumn="0" w:lastRow="0" w:noHBand="0" w:noVBand="1" w:val="04A0"/>
        <w:tblInd w:w="120" w:type="dxa"/>
      </w:tblPr>
      <w:tblGrid>
        <w:gridCol w:w="2200"/>
        <w:gridCol w:w="700"/>
        <w:gridCol w:w="700"/>
        <w:gridCol w:w="1500"/>
        <w:gridCol w:w="4260"/>
      </w:tblGrid>
      <w:tr>
        <w:trPr>
          <w:cantSplit w:val="true"/>
          <w:tblHeader w:val="true"/>
        </w:trPr>
        <w:tc>
          <w:tcPr>
            <w:tcW w:type="dxa" w:w="22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ID / FIELD</w:t>
            </w:r>
          </w:p>
        </w:tc>
        <w:tc>
          <w:tcPr>
            <w:tcW w:type="dxa" w:w="7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CARD.</w:t>
            </w:r>
          </w:p>
        </w:tc>
        <w:tc>
          <w:tcPr>
            <w:tcW w:type="dxa" w:w="7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NULL</w:t>
            </w:r>
          </w:p>
        </w:tc>
        <w:tc>
          <w:tcPr>
            <w:tcW w:type="dxa" w:w="15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TYPE</w:t>
            </w:r>
          </w:p>
        </w:tc>
        <w:tc>
          <w:tcPr>
            <w:tcW w:type="dxa" w:w="42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ALLOWED VALUES / CONSTRAINT</w:t>
            </w:r>
          </w:p>
        </w:tc>
      </w:tr>
      <w:tr>
        <w:trPr>
          <w:cantSplit w:val="true"/>
        </w:trPr>
        <w:tc>
          <w:tcPr>
            <w:tcW w:type="dxa" w:w="2200"/>
            <w:tcMar>
              <w:top w:w="100" w:type="dxa"/>
              <w:start w:w="120" w:type="dxa"/>
              <w:bottom w:w="100" w:type="dxa"/>
              <w:end w:w="120" w:type="dxa"/>
            </w:tcMar>
            <w:vAlign w:val="center"/>
          </w:tcPr>
          <w:p>
            <w:pPr>
              <w:spacing w:after="0" w:line="240" w:lineRule="auto"/>
            </w:pPr>
            <w:r>
              <w:rPr>
                <w:rFonts w:ascii="Aptos" w:hAnsi="Aptos"/>
                <w:b w:val="0"/>
                <w:i w:val="0"/>
                <w:color w:val="000000"/>
                <w:sz w:val="13"/>
              </w:rPr>
              <w:t>IN-01 / hyperbaric_oxygen_therapy_location</w:t>
            </w:r>
          </w:p>
        </w:tc>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3"/>
              </w:rPr>
              <w:t>1..1</w:t>
            </w:r>
          </w:p>
        </w:tc>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3"/>
              </w:rPr>
              <w:t>No</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3"/>
              </w:rPr>
              <w:t>absolute HTTPS IRI</w:t>
            </w:r>
          </w:p>
        </w:tc>
        <w:tc>
          <w:tcPr>
            <w:tcW w:type="dxa" w:w="42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https://kgrid.org/cks/dfu-hbot-burden/providers/e-001 through e-141; exact selectable-record lookup in bound U.S.-only roster version</w:t>
            </w:r>
          </w:p>
        </w:tc>
      </w:tr>
      <w:tr>
        <w:trPr>
          <w:cantSplit w:val="true"/>
        </w:trPr>
        <w:tc>
          <w:tcPr>
            <w:tcW w:type="dxa" w:w="2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IN-02 / one_way_miles</w:t>
            </w:r>
          </w:p>
        </w:tc>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1..1</w:t>
            </w:r>
          </w:p>
        </w:tc>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number</w:t>
            </w:r>
          </w:p>
        </w:tc>
        <w:tc>
          <w:tcPr>
            <w:tcW w:type="dxa" w:w="4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Finite decimal ≥0 and ≤1000</w:t>
            </w:r>
          </w:p>
        </w:tc>
      </w:tr>
      <w:tr>
        <w:trPr>
          <w:cantSplit w:val="true"/>
        </w:trPr>
        <w:tc>
          <w:tcPr>
            <w:tcW w:type="dxa" w:w="2200"/>
            <w:tcMar>
              <w:top w:w="100" w:type="dxa"/>
              <w:start w:w="120" w:type="dxa"/>
              <w:bottom w:w="100" w:type="dxa"/>
              <w:end w:w="120" w:type="dxa"/>
            </w:tcMar>
            <w:vAlign w:val="center"/>
          </w:tcPr>
          <w:p>
            <w:pPr>
              <w:spacing w:after="0" w:line="240" w:lineRule="auto"/>
            </w:pPr>
            <w:r>
              <w:rPr>
                <w:rFonts w:ascii="Aptos" w:hAnsi="Aptos"/>
                <w:b w:val="0"/>
                <w:i w:val="0"/>
                <w:color w:val="000000"/>
                <w:sz w:val="13"/>
              </w:rPr>
              <w:t>IN-03 / one_way_travel_minutes</w:t>
            </w:r>
          </w:p>
        </w:tc>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3"/>
              </w:rPr>
              <w:t>1..1</w:t>
            </w:r>
          </w:p>
        </w:tc>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3"/>
              </w:rPr>
              <w:t>No</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3"/>
              </w:rPr>
              <w:t>number</w:t>
            </w:r>
          </w:p>
        </w:tc>
        <w:tc>
          <w:tcPr>
            <w:tcW w:type="dxa" w:w="4260"/>
            <w:tcMar>
              <w:top w:w="100" w:type="dxa"/>
              <w:start w:w="120" w:type="dxa"/>
              <w:bottom w:w="100" w:type="dxa"/>
              <w:end w:w="120" w:type="dxa"/>
            </w:tcMar>
            <w:vAlign w:val="center"/>
          </w:tcPr>
          <w:p>
            <w:pPr>
              <w:spacing w:after="0" w:line="240" w:lineRule="auto"/>
            </w:pPr>
            <w:r>
              <w:rPr>
                <w:rFonts w:ascii="Aptos" w:hAnsi="Aptos"/>
                <w:b w:val="0"/>
                <w:i w:val="0"/>
                <w:color w:val="000000"/>
                <w:sz w:val="13"/>
              </w:rPr>
              <w:t>Finite decimal ≥0 and ≤1440</w:t>
            </w:r>
          </w:p>
        </w:tc>
      </w:tr>
      <w:tr>
        <w:trPr>
          <w:cantSplit w:val="true"/>
        </w:trPr>
        <w:tc>
          <w:tcPr>
            <w:tcW w:type="dxa" w:w="2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IN-04 / weekday_attendance_difficulty</w:t>
            </w:r>
          </w:p>
        </w:tc>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1..1</w:t>
            </w:r>
          </w:p>
        </w:tc>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string</w:t>
            </w:r>
          </w:p>
        </w:tc>
        <w:tc>
          <w:tcPr>
            <w:tcW w:type="dxa" w:w="42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none; some; major</w:t>
            </w:r>
          </w:p>
        </w:tc>
      </w:tr>
    </w:tbl>
    <w:p>
      <w:pPr>
        <w:spacing w:after="20"/>
      </w:pPr>
    </w:p>
    <w:p>
      <w:pPr>
        <w:pStyle w:val="Heading2"/>
      </w:pPr>
      <w:r>
        <w:t>5.3 Analytical Input-object Rules</w:t>
      </w:r>
    </w:p>
    <w:p>
      <w:pPr>
        <w:pStyle w:val="ListBullet"/>
        <w:spacing w:after="20"/>
      </w:pPr>
      <w:r>
        <w:rPr>
          <w:rFonts w:ascii="Aptos" w:hAnsi="Aptos"/>
          <w:b w:val="0"/>
          <w:i w:val="0"/>
          <w:sz w:val="18"/>
        </w:rPr>
        <w:t>response_projection is closed. An unknown or additional property makes the analytical input invalid and SHALL NOT be ignored.</w:t>
      </w:r>
    </w:p>
    <w:p>
      <w:pPr>
        <w:pStyle w:val="ListBullet"/>
        <w:spacing w:after="20"/>
      </w:pPr>
      <w:r>
        <w:rPr>
          <w:rFonts w:ascii="Aptos" w:hAnsi="Aptos"/>
          <w:b w:val="0"/>
          <w:i w:val="0"/>
          <w:sz w:val="18"/>
        </w:rPr>
        <w:t>Input values SHALL NOT be coerced. A numeric-looking string is not a number.</w:t>
      </w:r>
    </w:p>
    <w:p>
      <w:pPr>
        <w:pStyle w:val="ListBullet"/>
        <w:spacing w:after="20"/>
      </w:pPr>
      <w:r>
        <w:rPr>
          <w:rFonts w:ascii="Aptos" w:hAnsi="Aptos"/>
          <w:b w:val="0"/>
          <w:i w:val="0"/>
          <w:sz w:val="18"/>
        </w:rPr>
        <w:t>Duplicate decoded property names SHALL return ERR-06 before unique-name materialization.</w:t>
      </w:r>
    </w:p>
    <w:p>
      <w:pPr>
        <w:pStyle w:val="ListBullet"/>
        <w:spacing w:after="20"/>
      </w:pPr>
      <w:r>
        <w:rPr>
          <w:rFonts w:ascii="Aptos" w:hAnsi="Aptos"/>
          <w:b w:val="0"/>
          <w:i w:val="0"/>
          <w:sz w:val="18"/>
        </w:rPr>
        <w:t>Validation proceeds IN-01 through IN-04 in canonical order using the Section 9 error mapping.</w:t>
      </w:r>
    </w:p>
    <w:p>
      <w:pPr>
        <w:pStyle w:val="ListBullet"/>
        <w:spacing w:after="20"/>
      </w:pPr>
      <w:r>
        <w:rPr>
          <w:rFonts w:ascii="Aptos" w:hAnsi="Aptos"/>
          <w:b w:val="0"/>
          <w:i w:val="0"/>
          <w:sz w:val="18"/>
        </w:rPr>
        <w:t>No patient-level regimen value or clinical regimen-selection variable is accepted as analytical input.</w:t>
      </w:r>
    </w:p>
    <w:p>
      <w:pPr>
        <w:pStyle w:val="Heading2"/>
      </w:pPr>
      <w:r>
        <w:t>5.4 Hyperbaric Oxygen Therapy Location Lookup</w:t>
      </w:r>
    </w:p>
    <w:p>
      <w:r>
        <w:rPr>
          <w:rFonts w:ascii="Aptos" w:hAnsi="Aptos"/>
          <w:b w:val="0"/>
          <w:i w:val="0"/>
          <w:sz w:val="18"/>
        </w:rPr>
        <w:t>Roster compatibility is true if and only if analysis_request.provider_roster_version_iri equals questionnaire_response.provider_roster_version_iri and both equal the bound Appendix E roster version IRI. Equality is exact, case-sensitive Unicode string equality; family IRIs, redirects, aliases, semantic-version ranges, later-compatible versions, and successor versions are not compatible. After compatibility succeeds, the engine SHALL load only the snapshot identified by that IRI, verify that its internal roster_version_iri and record/selectability invariants are valid, and resolve IN-01 by exact provider_iri match to one selectable record. It SHALL copy roster_version_iri, roster_record_iri, provider_iri, compact_id, facility listing, jurisdiction, address status, and normalized address candidate into the result. No nearest-location search, cross-version lookup, compact-alias lookup, successor substitution, geocoding, routing, suitability determination, or ranking occurs.</w:t>
      </w:r>
    </w:p>
    <w:p>
      <w:pPr>
        <w:pStyle w:val="Heading3"/>
      </w:pPr>
      <w:r>
        <w:t>5.4.1 Roster Compatibility and Dependency Algorithm</w:t>
      </w:r>
    </w:p>
    <w:tbl>
      <w:tblPr>
        <w:tblW w:type="dxa" w:w="9360"/>
        <w:tblLayout w:type="fixed"/>
        <w:tblLook w:firstColumn="1" w:firstRow="1" w:lastColumn="0" w:lastRow="0" w:noHBand="0" w:noVBand="1" w:val="04A0"/>
        <w:tblInd w:w="120" w:type="dxa"/>
      </w:tblPr>
      <w:tblGrid>
        <w:gridCol w:w="1100"/>
        <w:gridCol w:w="5400"/>
        <w:gridCol w:w="2860"/>
      </w:tblGrid>
      <w:tr>
        <w:trPr>
          <w:cantSplit w:val="true"/>
          <w:tblHeader w:val="true"/>
        </w:trPr>
        <w:tc>
          <w:tcPr>
            <w:tcW w:type="dxa" w:w="11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STEP</w:t>
            </w:r>
          </w:p>
        </w:tc>
        <w:tc>
          <w:tcPr>
            <w:tcW w:type="dxa" w:w="54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MANDATORY TEST</w:t>
            </w:r>
          </w:p>
        </w:tc>
        <w:tc>
          <w:tcPr>
            <w:tcW w:type="dxa" w:w="28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FAILURE</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RC-01</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3"/>
              </w:rPr>
              <w:t>analysis_request.provider_roster_version_iri exactly equals the CKS-bound roster version IRI</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3"/>
              </w:rPr>
              <w:t>ERR-05; error_field=provider_roster_version_iri</w:t>
            </w:r>
          </w:p>
        </w:tc>
      </w:tr>
      <w:tr>
        <w:trPr>
          <w:cantSplit w:val="true"/>
        </w:trPr>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RC-02</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questionnaire_response.provider_roster_version_iri exactly equals analysis_request.provider_roster_version_iri</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ERR-05; error_field=questionnaire_response.provider_roster_version_iri</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RC-03</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3"/>
              </w:rPr>
              <w:t>The exact roster snapshot can be loaded without fallback, redirect, or substitution</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3"/>
              </w:rPr>
              <w:t>ERR-10; error_field=provider_roster_dependency</w:t>
            </w:r>
          </w:p>
        </w:tc>
      </w:tr>
      <w:tr>
        <w:trPr>
          <w:cantSplit w:val="true"/>
        </w:trPr>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RC-04</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Loaded snapshot declares the requested roster_version_iri and passes the Appendix E identity, uniqueness, mapping, and selectability invariants</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ERR-10; error_field=provider_roster_dependency</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RC-05</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3"/>
              </w:rPr>
              <w:t>IN-01 resolves by exact provider_iri equality to exactly one record having selectable=true</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3"/>
              </w:rPr>
              <w:t>ERR-09; error_field=IN-01</w:t>
            </w:r>
          </w:p>
        </w:tc>
      </w:tr>
    </w:tbl>
    <w:p>
      <w:pPr>
        <w:spacing w:after="20"/>
      </w:pPr>
    </w:p>
    <w:p>
      <w:r>
        <w:rPr>
          <w:rFonts w:ascii="Aptos" w:hAnsi="Aptos"/>
          <w:b w:val="0"/>
          <w:i w:val="0"/>
          <w:sz w:val="18"/>
        </w:rPr>
        <w:t>The engine SHALL execute RC-01 through RC-05 in order and stop at the first failure. ERR-05 denotes incompatible submitted artifact metadata; ERR-10 denotes failure of the engine's required roster dependency after compatible inputs have been established; ERR-09 denotes an invalid provider selection within a valid and available compatible roster. An ERR-10 result SHALL contain no burden values and SHALL NOT be changed to ERR-09 merely because provider lookup cannot proceed.</w:t>
      </w:r>
    </w:p>
    <w:p>
      <w:pPr>
        <w:pStyle w:val="Heading2"/>
      </w:pPr>
      <w:r>
        <w:t>5.5 Round-trip Conversion</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one_way_distance_miles = IN-02</w:t>
            </w:r>
          </w:p>
          <w:p>
            <w:pPr>
              <w:spacing w:after="0"/>
            </w:pPr>
            <w:r>
              <w:rPr>
                <w:rFonts w:ascii="Consolas" w:hAnsi="Consolas"/>
                <w:b w:val="0"/>
                <w:i w:val="0"/>
                <w:sz w:val="15"/>
              </w:rPr>
              <w:t>one_way_travel_hours = IN-03 / 60</w:t>
            </w:r>
          </w:p>
          <w:p>
            <w:pPr>
              <w:spacing w:after="0"/>
            </w:pPr>
            <w:r>
              <w:rPr>
                <w:rFonts w:ascii="Consolas" w:hAnsi="Consolas"/>
                <w:b w:val="0"/>
                <w:i w:val="0"/>
                <w:sz w:val="15"/>
              </w:rPr>
              <w:t>round_trip_distance_miles = 2 × one_way_distance_miles</w:t>
            </w:r>
          </w:p>
          <w:p>
            <w:pPr>
              <w:spacing w:after="0"/>
            </w:pPr>
            <w:r>
              <w:rPr>
                <w:rFonts w:ascii="Consolas" w:hAnsi="Consolas"/>
                <w:b w:val="0"/>
                <w:i w:val="0"/>
                <w:sz w:val="15"/>
              </w:rPr>
              <w:t>round_trip_travel_hours = 2 × one_way_travel_hours</w:t>
            </w:r>
          </w:p>
        </w:tc>
      </w:tr>
    </w:tbl>
    <w:p>
      <w:pPr>
        <w:spacing w:after="20"/>
      </w:pPr>
    </w:p>
    <w:p>
      <w:r>
        <w:rPr>
          <w:rFonts w:ascii="Aptos" w:hAnsi="Aptos"/>
          <w:b w:val="0"/>
          <w:i w:val="0"/>
          <w:sz w:val="18"/>
        </w:rPr>
        <w:t>The factor of two is a transparent planning convention. The engine SHALL disclose that outbound and return trips may differ. It SHALL NOT introduce traffic, parking, pickup, waiting, weather, or speed adjustments.</w:t>
      </w:r>
    </w:p>
    <w:p>
      <w:pPr>
        <w:pStyle w:val="Heading2"/>
      </w:pPr>
      <w:r>
        <w:t>5.6 Zero-value Interpretation</w:t>
      </w:r>
    </w:p>
    <w:p>
      <w:r>
        <w:rPr>
          <w:rFonts w:ascii="Aptos" w:hAnsi="Aptos"/>
          <w:b w:val="0"/>
          <w:i w:val="0"/>
          <w:sz w:val="18"/>
        </w:rPr>
        <w:t>Zero is permitted only when explicitly reported. The interface SHOULD ask the user to confirm a zero value because it normally means that no travel is required. The engine SHALL NOT use zero as a missing-value substitute.</w:t>
      </w:r>
    </w:p>
    <w:p>
      <w:r>
        <w:br w:type="page"/>
      </w:r>
    </w:p>
    <w:p>
      <w:pPr>
        <w:pStyle w:val="Heading1"/>
      </w:pPr>
      <w:r>
        <w:t>6. Normative Burden Computation</w:t>
      </w:r>
    </w:p>
    <w:p>
      <w:pPr>
        <w:pStyle w:val="Heading2"/>
      </w:pPr>
      <w:r>
        <w:t>6.1 Bound Knowledge Parameters and Reported Travel Parameters</w:t>
      </w:r>
    </w:p>
    <w:p>
      <w:r>
        <w:rPr>
          <w:rFonts w:ascii="Aptos" w:hAnsi="Aptos"/>
          <w:b w:val="0"/>
          <w:i w:val="0"/>
          <w:sz w:val="18"/>
        </w:rPr>
        <w:t>Let Vshorter=30, Vlonger=40, S=5, and F=3 be copied unchanged from fixed_regimen_range_response inside the validated Section 5.1 analysis request. F is scheduled_facility_hours_per_episode.value. Let T be round-trip travel hours and D be round-trip miles calculated from IN-02 and IN-03. None is a patient-entered regimen value.</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NO PATIENT-LEVEL REGIMEN COMPUTATION  </w:t>
            </w:r>
            <w:r>
              <w:rPr>
                <w:rFonts w:ascii="Aptos" w:hAnsi="Aptos"/>
                <w:b w:val="0"/>
                <w:i w:val="0"/>
                <w:sz w:val="18"/>
              </w:rPr>
              <w:t>Every completed analysis SHALL calculate both the shorter and longer scenarios. The patient does not enter regimen duration, choose a scenario, or receive an individualized regimen. Only the selected hyperbaric oxygen therapy location, reported travel values, and reported attendance-feasibility value vary by patient.</w:t>
            </w:r>
          </w:p>
        </w:tc>
      </w:tr>
    </w:tbl>
    <w:p>
      <w:pPr>
        <w:spacing w:after="20"/>
      </w:pPr>
    </w:p>
    <w:p>
      <w:pPr>
        <w:pStyle w:val="Heading2"/>
      </w:pPr>
      <w:r>
        <w:t>6.2 Formulas</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for scenario_name, episodes in [("shorter", Vshorter),</w:t>
            </w:r>
          </w:p>
          <w:p>
            <w:pPr>
              <w:spacing w:after="0"/>
            </w:pPr>
            <w:r>
              <w:rPr>
                <w:rFonts w:ascii="Consolas" w:hAnsi="Consolas"/>
                <w:b w:val="0"/>
                <w:i w:val="0"/>
                <w:sz w:val="15"/>
              </w:rPr>
              <w:t xml:space="preserve">                                ("longer", Vlonger)]:</w:t>
            </w:r>
          </w:p>
          <w:p>
            <w:pPr>
              <w:spacing w:after="0"/>
            </w:pPr>
            <w:r>
              <w:rPr>
                <w:rFonts w:ascii="Consolas" w:hAnsi="Consolas"/>
                <w:b w:val="0"/>
                <w:i w:val="0"/>
                <w:sz w:val="15"/>
              </w:rPr>
              <w:t xml:space="preserve">  course_weeks = episodes / S</w:t>
            </w:r>
          </w:p>
          <w:p>
            <w:pPr>
              <w:spacing w:after="0"/>
            </w:pPr>
            <w:r>
              <w:rPr>
                <w:rFonts w:ascii="Consolas" w:hAnsi="Consolas"/>
                <w:b w:val="0"/>
                <w:i w:val="0"/>
                <w:sz w:val="15"/>
              </w:rPr>
              <w:t xml:space="preserve">  travel_hours_raw = episodes × T</w:t>
            </w:r>
          </w:p>
          <w:p>
            <w:pPr>
              <w:spacing w:after="0"/>
            </w:pPr>
            <w:r>
              <w:rPr>
                <w:rFonts w:ascii="Consolas" w:hAnsi="Consolas"/>
                <w:b w:val="0"/>
                <w:i w:val="0"/>
                <w:sz w:val="15"/>
              </w:rPr>
              <w:t xml:space="preserve">  facility_hours = episodes × F</w:t>
            </w:r>
          </w:p>
          <w:p>
            <w:pPr>
              <w:spacing w:after="0"/>
            </w:pPr>
            <w:r>
              <w:rPr>
                <w:rFonts w:ascii="Consolas" w:hAnsi="Consolas"/>
                <w:b w:val="0"/>
                <w:i w:val="0"/>
                <w:sz w:val="15"/>
              </w:rPr>
              <w:t xml:space="preserve">  total_patient_hours_raw = travel_hours_raw + facility_hours</w:t>
            </w:r>
          </w:p>
          <w:p>
            <w:pPr>
              <w:spacing w:after="0"/>
            </w:pPr>
            <w:r>
              <w:rPr>
                <w:rFonts w:ascii="Consolas" w:hAnsi="Consolas"/>
                <w:b w:val="0"/>
                <w:i w:val="0"/>
                <w:sz w:val="15"/>
              </w:rPr>
              <w:t xml:space="preserve">  total_course_miles_raw = episodes × D</w:t>
            </w:r>
          </w:p>
          <w:p>
            <w:pPr>
              <w:spacing w:after="0"/>
            </w:pPr>
            <w:r>
              <w:rPr>
                <w:rFonts w:ascii="Consolas" w:hAnsi="Consolas"/>
                <w:b w:val="0"/>
                <w:i w:val="0"/>
                <w:sz w:val="15"/>
              </w:rPr>
            </w:r>
          </w:p>
          <w:p>
            <w:pPr>
              <w:spacing w:after="0"/>
            </w:pPr>
            <w:r>
              <w:rPr>
                <w:rFonts w:ascii="Consolas" w:hAnsi="Consolas"/>
                <w:b w:val="0"/>
                <w:i w:val="0"/>
                <w:sz w:val="15"/>
              </w:rPr>
              <w:t xml:space="preserve">  if scenario_name == "shorter":</w:t>
            </w:r>
          </w:p>
          <w:p>
            <w:pPr>
              <w:spacing w:after="0"/>
            </w:pPr>
            <w:r>
              <w:rPr>
                <w:rFonts w:ascii="Consolas" w:hAnsi="Consolas"/>
                <w:b w:val="0"/>
                <w:i w:val="0"/>
                <w:sz w:val="15"/>
              </w:rPr>
              <w:t xml:space="preserve">    serialize raw quantities as shorter with lower_endpoint()</w:t>
            </w:r>
          </w:p>
          <w:p>
            <w:pPr>
              <w:spacing w:after="0"/>
            </w:pPr>
            <w:r>
              <w:rPr>
                <w:rFonts w:ascii="Consolas" w:hAnsi="Consolas"/>
                <w:b w:val="0"/>
                <w:i w:val="0"/>
                <w:sz w:val="15"/>
              </w:rPr>
              <w:t xml:space="preserve">  elif scenario_name == "longer":</w:t>
            </w:r>
          </w:p>
          <w:p>
            <w:pPr>
              <w:spacing w:after="0"/>
            </w:pPr>
            <w:r>
              <w:rPr>
                <w:rFonts w:ascii="Consolas" w:hAnsi="Consolas"/>
                <w:b w:val="0"/>
                <w:i w:val="0"/>
                <w:sz w:val="15"/>
              </w:rPr>
              <w:t xml:space="preserve">    serialize raw quantities as longer with upper_endpoint()</w:t>
            </w:r>
          </w:p>
          <w:p>
            <w:pPr>
              <w:spacing w:after="0"/>
            </w:pPr>
            <w:r>
              <w:rPr>
                <w:rFonts w:ascii="Consolas" w:hAnsi="Consolas"/>
                <w:b w:val="0"/>
                <w:i w:val="0"/>
                <w:sz w:val="15"/>
              </w:rPr>
            </w:r>
          </w:p>
          <w:p>
            <w:pPr>
              <w:spacing w:after="0"/>
            </w:pPr>
            <w:r>
              <w:rPr>
                <w:rFonts w:ascii="Consolas" w:hAnsi="Consolas"/>
                <w:b w:val="0"/>
                <w:i w:val="0"/>
                <w:sz w:val="15"/>
              </w:rPr>
              <w:t>overall_travel_hours = [shorter.travel_hours, longer.travel_hours]</w:t>
            </w:r>
          </w:p>
          <w:p>
            <w:pPr>
              <w:spacing w:after="0"/>
            </w:pPr>
            <w:r>
              <w:rPr>
                <w:rFonts w:ascii="Consolas" w:hAnsi="Consolas"/>
                <w:b w:val="0"/>
                <w:i w:val="0"/>
                <w:sz w:val="15"/>
              </w:rPr>
              <w:t>overall_facility_hours = [shorter.facility_hours, longer.facility_hours]</w:t>
            </w:r>
          </w:p>
          <w:p>
            <w:pPr>
              <w:spacing w:after="0"/>
            </w:pPr>
            <w:r>
              <w:rPr>
                <w:rFonts w:ascii="Consolas" w:hAnsi="Consolas"/>
                <w:b w:val="0"/>
                <w:i w:val="0"/>
                <w:sz w:val="15"/>
              </w:rPr>
              <w:t>overall_total_patient_hours = [shorter.total_patient_hours,</w:t>
            </w:r>
          </w:p>
          <w:p>
            <w:pPr>
              <w:spacing w:after="0"/>
            </w:pPr>
            <w:r>
              <w:rPr>
                <w:rFonts w:ascii="Consolas" w:hAnsi="Consolas"/>
                <w:b w:val="0"/>
                <w:i w:val="0"/>
                <w:sz w:val="15"/>
              </w:rPr>
              <w:t xml:space="preserve">                               longer.total_patient_hours]</w:t>
            </w:r>
          </w:p>
          <w:p>
            <w:pPr>
              <w:spacing w:after="0"/>
            </w:pPr>
            <w:r>
              <w:rPr>
                <w:rFonts w:ascii="Consolas" w:hAnsi="Consolas"/>
                <w:b w:val="0"/>
                <w:i w:val="0"/>
                <w:sz w:val="15"/>
              </w:rPr>
              <w:t>overall_total_course_miles = [shorter.total_course_miles, longer.total_course_miles]</w:t>
            </w:r>
          </w:p>
        </w:tc>
      </w:tr>
    </w:tbl>
    <w:p>
      <w:pPr>
        <w:spacing w:after="20"/>
      </w:pPr>
    </w:p>
    <w:p>
      <w:pPr>
        <w:pStyle w:val="Heading2"/>
      </w:pPr>
      <w:r>
        <w:t>6.3 Rounding</w:t>
      </w:r>
    </w:p>
    <w:p>
      <w:r>
        <w:rPr>
          <w:rFonts w:ascii="Aptos" w:hAnsi="Aptos"/>
          <w:b w:val="0"/>
          <w:i w:val="0"/>
          <w:sz w:val="18"/>
        </w:rPr>
        <w:t>The numeric values serialized in an analysis result are presentation-ready bounded values. They are not binary floating-point approximations of repeating intermediate quotients. Implementations SHALL calculate the raw quantities exactly using decimal or rational arithmetic, apply the rules below once, and serialize the resulting ordinary JSON numbers. A user interface SHALL NOT apply another numerical rounding pass.</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quantum(x) = 0.1 when 0 ≤ x &lt; 10; otherwise 1</w:t>
            </w:r>
          </w:p>
          <w:p>
            <w:pPr>
              <w:spacing w:after="0"/>
            </w:pPr>
            <w:r>
              <w:rPr>
                <w:rFonts w:ascii="Consolas" w:hAnsi="Consolas"/>
                <w:b w:val="0"/>
                <w:i w:val="0"/>
                <w:sz w:val="15"/>
              </w:rPr>
              <w:t>lower_endpoint(x) = floor(x / quantum(x)) × quantum(x)</w:t>
            </w:r>
          </w:p>
          <w:p>
            <w:pPr>
              <w:spacing w:after="0"/>
            </w:pPr>
            <w:r>
              <w:rPr>
                <w:rFonts w:ascii="Consolas" w:hAnsi="Consolas"/>
                <w:b w:val="0"/>
                <w:i w:val="0"/>
                <w:sz w:val="15"/>
              </w:rPr>
              <w:t>upper_endpoint(x) = ceiling(x / quantum(x)) × quantum(x)</w:t>
            </w:r>
          </w:p>
          <w:p>
            <w:pPr>
              <w:spacing w:after="0"/>
            </w:pPr>
            <w:r>
              <w:rPr>
                <w:rFonts w:ascii="Consolas" w:hAnsi="Consolas"/>
                <w:b w:val="0"/>
                <w:i w:val="0"/>
                <w:sz w:val="15"/>
              </w:rPr>
              <w:t>nearest_value(x) = floor((x / quantum(x)) + 0.5) × quantum(x)</w:t>
            </w:r>
          </w:p>
          <w:p>
            <w:pPr>
              <w:spacing w:after="0"/>
            </w:pPr>
            <w:r>
              <w:rPr>
                <w:rFonts w:ascii="Consolas" w:hAnsi="Consolas"/>
                <w:b w:val="0"/>
                <w:i w:val="0"/>
                <w:sz w:val="15"/>
              </w:rPr>
            </w:r>
          </w:p>
          <w:p>
            <w:pPr>
              <w:spacing w:after="0"/>
            </w:pPr>
            <w:r>
              <w:rPr>
                <w:rFonts w:ascii="Consolas" w:hAnsi="Consolas"/>
                <w:b w:val="0"/>
                <w:i w:val="0"/>
                <w:sz w:val="15"/>
              </w:rPr>
              <w:t>shorter scenario travel_hours, total_patient_hours, course_miles:</w:t>
            </w:r>
          </w:p>
          <w:p>
            <w:pPr>
              <w:spacing w:after="0"/>
            </w:pPr>
            <w:r>
              <w:rPr>
                <w:rFonts w:ascii="Consolas" w:hAnsi="Consolas"/>
                <w:b w:val="0"/>
                <w:i w:val="0"/>
                <w:sz w:val="15"/>
              </w:rPr>
              <w:t xml:space="preserve">  lower_endpoint(raw value)</w:t>
            </w:r>
          </w:p>
          <w:p>
            <w:pPr>
              <w:spacing w:after="0"/>
            </w:pPr>
            <w:r>
              <w:rPr>
                <w:rFonts w:ascii="Consolas" w:hAnsi="Consolas"/>
                <w:b w:val="0"/>
                <w:i w:val="0"/>
                <w:sz w:val="15"/>
              </w:rPr>
              <w:t>longer scenario travel_hours, total_patient_hours, course_miles:</w:t>
            </w:r>
          </w:p>
          <w:p>
            <w:pPr>
              <w:spacing w:after="0"/>
            </w:pPr>
            <w:r>
              <w:rPr>
                <w:rFonts w:ascii="Consolas" w:hAnsi="Consolas"/>
                <w:b w:val="0"/>
                <w:i w:val="0"/>
                <w:sz w:val="15"/>
              </w:rPr>
              <w:t xml:space="preserve">  upper_endpoint(raw value)</w:t>
            </w:r>
          </w:p>
          <w:p>
            <w:pPr>
              <w:spacing w:after="0"/>
            </w:pPr>
            <w:r>
              <w:rPr>
                <w:rFonts w:ascii="Consolas" w:hAnsi="Consolas"/>
                <w:b w:val="0"/>
                <w:i w:val="0"/>
                <w:sz w:val="15"/>
              </w:rPr>
              <w:t>sensitivity travel_hours, total_hours, and miles:</w:t>
            </w:r>
          </w:p>
          <w:p>
            <w:pPr>
              <w:spacing w:after="0"/>
            </w:pPr>
            <w:r>
              <w:rPr>
                <w:rFonts w:ascii="Consolas" w:hAnsi="Consolas"/>
                <w:b w:val="0"/>
                <w:i w:val="0"/>
                <w:sz w:val="15"/>
              </w:rPr>
              <w:t xml:space="preserve">  nearest_value(raw value)</w:t>
            </w:r>
          </w:p>
        </w:tc>
      </w:tr>
    </w:tbl>
    <w:p>
      <w:pPr>
        <w:spacing w:after="20"/>
      </w:pPr>
    </w:p>
    <w:p>
      <w:pPr>
        <w:pStyle w:val="ListBullet"/>
        <w:spacing w:after="20"/>
      </w:pPr>
      <w:r>
        <w:rPr>
          <w:rFonts w:ascii="Aptos" w:hAnsi="Aptos"/>
          <w:b w:val="0"/>
          <w:i w:val="0"/>
          <w:sz w:val="18"/>
        </w:rPr>
        <w:t>All raw computations SHALL use exact nonnegative decimal or rational values. IEEE-754 binary arithmetic MAY be used only if the implementation proves that its final values equal the rules above; native binary float stringification is not a rounding rule.</w:t>
      </w:r>
    </w:p>
    <w:p>
      <w:pPr>
        <w:pStyle w:val="ListBullet"/>
        <w:spacing w:after="20"/>
      </w:pPr>
      <w:r>
        <w:rPr>
          <w:rFonts w:ascii="Aptos" w:hAnsi="Aptos"/>
          <w:b w:val="0"/>
          <w:i w:val="0"/>
          <w:sz w:val="18"/>
        </w:rPr>
        <w:t>Episode counts and facility hours are exact integers. Course weeks are exact here because 30 ÷ 5 = 6 and 40 ÷ 5 = 8; they SHALL serialize as 6.0 and 8.0 where the schema fixes those lexical-independent JSON numeric values.</w:t>
      </w:r>
    </w:p>
    <w:p>
      <w:pPr>
        <w:pStyle w:val="ListBullet"/>
        <w:spacing w:after="20"/>
      </w:pPr>
      <w:r>
        <w:rPr>
          <w:rFonts w:ascii="Aptos" w:hAnsi="Aptos"/>
          <w:b w:val="0"/>
          <w:i w:val="0"/>
          <w:sz w:val="18"/>
        </w:rPr>
        <w:t>The quantum is selected from the unrounded raw value before rounding. Values exactly equal to 10 use quantum 1.</w:t>
      </w:r>
    </w:p>
    <w:p>
      <w:pPr>
        <w:pStyle w:val="ListBullet"/>
        <w:spacing w:after="20"/>
      </w:pPr>
      <w:r>
        <w:rPr>
          <w:rFonts w:ascii="Aptos" w:hAnsi="Aptos"/>
          <w:b w:val="0"/>
          <w:i w:val="0"/>
          <w:sz w:val="18"/>
        </w:rPr>
        <w:t>Lower and upper endpoint operations are directed toward negative and positive infinity respectively. Because all modeled quantities are nonnegative, these are conventional floor and ceiling operations.</w:t>
      </w:r>
    </w:p>
    <w:p>
      <w:pPr>
        <w:pStyle w:val="ListBullet"/>
        <w:spacing w:after="20"/>
      </w:pPr>
      <w:r>
        <w:rPr>
          <w:rFonts w:ascii="Aptos" w:hAnsi="Aptos"/>
          <w:b w:val="0"/>
          <w:i w:val="0"/>
          <w:sz w:val="18"/>
        </w:rPr>
        <w:t>nearest_value uses half-up ties. For nonnegative values, an exact half quantum rounds upward.</w:t>
      </w:r>
    </w:p>
    <w:p>
      <w:pPr>
        <w:pStyle w:val="ListBullet"/>
        <w:spacing w:after="20"/>
      </w:pPr>
      <w:r>
        <w:rPr>
          <w:rFonts w:ascii="Aptos" w:hAnsi="Aptos"/>
          <w:b w:val="0"/>
          <w:i w:val="0"/>
          <w:sz w:val="18"/>
        </w:rPr>
        <w:t>Overall range arrays SHALL copy the already serialized shorter and longer scenario endpoints exactly; they SHALL NOT independently recalculate or reround them.</w:t>
      </w:r>
    </w:p>
    <w:p>
      <w:pPr>
        <w:pStyle w:val="Heading3"/>
      </w:pPr>
      <w:r>
        <w:t>6.3.1 IN-03-derived Hour Values and Exclusive Uses</w:t>
      </w:r>
    </w:p>
    <w:p>
      <w:r>
        <w:rPr>
          <w:rFonts w:ascii="Aptos" w:hAnsi="Aptos"/>
          <w:b w:val="0"/>
          <w:i w:val="0"/>
          <w:sz w:val="18"/>
        </w:rPr>
        <w:t>The exact shared basis is T = (IN-03 × 2) ÷ 60 round-trip hours, calculated with decimal or rational arithmetic and without rounding. Travel-band classification uses T itself. Exactly three rounded hour-output families are then derived independently from T. Each family SHALL be calculated from the unrounded basis and its other stated operands; no family may be calculated from, substituted for, or allowed to alter another family.</w:t>
      </w:r>
    </w:p>
    <w:tbl>
      <w:tblPr>
        <w:tblW w:type="dxa" w:w="9360"/>
        <w:tblLayout w:type="fixed"/>
        <w:tblLook w:firstColumn="1" w:firstRow="1" w:lastColumn="0" w:lastRow="0" w:noHBand="0" w:noVBand="1" w:val="04A0"/>
        <w:tblInd w:w="120" w:type="dxa"/>
      </w:tblPr>
      <w:tblGrid>
        <w:gridCol w:w="2300"/>
        <w:gridCol w:w="3700"/>
        <w:gridCol w:w="3360"/>
      </w:tblGrid>
      <w:tr>
        <w:trPr>
          <w:cantSplit w:val="true"/>
          <w:tblHeader w:val="true"/>
        </w:trPr>
        <w:tc>
          <w:tcPr>
            <w:tcW w:type="dxa" w:w="23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QUANTITY / OUTPUT FAMILY</w:t>
            </w:r>
          </w:p>
        </w:tc>
        <w:tc>
          <w:tcPr>
            <w:tcW w:type="dxa" w:w="3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CALCULATION AND ROUNDING</w:t>
            </w:r>
          </w:p>
        </w:tc>
        <w:tc>
          <w:tcPr>
            <w:tcW w:type="dxa" w:w="33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EXCLUSIVE USE</w:t>
            </w:r>
          </w:p>
        </w:tc>
      </w:tr>
      <w:tr>
        <w:trPr>
          <w:cantSplit w:val="true"/>
        </w:trPr>
        <w:tc>
          <w:tcPr>
            <w:tcW w:type="dxa" w:w="2300"/>
            <w:tcMar>
              <w:top w:w="100" w:type="dxa"/>
              <w:start w:w="120" w:type="dxa"/>
              <w:bottom w:w="100" w:type="dxa"/>
              <w:end w:w="120" w:type="dxa"/>
            </w:tcMar>
            <w:vAlign w:val="center"/>
          </w:tcPr>
          <w:p>
            <w:pPr>
              <w:spacing w:after="0" w:line="240" w:lineRule="auto"/>
            </w:pPr>
            <w:r>
              <w:rPr>
                <w:rFonts w:ascii="Aptos" w:hAnsi="Aptos"/>
                <w:b w:val="0"/>
                <w:i w:val="0"/>
                <w:color w:val="000000"/>
                <w:sz w:val="12"/>
              </w:rPr>
              <w:t>Unrounded basis T</w:t>
            </w:r>
          </w:p>
        </w:tc>
        <w:tc>
          <w:tcPr>
            <w:tcW w:type="dxa" w:w="3700"/>
            <w:tcMar>
              <w:top w:w="100" w:type="dxa"/>
              <w:start w:w="120" w:type="dxa"/>
              <w:bottom w:w="100" w:type="dxa"/>
              <w:end w:w="120" w:type="dxa"/>
            </w:tcMar>
            <w:vAlign w:val="center"/>
          </w:tcPr>
          <w:p>
            <w:pPr>
              <w:spacing w:after="0" w:line="240" w:lineRule="auto"/>
            </w:pPr>
            <w:r>
              <w:rPr>
                <w:rFonts w:ascii="Aptos" w:hAnsi="Aptos"/>
                <w:b w:val="0"/>
                <w:i w:val="0"/>
                <w:color w:val="000000"/>
                <w:sz w:val="12"/>
              </w:rPr>
              <w:t>(IN-03 × 2) ÷ 60; no rounding</w:t>
            </w:r>
          </w:p>
        </w:tc>
        <w:tc>
          <w:tcPr>
            <w:tcW w:type="dxa" w:w="3360"/>
            <w:tcMar>
              <w:top w:w="100" w:type="dxa"/>
              <w:start w:w="120" w:type="dxa"/>
              <w:bottom w:w="100" w:type="dxa"/>
              <w:end w:w="120" w:type="dxa"/>
            </w:tcMar>
            <w:vAlign w:val="center"/>
          </w:tcPr>
          <w:p>
            <w:pPr>
              <w:spacing w:after="0" w:line="240" w:lineRule="auto"/>
            </w:pPr>
            <w:r>
              <w:rPr>
                <w:rFonts w:ascii="Aptos" w:hAnsi="Aptos"/>
                <w:b w:val="0"/>
                <w:i w:val="0"/>
                <w:color w:val="000000"/>
                <w:sz w:val="12"/>
              </w:rPr>
              <w:t>Raw burden arithmetic and Section 7.1 travel-band classification; not serialized as round_trip_hours</w:t>
            </w:r>
          </w:p>
        </w:tc>
      </w:tr>
      <w:tr>
        <w:trPr>
          <w:cantSplit w:val="true"/>
        </w:trPr>
        <w:tc>
          <w:tcPr>
            <w:tcW w:type="dxa" w:w="2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Scenario hour endpoints</w:t>
            </w:r>
          </w:p>
        </w:tc>
        <w:tc>
          <w:tcPr>
            <w:tcW w:type="dxa" w:w="3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episodes × T and episodes × (T + F); shorter uses lower_endpoint(), longer uses upper_endpoint()</w:t>
            </w:r>
          </w:p>
        </w:tc>
        <w:tc>
          <w:tcPr>
            <w:tcW w:type="dxa" w:w="3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Serialized scenario and overall-range travel_hours and total_patient_hours under Sections 6.2–6.3</w:t>
            </w:r>
          </w:p>
        </w:tc>
      </w:tr>
      <w:tr>
        <w:trPr>
          <w:cantSplit w:val="true"/>
        </w:trPr>
        <w:tc>
          <w:tcPr>
            <w:tcW w:type="dxa" w:w="2300"/>
            <w:tcMar>
              <w:top w:w="100" w:type="dxa"/>
              <w:start w:w="120" w:type="dxa"/>
              <w:bottom w:w="100" w:type="dxa"/>
              <w:end w:w="120" w:type="dxa"/>
            </w:tcMar>
            <w:vAlign w:val="center"/>
          </w:tcPr>
          <w:p>
            <w:pPr>
              <w:spacing w:after="0" w:line="240" w:lineRule="auto"/>
            </w:pPr>
            <w:r>
              <w:rPr>
                <w:rFonts w:ascii="Aptos" w:hAnsi="Aptos"/>
                <w:b w:val="0"/>
                <w:i w:val="0"/>
                <w:color w:val="000000"/>
                <w:sz w:val="12"/>
              </w:rPr>
              <w:t>Sensitivity hour differences</w:t>
            </w:r>
          </w:p>
        </w:tc>
        <w:tc>
          <w:tcPr>
            <w:tcW w:type="dxa" w:w="3700"/>
            <w:tcMar>
              <w:top w:w="100" w:type="dxa"/>
              <w:start w:w="120" w:type="dxa"/>
              <w:bottom w:w="100" w:type="dxa"/>
              <w:end w:w="120" w:type="dxa"/>
            </w:tcMar>
            <w:vAlign w:val="center"/>
          </w:tcPr>
          <w:p>
            <w:pPr>
              <w:spacing w:after="0" w:line="240" w:lineRule="auto"/>
            </w:pPr>
            <w:r>
              <w:rPr>
                <w:rFonts w:ascii="Aptos" w:hAnsi="Aptos"/>
                <w:b w:val="0"/>
                <w:i w:val="0"/>
                <w:color w:val="000000"/>
                <w:sz w:val="12"/>
              </w:rPr>
              <w:t>10 × T and 10 × (T + F); use nearest_value()</w:t>
            </w:r>
          </w:p>
        </w:tc>
        <w:tc>
          <w:tcPr>
            <w:tcW w:type="dxa" w:w="3360"/>
            <w:tcMar>
              <w:top w:w="100" w:type="dxa"/>
              <w:start w:w="120" w:type="dxa"/>
              <w:bottom w:w="100" w:type="dxa"/>
              <w:end w:w="120" w:type="dxa"/>
            </w:tcMar>
            <w:vAlign w:val="center"/>
          </w:tcPr>
          <w:p>
            <w:pPr>
              <w:spacing w:after="0" w:line="240" w:lineRule="auto"/>
            </w:pPr>
            <w:r>
              <w:rPr>
                <w:rFonts w:ascii="Aptos" w:hAnsi="Aptos"/>
                <w:b w:val="0"/>
                <w:i w:val="0"/>
                <w:color w:val="000000"/>
                <w:sz w:val="12"/>
              </w:rPr>
              <w:t>Serialized incremental_travel_hours and incremental_total_hours under Section 6.4</w:t>
            </w:r>
          </w:p>
        </w:tc>
      </w:tr>
      <w:tr>
        <w:trPr>
          <w:cantSplit w:val="true"/>
        </w:trPr>
        <w:tc>
          <w:tcPr>
            <w:tcW w:type="dxa" w:w="2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Driver-display round_trip_hours</w:t>
            </w:r>
          </w:p>
        </w:tc>
        <w:tc>
          <w:tcPr>
            <w:tcW w:type="dxa" w:w="3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 rounded directly to 0.1 hour using half-up; suppress insignificant trailing zeros</w:t>
            </w:r>
          </w:p>
        </w:tc>
        <w:tc>
          <w:tcPr>
            <w:tcW w:type="dxa" w:w="3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Substitution into the applicable Section 7.5 travel-driver display template only</w:t>
            </w:r>
          </w:p>
        </w:tc>
      </w:tr>
    </w:tbl>
    <w:p>
      <w:pPr>
        <w:spacing w:after="20"/>
      </w:pPr>
    </w:p>
    <w:p>
      <w:r>
        <w:rPr>
          <w:rFonts w:ascii="Aptos" w:hAnsi="Aptos"/>
          <w:b w:val="0"/>
          <w:i w:val="0"/>
          <w:sz w:val="18"/>
        </w:rPr>
        <w:t>Prohibited feedback and reuse. Endpoint-rounded scenario hours, nearest_value() sensitivity hours, and driver-display round_trip_hours SHALL NOT determine the travel band. Driver-display rounding SHALL NOT enter burden arithmetic. Scenario endpoint values SHALL NOT be differenced to create sensitivity values. Sensitivity values SHALL NOT be used to create scenario endpoints. Sections 7.1 and 7.5 incorporate this section by reference.</w:t>
      </w:r>
    </w:p>
    <w:tbl>
      <w:tblPr>
        <w:tblW w:type="dxa" w:w="9360"/>
        <w:tblLayout w:type="fixed"/>
        <w:tblLook w:firstColumn="1" w:firstRow="1" w:lastColumn="0" w:lastRow="0" w:noHBand="0" w:noVBand="1" w:val="04A0"/>
        <w:tblInd w:w="120" w:type="dxa"/>
      </w:tblPr>
      <w:tblGrid>
        <w:gridCol w:w="4200"/>
        <w:gridCol w:w="1800"/>
        <w:gridCol w:w="3360"/>
      </w:tblGrid>
      <w:tr>
        <w:trPr>
          <w:cantSplit w:val="true"/>
          <w:tblHeader w:val="true"/>
        </w:trPr>
        <w:tc>
          <w:tcPr>
            <w:tcW w:type="dxa" w:w="4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RAW VALUE / ROLE</w:t>
            </w:r>
          </w:p>
        </w:tc>
        <w:tc>
          <w:tcPr>
            <w:tcW w:type="dxa" w:w="1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QUANTUM</w:t>
            </w:r>
          </w:p>
        </w:tc>
        <w:tc>
          <w:tcPr>
            <w:tcW w:type="dxa" w:w="33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SERIALIZED VALUE</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9.94, shorter endpoint</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2"/>
              </w:rPr>
              <w:t>0.1</w:t>
            </w:r>
          </w:p>
        </w:tc>
        <w:tc>
          <w:tcPr>
            <w:tcW w:type="dxa" w:w="3360"/>
            <w:tcMar>
              <w:top w:w="100" w:type="dxa"/>
              <w:start w:w="120" w:type="dxa"/>
              <w:bottom w:w="100" w:type="dxa"/>
              <w:end w:w="120" w:type="dxa"/>
            </w:tcMar>
            <w:vAlign w:val="center"/>
          </w:tcPr>
          <w:p>
            <w:pPr>
              <w:spacing w:after="0" w:line="240" w:lineRule="auto"/>
            </w:pPr>
            <w:r>
              <w:rPr>
                <w:rFonts w:ascii="Aptos" w:hAnsi="Aptos"/>
                <w:b w:val="0"/>
                <w:i w:val="0"/>
                <w:color w:val="000000"/>
                <w:sz w:val="12"/>
              </w:rPr>
              <w:t>9.9</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9.94, longer endpoint</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0.1</w:t>
            </w:r>
          </w:p>
        </w:tc>
        <w:tc>
          <w:tcPr>
            <w:tcW w:type="dxa" w:w="3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10</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10.01, shorter endpoint</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3360"/>
            <w:tcMar>
              <w:top w:w="100" w:type="dxa"/>
              <w:start w:w="120" w:type="dxa"/>
              <w:bottom w:w="100" w:type="dxa"/>
              <w:end w:w="120" w:type="dxa"/>
            </w:tcMar>
            <w:vAlign w:val="center"/>
          </w:tcPr>
          <w:p>
            <w:pPr>
              <w:spacing w:after="0" w:line="240" w:lineRule="auto"/>
            </w:pPr>
            <w:r>
              <w:rPr>
                <w:rFonts w:ascii="Aptos" w:hAnsi="Aptos"/>
                <w:b w:val="0"/>
                <w:i w:val="0"/>
                <w:color w:val="000000"/>
                <w:sz w:val="12"/>
              </w:rPr>
              <w:t>10</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10.01, longer endpoint</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w:t>
            </w:r>
          </w:p>
        </w:tc>
        <w:tc>
          <w:tcPr>
            <w:tcW w:type="dxa" w:w="3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29.333…, longer endpoint</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3360"/>
            <w:tcMar>
              <w:top w:w="100" w:type="dxa"/>
              <w:start w:w="120" w:type="dxa"/>
              <w:bottom w:w="100" w:type="dxa"/>
              <w:end w:w="120" w:type="dxa"/>
            </w:tcMar>
            <w:vAlign w:val="center"/>
          </w:tcPr>
          <w:p>
            <w:pPr>
              <w:spacing w:after="0" w:line="240" w:lineRule="auto"/>
            </w:pPr>
            <w:r>
              <w:rPr>
                <w:rFonts w:ascii="Aptos" w:hAnsi="Aptos"/>
                <w:b w:val="0"/>
                <w:i w:val="0"/>
                <w:color w:val="000000"/>
                <w:sz w:val="12"/>
              </w:rPr>
              <w:t>30</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7.333…, sensitivity nearest</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0.1</w:t>
            </w:r>
          </w:p>
        </w:tc>
        <w:tc>
          <w:tcPr>
            <w:tcW w:type="dxa" w:w="3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7.3</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37.333…, sensitivity nearest</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3360"/>
            <w:tcMar>
              <w:top w:w="100" w:type="dxa"/>
              <w:start w:w="120" w:type="dxa"/>
              <w:bottom w:w="100" w:type="dxa"/>
              <w:end w:w="120" w:type="dxa"/>
            </w:tcMar>
            <w:vAlign w:val="center"/>
          </w:tcPr>
          <w:p>
            <w:pPr>
              <w:spacing w:after="0" w:line="240" w:lineRule="auto"/>
            </w:pPr>
            <w:r>
              <w:rPr>
                <w:rFonts w:ascii="Aptos" w:hAnsi="Aptos"/>
                <w:b w:val="0"/>
                <w:i w:val="0"/>
                <w:color w:val="000000"/>
                <w:sz w:val="12"/>
              </w:rPr>
              <w:t>37</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37.5, sensitivity half-up</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w:t>
            </w:r>
          </w:p>
        </w:tc>
        <w:tc>
          <w:tcPr>
            <w:tcW w:type="dxa" w:w="3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38</w:t>
            </w:r>
          </w:p>
        </w:tc>
      </w:tr>
    </w:tbl>
    <w:p>
      <w:pPr>
        <w:spacing w:after="20"/>
      </w:pPr>
    </w:p>
    <w:p>
      <w:pPr>
        <w:pStyle w:val="Heading2"/>
      </w:pPr>
      <w:r>
        <w:t>6.4 Difference Between Longer and Shorter Scenarios</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additional_episodes = Vlonger − Vshorter = 10</w:t>
            </w:r>
          </w:p>
          <w:p>
            <w:pPr>
              <w:spacing w:after="0"/>
            </w:pPr>
            <w:r>
              <w:rPr>
                <w:rFonts w:ascii="Consolas" w:hAnsi="Consolas"/>
                <w:b w:val="0"/>
                <w:i w:val="0"/>
                <w:sz w:val="15"/>
              </w:rPr>
              <w:t>incremental_travel_hours_raw = additional_episodes × T</w:t>
            </w:r>
          </w:p>
          <w:p>
            <w:pPr>
              <w:spacing w:after="0"/>
            </w:pPr>
            <w:r>
              <w:rPr>
                <w:rFonts w:ascii="Consolas" w:hAnsi="Consolas"/>
                <w:b w:val="0"/>
                <w:i w:val="0"/>
                <w:sz w:val="15"/>
              </w:rPr>
              <w:t>incremental_facility_hours = additional_episodes × F</w:t>
            </w:r>
          </w:p>
          <w:p>
            <w:pPr>
              <w:spacing w:after="0"/>
            </w:pPr>
            <w:r>
              <w:rPr>
                <w:rFonts w:ascii="Consolas" w:hAnsi="Consolas"/>
                <w:b w:val="0"/>
                <w:i w:val="0"/>
                <w:sz w:val="15"/>
              </w:rPr>
              <w:t>incremental_total_hours_raw = additional_episodes × (T + F)</w:t>
            </w:r>
          </w:p>
          <w:p>
            <w:pPr>
              <w:spacing w:after="0"/>
            </w:pPr>
            <w:r>
              <w:rPr>
                <w:rFonts w:ascii="Consolas" w:hAnsi="Consolas"/>
                <w:b w:val="0"/>
                <w:i w:val="0"/>
                <w:sz w:val="15"/>
              </w:rPr>
              <w:t>incremental_miles_raw = additional_episodes × D</w:t>
            </w:r>
          </w:p>
          <w:p>
            <w:pPr>
              <w:spacing w:after="0"/>
            </w:pPr>
            <w:r>
              <w:rPr>
                <w:rFonts w:ascii="Consolas" w:hAnsi="Consolas"/>
                <w:b w:val="0"/>
                <w:i w:val="0"/>
                <w:sz w:val="15"/>
              </w:rPr>
              <w:t>incremental_weeks = additional_episodes / S</w:t>
            </w:r>
          </w:p>
          <w:p>
            <w:pPr>
              <w:spacing w:after="0"/>
            </w:pPr>
            <w:r>
              <w:rPr>
                <w:rFonts w:ascii="Consolas" w:hAnsi="Consolas"/>
                <w:b w:val="0"/>
                <w:i w:val="0"/>
                <w:sz w:val="15"/>
              </w:rPr>
            </w:r>
          </w:p>
          <w:p>
            <w:pPr>
              <w:spacing w:after="0"/>
            </w:pPr>
            <w:r>
              <w:rPr>
                <w:rFonts w:ascii="Consolas" w:hAnsi="Consolas"/>
                <w:b w:val="0"/>
                <w:i w:val="0"/>
                <w:sz w:val="15"/>
              </w:rPr>
              <w:t>serialize incremental travel, total, and miles with nearest_value()</w:t>
            </w:r>
          </w:p>
        </w:tc>
      </w:tr>
    </w:tbl>
    <w:p>
      <w:pPr>
        <w:spacing w:after="20"/>
      </w:pPr>
    </w:p>
    <w:p>
      <w:pPr>
        <w:pStyle w:val="Heading2"/>
      </w:pPr>
      <w:r>
        <w:t>6.5 Arithmetic Invariants</w:t>
      </w:r>
    </w:p>
    <w:p>
      <w:pPr>
        <w:pStyle w:val="ListBullet"/>
        <w:spacing w:after="20"/>
      </w:pPr>
      <w:r>
        <w:rPr>
          <w:rFonts w:ascii="Aptos" w:hAnsi="Aptos"/>
          <w:b w:val="0"/>
          <w:i w:val="0"/>
          <w:sz w:val="18"/>
        </w:rPr>
        <w:t>Every lower bound SHALL be ≤ its corresponding upper bound.</w:t>
      </w:r>
    </w:p>
    <w:p>
      <w:pPr>
        <w:pStyle w:val="ListBullet"/>
        <w:spacing w:after="20"/>
      </w:pPr>
      <w:r>
        <w:rPr>
          <w:rFonts w:ascii="Aptos" w:hAnsi="Aptos"/>
          <w:b w:val="0"/>
          <w:i w:val="0"/>
          <w:sz w:val="18"/>
        </w:rPr>
        <w:t>Each raw scenario total_patient_hours SHALL equal raw travel hours plus exact facility hours before endpoint serialization.</w:t>
      </w:r>
    </w:p>
    <w:p>
      <w:pPr>
        <w:pStyle w:val="ListBullet"/>
        <w:spacing w:after="20"/>
      </w:pPr>
      <w:r>
        <w:rPr>
          <w:rFonts w:ascii="Aptos" w:hAnsi="Aptos"/>
          <w:b w:val="0"/>
          <w:i w:val="0"/>
          <w:sz w:val="18"/>
        </w:rPr>
        <w:t>The overall lower endpoint SHALL come from the shorter scenario and the overall upper endpoint SHALL come from the longer scenario; neither endpoint varies facility time within a scenario.</w:t>
      </w:r>
    </w:p>
    <w:p>
      <w:pPr>
        <w:pStyle w:val="ListBullet"/>
        <w:spacing w:after="20"/>
      </w:pPr>
      <w:r>
        <w:rPr>
          <w:rFonts w:ascii="Aptos" w:hAnsi="Aptos"/>
          <w:b w:val="0"/>
          <w:i w:val="0"/>
          <w:sz w:val="18"/>
        </w:rPr>
        <w:t>Only the four sparse-model inputs may vary by patient; no additional patient field may change regimen, distance, or time calculations.</w:t>
      </w:r>
    </w:p>
    <w:p>
      <w:pPr>
        <w:pStyle w:val="Heading1"/>
      </w:pPr>
      <w:r>
        <w:t>7. Normative Three-part Output Logic</w:t>
      </w:r>
    </w:p>
    <w:p>
      <w:r>
        <w:rPr>
          <w:rFonts w:ascii="Aptos" w:hAnsi="Aptos"/>
          <w:b w:val="0"/>
          <w:i w:val="0"/>
          <w:sz w:val="18"/>
        </w:rPr>
        <w:t>The result separates three concepts that SHALL remain distinguishable in data and display: (1) objective_burden, calculated from the bound regimen, selected hyperbaric oxygen therapy location, and reported one-way travel values; (2) weekday_attendance_feasibility, a verbatim presentation of IN-04 and not a calculation; and (3) execution_burden_level, a rule-derived five-level ordinal synthesis. The engine SHALL NOT describe execution_burden_level as a clinical judgment, adherence prediction, treatment-success prediction, eligibility decision, or comprehensive assessment of personal barriers.</w:t>
      </w:r>
    </w:p>
    <w:p>
      <w:pPr>
        <w:pStyle w:val="Heading2"/>
      </w:pPr>
      <w:r>
        <w:t>7.1 Objective Burden and Travel Band</w:t>
      </w:r>
    </w:p>
    <w:p>
      <w:r>
        <w:rPr>
          <w:rFonts w:ascii="Aptos" w:hAnsi="Aptos"/>
          <w:b w:val="0"/>
          <w:i w:val="0"/>
          <w:sz w:val="18"/>
        </w:rPr>
        <w:t>objective_burden means the estimated execution burden created by the number of episodes in the general regimen range. It SHALL contain the Fixed Regimen Range Response, selected hyperbaric oxygen therapy location reference, reported travel values, a calculation for each regimen scenario, the overall range spanning those scenarios, and the travel band. It does not describe motivation or likelihood of completion.</w:t>
      </w:r>
    </w:p>
    <w:tbl>
      <w:tblPr>
        <w:tblW w:type="dxa" w:w="9360"/>
        <w:tblLayout w:type="fixed"/>
        <w:tblLook w:firstColumn="1" w:firstRow="1" w:lastColumn="0" w:lastRow="0" w:noHBand="0" w:noVBand="1" w:val="04A0"/>
        <w:tblInd w:w="120" w:type="dxa"/>
      </w:tblPr>
      <w:tblGrid>
        <w:gridCol w:w="1700"/>
        <w:gridCol w:w="4800"/>
        <w:gridCol w:w="2860"/>
      </w:tblGrid>
      <w:tr>
        <w:trPr>
          <w:cantSplit w:val="true"/>
          <w:tblHeader w:val="true"/>
        </w:trPr>
        <w:tc>
          <w:tcPr>
            <w:tcW w:type="dxa" w:w="17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BAND</w:t>
            </w:r>
          </w:p>
        </w:tc>
        <w:tc>
          <w:tcPr>
            <w:tcW w:type="dxa" w:w="48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UNROUNDED ROUND-TRIP TRAVEL TIME</w:t>
            </w:r>
          </w:p>
        </w:tc>
        <w:tc>
          <w:tcPr>
            <w:tcW w:type="dxa" w:w="286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DRIVER ID</w:t>
            </w:r>
          </w:p>
        </w:tc>
      </w:tr>
      <w:tr>
        <w:trPr>
          <w:cantSplit w:val="true"/>
        </w:trPr>
        <w:tc>
          <w:tcPr>
            <w:tcW w:type="dxa" w:w="1700"/>
            <w:tcMar>
              <w:top w:w="100" w:type="dxa"/>
              <w:start w:w="120" w:type="dxa"/>
              <w:bottom w:w="100" w:type="dxa"/>
              <w:end w:w="120" w:type="dxa"/>
            </w:tcMar>
            <w:vAlign w:val="center"/>
          </w:tcPr>
          <w:p>
            <w:pPr>
              <w:spacing w:after="0" w:line="240" w:lineRule="auto"/>
            </w:pPr>
            <w:r>
              <w:rPr>
                <w:rFonts w:ascii="Aptos" w:hAnsi="Aptos"/>
                <w:b w:val="0"/>
                <w:i w:val="0"/>
                <w:color w:val="000000"/>
                <w:sz w:val="14"/>
              </w:rPr>
              <w:t>low</w:t>
            </w:r>
          </w:p>
        </w:tc>
        <w:tc>
          <w:tcPr>
            <w:tcW w:type="dxa" w:w="4800"/>
            <w:tcMar>
              <w:top w:w="100" w:type="dxa"/>
              <w:start w:w="120" w:type="dxa"/>
              <w:bottom w:w="100" w:type="dxa"/>
              <w:end w:w="120" w:type="dxa"/>
            </w:tcMar>
            <w:vAlign w:val="center"/>
          </w:tcPr>
          <w:p>
            <w:pPr>
              <w:spacing w:after="0" w:line="240" w:lineRule="auto"/>
            </w:pPr>
            <w:r>
              <w:rPr>
                <w:rFonts w:ascii="Aptos" w:hAnsi="Aptos"/>
                <w:b w:val="0"/>
                <w:i w:val="0"/>
                <w:color w:val="000000"/>
                <w:sz w:val="14"/>
              </w:rPr>
              <w:t>&lt; 1.0 hour</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4"/>
              </w:rPr>
              <w:t>DRV-TRAVEL-LOW</w:t>
            </w:r>
          </w:p>
        </w:tc>
      </w:tr>
      <w:tr>
        <w:trPr>
          <w:cantSplit w:val="true"/>
        </w:trPr>
        <w:tc>
          <w:tcPr>
            <w:tcW w:type="dxa" w:w="1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moderate</w:t>
            </w:r>
          </w:p>
        </w:tc>
        <w:tc>
          <w:tcPr>
            <w:tcW w:type="dxa" w:w="4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≥1.0 and &lt;2.0 hours</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DRV-TRAVEL-MODERATE</w:t>
            </w:r>
          </w:p>
        </w:tc>
      </w:tr>
      <w:tr>
        <w:trPr>
          <w:cantSplit w:val="true"/>
        </w:trPr>
        <w:tc>
          <w:tcPr>
            <w:tcW w:type="dxa" w:w="1700"/>
            <w:tcMar>
              <w:top w:w="100" w:type="dxa"/>
              <w:start w:w="120" w:type="dxa"/>
              <w:bottom w:w="100" w:type="dxa"/>
              <w:end w:w="120" w:type="dxa"/>
            </w:tcMar>
            <w:vAlign w:val="center"/>
          </w:tcPr>
          <w:p>
            <w:pPr>
              <w:spacing w:after="0" w:line="240" w:lineRule="auto"/>
            </w:pPr>
            <w:r>
              <w:rPr>
                <w:rFonts w:ascii="Aptos" w:hAnsi="Aptos"/>
                <w:b w:val="0"/>
                <w:i w:val="0"/>
                <w:color w:val="000000"/>
                <w:sz w:val="14"/>
              </w:rPr>
              <w:t>high</w:t>
            </w:r>
          </w:p>
        </w:tc>
        <w:tc>
          <w:tcPr>
            <w:tcW w:type="dxa" w:w="4800"/>
            <w:tcMar>
              <w:top w:w="100" w:type="dxa"/>
              <w:start w:w="120" w:type="dxa"/>
              <w:bottom w:w="100" w:type="dxa"/>
              <w:end w:w="120" w:type="dxa"/>
            </w:tcMar>
            <w:vAlign w:val="center"/>
          </w:tcPr>
          <w:p>
            <w:pPr>
              <w:spacing w:after="0" w:line="240" w:lineRule="auto"/>
            </w:pPr>
            <w:r>
              <w:rPr>
                <w:rFonts w:ascii="Aptos" w:hAnsi="Aptos"/>
                <w:b w:val="0"/>
                <w:i w:val="0"/>
                <w:color w:val="000000"/>
                <w:sz w:val="14"/>
              </w:rPr>
              <w:t>≥2.0 and &lt;3.0 hours</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4"/>
              </w:rPr>
              <w:t>DRV-TRAVEL-HIGH</w:t>
            </w:r>
          </w:p>
        </w:tc>
      </w:tr>
      <w:tr>
        <w:trPr>
          <w:cantSplit w:val="true"/>
        </w:trPr>
        <w:tc>
          <w:tcPr>
            <w:tcW w:type="dxa" w:w="1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very_high</w:t>
            </w:r>
          </w:p>
        </w:tc>
        <w:tc>
          <w:tcPr>
            <w:tcW w:type="dxa" w:w="4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≥3.0 hours</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DRV-TRAVEL-VERY-HIGH</w:t>
            </w:r>
          </w:p>
        </w:tc>
      </w:tr>
    </w:tbl>
    <w:p>
      <w:pPr>
        <w:spacing w:after="20"/>
      </w:pPr>
    </w:p>
    <w:p>
      <w:r>
        <w:rPr>
          <w:rFonts w:ascii="Aptos" w:hAnsi="Aptos"/>
          <w:b w:val="0"/>
          <w:i w:val="0"/>
          <w:sz w:val="18"/>
        </w:rPr>
        <w:t>These thresholds are transparent design conventions, not validated clinical cut points. Classification SHALL use the unrounded T = (IN-03 × 2) ÷ 60 basis defined in Section 6.3.1. It SHALL NOT use any of the three rounded output families defined there.</w:t>
      </w:r>
    </w:p>
    <w:p>
      <w:pPr>
        <w:pStyle w:val="Heading2"/>
      </w:pPr>
      <w:r>
        <w:t>7.2 Reported Weekday-attendance Feasibility</w:t>
      </w:r>
    </w:p>
    <w:p>
      <w:r>
        <w:rPr>
          <w:rFonts w:ascii="Aptos" w:hAnsi="Aptos"/>
          <w:b w:val="0"/>
          <w:i w:val="0"/>
          <w:sz w:val="18"/>
        </w:rPr>
        <w:t>weekday_attendance_feasibility SHALL reproduce IN-04 as reported_value and pair it with the exact display text below. It is reported patient information, not an inferred score. The engine SHALL NOT rename it personal_barriers, solicit or infer a barrier type, or claim that it represents a comprehensive feasibility assessment.</w:t>
      </w:r>
    </w:p>
    <w:tbl>
      <w:tblPr>
        <w:tblW w:type="dxa" w:w="9360"/>
        <w:tblLayout w:type="fixed"/>
        <w:tblLook w:firstColumn="1" w:firstRow="1" w:lastColumn="0" w:lastRow="0" w:noHBand="0" w:noVBand="1" w:val="04A0"/>
        <w:tblInd w:w="120" w:type="dxa"/>
      </w:tblPr>
      <w:tblGrid>
        <w:gridCol w:w="3000"/>
        <w:gridCol w:w="6360"/>
      </w:tblGrid>
      <w:tr>
        <w:trPr>
          <w:cantSplit w:val="true"/>
          <w:tblHeader w:val="true"/>
        </w:trPr>
        <w:tc>
          <w:tcPr>
            <w:tcW w:type="dxa" w:w="30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REPORTED VALUE</w:t>
            </w:r>
          </w:p>
        </w:tc>
        <w:tc>
          <w:tcPr>
            <w:tcW w:type="dxa" w:w="636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EXACT DISPLAY TEXT</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4"/>
              </w:rPr>
              <w:t>none</w:t>
            </w:r>
          </w:p>
        </w:tc>
        <w:tc>
          <w:tcPr>
            <w:tcW w:type="dxa" w:w="6360"/>
            <w:tcMar>
              <w:top w:w="100" w:type="dxa"/>
              <w:start w:w="120" w:type="dxa"/>
              <w:bottom w:w="100" w:type="dxa"/>
              <w:end w:w="120" w:type="dxa"/>
            </w:tcMar>
            <w:vAlign w:val="center"/>
          </w:tcPr>
          <w:p>
            <w:pPr>
              <w:spacing w:after="0" w:line="240" w:lineRule="auto"/>
            </w:pPr>
            <w:r>
              <w:rPr>
                <w:rFonts w:ascii="Aptos" w:hAnsi="Aptos"/>
                <w:b w:val="0"/>
                <w:i w:val="0"/>
                <w:color w:val="000000"/>
                <w:sz w:val="14"/>
              </w:rPr>
              <w:t>No weekday-attendance difficulty reported</w:t>
            </w:r>
          </w:p>
        </w:tc>
      </w:tr>
      <w:tr>
        <w:trPr>
          <w:cantSplit w:val="true"/>
        </w:trPr>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some</w:t>
            </w:r>
          </w:p>
        </w:tc>
        <w:tc>
          <w:tcPr>
            <w:tcW w:type="dxa" w:w="63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Some weekday-attendance difficulty reported</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4"/>
              </w:rPr>
              <w:t>major</w:t>
            </w:r>
          </w:p>
        </w:tc>
        <w:tc>
          <w:tcPr>
            <w:tcW w:type="dxa" w:w="6360"/>
            <w:tcMar>
              <w:top w:w="100" w:type="dxa"/>
              <w:start w:w="120" w:type="dxa"/>
              <w:bottom w:w="100" w:type="dxa"/>
              <w:end w:w="120" w:type="dxa"/>
            </w:tcMar>
            <w:vAlign w:val="center"/>
          </w:tcPr>
          <w:p>
            <w:pPr>
              <w:spacing w:after="0" w:line="240" w:lineRule="auto"/>
            </w:pPr>
            <w:r>
              <w:rPr>
                <w:rFonts w:ascii="Aptos" w:hAnsi="Aptos"/>
                <w:b w:val="0"/>
                <w:i w:val="0"/>
                <w:color w:val="000000"/>
                <w:sz w:val="14"/>
              </w:rPr>
              <w:t>Major weekday-attendance difficulty reported</w:t>
            </w:r>
          </w:p>
        </w:tc>
      </w:tr>
    </w:tbl>
    <w:p>
      <w:pPr>
        <w:spacing w:after="20"/>
      </w:pPr>
    </w:p>
    <w:p>
      <w:pPr>
        <w:pStyle w:val="Heading2"/>
      </w:pPr>
      <w:r>
        <w:t>7.3 Five-level Execution-burden Rules</w:t>
      </w:r>
    </w:p>
    <w:tbl>
      <w:tblPr>
        <w:tblW w:type="dxa" w:w="11360"/>
        <w:tblLayout w:type="fixed"/>
        <w:tblLook w:firstColumn="1" w:firstRow="1" w:lastColumn="0" w:lastRow="0" w:noHBand="0" w:noVBand="1" w:val="04A0"/>
        <w:tblInd w:w="120" w:type="dxa"/>
      </w:tblPr>
      <w:tblGrid>
        <w:gridCol w:w="2500"/>
        <w:gridCol w:w="2860"/>
        <w:gridCol w:w="2860"/>
        <w:gridCol w:w="3140"/>
      </w:tblGrid>
      <w:tr>
        <w:trPr>
          <w:cantSplit w:val="true"/>
          <w:tblHeader w:val="true"/>
        </w:trPr>
        <w:tc>
          <w:tcPr>
            <w:tcW w:type="dxa" w:w="25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TRAVEL BAND</w:t>
            </w:r>
          </w:p>
        </w:tc>
        <w:tc>
          <w:tcPr>
            <w:tcW w:type="dxa" w:w="28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ATTENDANCE = NONE</w:t>
            </w:r>
          </w:p>
        </w:tc>
        <w:tc>
          <w:tcPr>
            <w:tcW w:type="dxa" w:w="28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ATTENDANCE = SOME</w:t>
            </w:r>
          </w:p>
        </w:tc>
        <w:tc>
          <w:tcPr>
            <w:tcW w:type="dxa" w:w="314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ATTENDANCE = MAJOR</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3"/>
              </w:rPr>
              <w:t>low</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3"/>
              </w:rPr>
              <w:t>1 — low</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3"/>
              </w:rPr>
              <w:t>2 — moderate</w:t>
            </w:r>
          </w:p>
        </w:tc>
        <w:tc>
          <w:tcPr>
            <w:tcW w:type="dxa" w:w="3140"/>
            <w:tcMar>
              <w:top w:w="100" w:type="dxa"/>
              <w:start w:w="120" w:type="dxa"/>
              <w:bottom w:w="100" w:type="dxa"/>
              <w:end w:w="120" w:type="dxa"/>
            </w:tcMar>
            <w:vAlign w:val="center"/>
          </w:tcPr>
          <w:p>
            <w:pPr>
              <w:spacing w:after="0" w:line="240" w:lineRule="auto"/>
            </w:pPr>
            <w:r>
              <w:rPr>
                <w:rFonts w:ascii="Aptos" w:hAnsi="Aptos"/>
                <w:b w:val="0"/>
                <w:i w:val="0"/>
                <w:color w:val="000000"/>
                <w:sz w:val="13"/>
              </w:rPr>
              <w:t>4 — very high</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moderate</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2 — moderate</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3 — high</w:t>
            </w:r>
          </w:p>
        </w:tc>
        <w:tc>
          <w:tcPr>
            <w:tcW w:type="dxa" w:w="31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4 — very high</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3"/>
              </w:rPr>
              <w:t>high</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3"/>
              </w:rPr>
              <w:t>3 — high</w:t>
            </w:r>
          </w:p>
        </w:tc>
        <w:tc>
          <w:tcPr>
            <w:tcW w:type="dxa" w:w="2860"/>
            <w:tcMar>
              <w:top w:w="100" w:type="dxa"/>
              <w:start w:w="120" w:type="dxa"/>
              <w:bottom w:w="100" w:type="dxa"/>
              <w:end w:w="120" w:type="dxa"/>
            </w:tcMar>
            <w:vAlign w:val="center"/>
          </w:tcPr>
          <w:p>
            <w:pPr>
              <w:spacing w:after="0" w:line="240" w:lineRule="auto"/>
            </w:pPr>
            <w:r>
              <w:rPr>
                <w:rFonts w:ascii="Aptos" w:hAnsi="Aptos"/>
                <w:b w:val="0"/>
                <w:i w:val="0"/>
                <w:color w:val="000000"/>
                <w:sz w:val="13"/>
              </w:rPr>
              <w:t>4 — very high</w:t>
            </w:r>
          </w:p>
        </w:tc>
        <w:tc>
          <w:tcPr>
            <w:tcW w:type="dxa" w:w="3140"/>
            <w:tcMar>
              <w:top w:w="100" w:type="dxa"/>
              <w:start w:w="120" w:type="dxa"/>
              <w:bottom w:w="100" w:type="dxa"/>
              <w:end w:w="120" w:type="dxa"/>
            </w:tcMar>
            <w:vAlign w:val="center"/>
          </w:tcPr>
          <w:p>
            <w:pPr>
              <w:spacing w:after="0" w:line="240" w:lineRule="auto"/>
            </w:pPr>
            <w:r>
              <w:rPr>
                <w:rFonts w:ascii="Aptos" w:hAnsi="Aptos"/>
                <w:b w:val="0"/>
                <w:i w:val="0"/>
                <w:color w:val="000000"/>
                <w:sz w:val="13"/>
              </w:rPr>
              <w:t>5 — extreme</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very_high</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4 — very high</w:t>
            </w:r>
          </w:p>
        </w:tc>
        <w:tc>
          <w:tcPr>
            <w:tcW w:type="dxa" w:w="2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5 — extreme</w:t>
            </w:r>
          </w:p>
        </w:tc>
        <w:tc>
          <w:tcPr>
            <w:tcW w:type="dxa" w:w="314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5 — extreme</w:t>
            </w:r>
          </w:p>
        </w:tc>
      </w:tr>
    </w:tbl>
    <w:p>
      <w:pPr>
        <w:spacing w:after="20"/>
      </w:pPr>
    </w:p>
    <w:p>
      <w:r>
        <w:rPr>
          <w:rFonts w:ascii="Aptos" w:hAnsi="Aptos"/>
          <w:b w:val="0"/>
          <w:i w:val="0"/>
          <w:sz w:val="18"/>
        </w:rPr>
        <w:t>The engine SHALL select exactly one matrix cell using the unrounded travel band and the verbatim reported attendance value. The matrix is exhaustive and has no rule-order ambiguity.</w:t>
      </w:r>
    </w:p>
    <w:p>
      <w:pPr>
        <w:pStyle w:val="Heading2"/>
      </w:pPr>
      <w:r>
        <w:t>7.4 Execution-burden Interpretation</w:t>
      </w:r>
    </w:p>
    <w:tbl>
      <w:tblPr>
        <w:tblW w:type="dxa" w:w="13868"/>
        <w:tblLayout w:type="fixed"/>
        <w:tblLook w:firstColumn="1" w:firstRow="1" w:lastColumn="0" w:lastRow="0" w:noHBand="0" w:noVBand="1" w:val="04A0"/>
        <w:tblInd w:w="120" w:type="dxa"/>
      </w:tblPr>
      <w:tblGrid>
        <w:gridCol w:w="1000"/>
        <w:gridCol w:w="4500"/>
        <w:gridCol w:w="8368"/>
      </w:tblGrid>
      <w:tr>
        <w:trPr>
          <w:cantSplit w:val="true"/>
          <w:tblHeader w:val="true"/>
        </w:trPr>
        <w:tc>
          <w:tcPr>
            <w:tcW w:type="dxa" w:w="10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SCORE</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CATEGORY</w:t>
            </w:r>
          </w:p>
        </w:tc>
        <w:tc>
          <w:tcPr>
            <w:tcW w:type="dxa" w:w="8368"/>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INTERPRETATION WITHIN THIS CKS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3"/>
              </w:rPr>
              <w:t>1</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3"/>
              </w:rPr>
              <w:t>low_execution_burden</w:t>
            </w:r>
          </w:p>
        </w:tc>
        <w:tc>
          <w:tcPr>
            <w:tcW w:type="dxa" w:w="8368"/>
            <w:tcMar>
              <w:top w:w="100" w:type="dxa"/>
              <w:start w:w="120" w:type="dxa"/>
              <w:bottom w:w="100" w:type="dxa"/>
              <w:end w:w="120" w:type="dxa"/>
            </w:tcMar>
            <w:vAlign w:val="center"/>
          </w:tcPr>
          <w:p>
            <w:pPr>
              <w:spacing w:after="0" w:line="240" w:lineRule="auto"/>
            </w:pPr>
            <w:r>
              <w:rPr>
                <w:rFonts w:ascii="Aptos" w:hAnsi="Aptos"/>
                <w:b w:val="0"/>
                <w:i w:val="0"/>
                <w:color w:val="000000"/>
                <w:sz w:val="13"/>
              </w:rPr>
              <w:t>Lowest burden combination recognized by the model</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2</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moderate_execution_burden</w:t>
            </w:r>
          </w:p>
        </w:tc>
        <w:tc>
          <w:tcPr>
            <w:tcW w:type="dxa" w:w="8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Meaningful but limited burden signal</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3"/>
              </w:rPr>
              <w:t>3</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3"/>
              </w:rPr>
              <w:t>high_execution_burden</w:t>
            </w:r>
          </w:p>
        </w:tc>
        <w:tc>
          <w:tcPr>
            <w:tcW w:type="dxa" w:w="8368"/>
            <w:tcMar>
              <w:top w:w="100" w:type="dxa"/>
              <w:start w:w="120" w:type="dxa"/>
              <w:bottom w:w="100" w:type="dxa"/>
              <w:end w:w="120" w:type="dxa"/>
            </w:tcMar>
            <w:vAlign w:val="center"/>
          </w:tcPr>
          <w:p>
            <w:pPr>
              <w:spacing w:after="0" w:line="240" w:lineRule="auto"/>
            </w:pPr>
            <w:r>
              <w:rPr>
                <w:rFonts w:ascii="Aptos" w:hAnsi="Aptos"/>
                <w:b w:val="0"/>
                <w:i w:val="0"/>
                <w:color w:val="000000"/>
                <w:sz w:val="13"/>
              </w:rPr>
              <w:t>Substantial burden signal or combined lesser signals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4</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very_high_execution_burden</w:t>
            </w:r>
          </w:p>
        </w:tc>
        <w:tc>
          <w:tcPr>
            <w:tcW w:type="dxa" w:w="8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One or more severe burden signals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3"/>
              </w:rPr>
              <w:t>5</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3"/>
              </w:rPr>
              <w:t>extreme_execution_burden</w:t>
            </w:r>
          </w:p>
        </w:tc>
        <w:tc>
          <w:tcPr>
            <w:tcW w:type="dxa" w:w="8368"/>
            <w:tcMar>
              <w:top w:w="100" w:type="dxa"/>
              <w:start w:w="120" w:type="dxa"/>
              <w:bottom w:w="100" w:type="dxa"/>
              <w:end w:w="120" w:type="dxa"/>
            </w:tcMar>
            <w:vAlign w:val="center"/>
          </w:tcPr>
          <w:p>
            <w:pPr>
              <w:spacing w:after="0" w:line="240" w:lineRule="auto"/>
            </w:pPr>
            <w:r>
              <w:rPr>
                <w:rFonts w:ascii="Aptos" w:hAnsi="Aptos"/>
                <w:b w:val="0"/>
                <w:i w:val="0"/>
                <w:color w:val="000000"/>
                <w:sz w:val="13"/>
              </w:rPr>
              <w:t>Most burdensome combinations recognized by the model</w:t>
            </w:r>
          </w:p>
        </w:tc>
      </w:tr>
    </w:tbl>
    <w:p>
      <w:pPr>
        <w:spacing w:after="20"/>
      </w:pPr>
    </w:p>
    <w:p>
      <w:r>
        <w:rPr>
          <w:rFonts w:ascii="Aptos" w:hAnsi="Aptos"/>
          <w:b w:val="0"/>
          <w:i w:val="0"/>
          <w:sz w:val="18"/>
        </w:rPr>
        <w:t>This scale and its matrix are transparent specification-defined planning conventions. They are not a validated clinical, psychometric, prognostic, or adherence instrument. The classification uses only travel band and the single reported weekday-attendance value; it does not estimate a probability of completion or success and does not measure unreported resources, supports, barriers, motivation, or clinical status.</w:t>
      </w: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EXTREME-BURDEN BOUNDARY  </w:t>
            </w:r>
            <w:r>
              <w:rPr>
                <w:rFonts w:ascii="Aptos" w:hAnsi="Aptos"/>
                <w:b w:val="0"/>
                <w:i w:val="0"/>
                <w:sz w:val="18"/>
              </w:rPr>
              <w:t>Extreme execution burden means that reported travel and weekday-attendance difficulty form one of the most burdensome combinations defined by this CKS. It indicates that the contemplated course may be especially difficult to execute as planned. It SHALL NOT be interpreted as a prediction of treatment failure, noncompletion, nonadherence, clinical outcome, or inability to overcome the burden.</w:t>
            </w:r>
          </w:p>
        </w:tc>
      </w:tr>
    </w:tbl>
    <w:p>
      <w:pPr>
        <w:spacing w:after="20"/>
      </w:pPr>
    </w:p>
    <w:p>
      <w:pPr>
        <w:pStyle w:val="Heading2"/>
      </w:pPr>
      <w:r>
        <w:t>7.5 Driver Selection</w:t>
      </w:r>
    </w:p>
    <w:p>
      <w:r>
        <w:rPr>
          <w:rFonts w:ascii="Aptos" w:hAnsi="Aptos"/>
          <w:b w:val="0"/>
          <w:i w:val="0"/>
          <w:sz w:val="18"/>
        </w:rPr>
        <w:t>Create every applicable driver, then sort by descending severity and the fixed precedence below. Return the first as primary_driver and the second as secondary_driver; return null when fewer than two drivers exist.</w:t>
      </w:r>
    </w:p>
    <w:tbl>
      <w:tblPr>
        <w:tblW w:type="dxa" w:w="9360"/>
        <w:tblLayout w:type="fixed"/>
        <w:tblLook w:firstColumn="1" w:firstRow="1" w:lastColumn="0" w:lastRow="0" w:noHBand="0" w:noVBand="1" w:val="04A0"/>
        <w:tblInd w:w="120" w:type="dxa"/>
      </w:tblPr>
      <w:tblGrid>
        <w:gridCol w:w="1400"/>
        <w:gridCol w:w="7960"/>
      </w:tblGrid>
      <w:tr>
        <w:trPr>
          <w:cantSplit w:val="true"/>
          <w:tblHeader w:val="true"/>
        </w:trPr>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PRECEDENCE</w:t>
            </w:r>
          </w:p>
        </w:tc>
        <w:tc>
          <w:tcPr>
            <w:tcW w:type="dxa" w:w="796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DRIVER</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4"/>
              </w:rPr>
              <w:t>1</w:t>
            </w:r>
          </w:p>
        </w:tc>
        <w:tc>
          <w:tcPr>
            <w:tcW w:type="dxa" w:w="7960"/>
            <w:tcMar>
              <w:top w:w="100" w:type="dxa"/>
              <w:start w:w="120" w:type="dxa"/>
              <w:bottom w:w="100" w:type="dxa"/>
              <w:end w:w="120" w:type="dxa"/>
            </w:tcMar>
            <w:vAlign w:val="center"/>
          </w:tcPr>
          <w:p>
            <w:pPr>
              <w:spacing w:after="0" w:line="240" w:lineRule="auto"/>
            </w:pPr>
            <w:r>
              <w:rPr>
                <w:rFonts w:ascii="Aptos" w:hAnsi="Aptos"/>
                <w:b w:val="0"/>
                <w:i w:val="0"/>
                <w:color w:val="000000"/>
                <w:sz w:val="14"/>
              </w:rPr>
              <w:t>Major weekday-attendance difficulty</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2</w:t>
            </w:r>
          </w:p>
        </w:tc>
        <w:tc>
          <w:tcPr>
            <w:tcW w:type="dxa" w:w="7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Very-high reported travel time</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4"/>
              </w:rPr>
              <w:t>3</w:t>
            </w:r>
          </w:p>
        </w:tc>
        <w:tc>
          <w:tcPr>
            <w:tcW w:type="dxa" w:w="7960"/>
            <w:tcMar>
              <w:top w:w="100" w:type="dxa"/>
              <w:start w:w="120" w:type="dxa"/>
              <w:bottom w:w="100" w:type="dxa"/>
              <w:end w:w="120" w:type="dxa"/>
            </w:tcMar>
            <w:vAlign w:val="center"/>
          </w:tcPr>
          <w:p>
            <w:pPr>
              <w:spacing w:after="0" w:line="240" w:lineRule="auto"/>
            </w:pPr>
            <w:r>
              <w:rPr>
                <w:rFonts w:ascii="Aptos" w:hAnsi="Aptos"/>
                <w:b w:val="0"/>
                <w:i w:val="0"/>
                <w:color w:val="000000"/>
                <w:sz w:val="14"/>
              </w:rPr>
              <w:t>High reported travel time</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4</w:t>
            </w:r>
          </w:p>
        </w:tc>
        <w:tc>
          <w:tcPr>
            <w:tcW w:type="dxa" w:w="7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Some weekday-attendance difficulty</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4"/>
              </w:rPr>
              <w:t>5</w:t>
            </w:r>
          </w:p>
        </w:tc>
        <w:tc>
          <w:tcPr>
            <w:tcW w:type="dxa" w:w="7960"/>
            <w:tcMar>
              <w:top w:w="100" w:type="dxa"/>
              <w:start w:w="120" w:type="dxa"/>
              <w:bottom w:w="100" w:type="dxa"/>
              <w:end w:w="120" w:type="dxa"/>
            </w:tcMar>
            <w:vAlign w:val="center"/>
          </w:tcPr>
          <w:p>
            <w:pPr>
              <w:spacing w:after="0" w:line="240" w:lineRule="auto"/>
            </w:pPr>
            <w:r>
              <w:rPr>
                <w:rFonts w:ascii="Aptos" w:hAnsi="Aptos"/>
                <w:b w:val="0"/>
                <w:i w:val="0"/>
                <w:color w:val="000000"/>
                <w:sz w:val="14"/>
              </w:rPr>
              <w:t>Moderate reported travel time</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6</w:t>
            </w:r>
          </w:p>
        </w:tc>
        <w:tc>
          <w:tcPr>
            <w:tcW w:type="dxa" w:w="7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Repeated attendance: episodes and sessions per week</w:t>
            </w:r>
          </w:p>
        </w:tc>
      </w:tr>
    </w:tbl>
    <w:p>
      <w:pPr>
        <w:spacing w:after="20"/>
      </w:pPr>
    </w:p>
    <w:p>
      <w:r>
        <w:rPr>
          <w:rFonts w:ascii="Aptos" w:hAnsi="Aptos"/>
          <w:b w:val="0"/>
          <w:i w:val="0"/>
          <w:sz w:val="18"/>
        </w:rPr>
        <w:t>Low travel band and none attendance SHALL produce no driver entry. The closed driver population consists only of Major attendance, Some attendance, Moderate travel, High travel, Very-high travel, and Repeated attendance. An implementation SHALL NOT create a driver for low travel, none attendance, or any other inferred condition.</w:t>
      </w:r>
    </w:p>
    <w:p>
      <w:r>
        <w:rPr>
          <w:rFonts w:ascii="Aptos" w:hAnsi="Aptos"/>
          <w:b w:val="0"/>
          <w:i w:val="0"/>
          <w:sz w:val="18"/>
        </w:rPr>
        <w:t>The repeated-attendance driver SHALL be present for every completed calculation but SHALL rank below travel and reported-attendance drivers. Driver explanation text SHALL be generated from fixed templates containing the actual value or range. A driver identifies why the execution-burden classification was assigned; it SHALL NOT be presented as an inferred personal barrier or predicted cause of treatment failure.</w:t>
      </w:r>
    </w:p>
    <w:tbl>
      <w:tblPr>
        <w:tblW w:type="dxa" w:w="9360"/>
        <w:tblLayout w:type="fixed"/>
        <w:tblLook w:firstColumn="1" w:firstRow="1" w:lastColumn="0" w:lastRow="0" w:noHBand="0" w:noVBand="1" w:val="04A0"/>
        <w:tblInd w:w="120" w:type="dxa"/>
      </w:tblPr>
      <w:tblGrid>
        <w:gridCol w:w="2800"/>
        <w:gridCol w:w="6560"/>
      </w:tblGrid>
      <w:tr>
        <w:trPr>
          <w:cantSplit w:val="true"/>
          <w:tblHeader w:val="true"/>
        </w:trPr>
        <w:tc>
          <w:tcPr>
            <w:tcW w:type="dxa" w:w="28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DRIVER</w:t>
            </w:r>
          </w:p>
        </w:tc>
        <w:tc>
          <w:tcPr>
            <w:tcW w:type="dxa" w:w="65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EXACT OUTPUT TEMPLATE</w:t>
            </w:r>
          </w:p>
        </w:tc>
      </w:tr>
      <w:tr>
        <w:trPr>
          <w:cantSplit w:val="true"/>
        </w:trPr>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3"/>
              </w:rPr>
              <w:t>Major attendance</w:t>
            </w:r>
          </w:p>
        </w:tc>
        <w:tc>
          <w:tcPr>
            <w:tcW w:type="dxa" w:w="6560"/>
            <w:tcMar>
              <w:top w:w="100" w:type="dxa"/>
              <w:start w:w="120" w:type="dxa"/>
              <w:bottom w:w="100" w:type="dxa"/>
              <w:end w:w="120" w:type="dxa"/>
            </w:tcMar>
            <w:vAlign w:val="center"/>
          </w:tcPr>
          <w:p>
            <w:pPr>
              <w:spacing w:after="0" w:line="240" w:lineRule="auto"/>
            </w:pPr>
            <w:r>
              <w:rPr>
                <w:rFonts w:ascii="Aptos" w:hAnsi="Aptos"/>
                <w:b w:val="0"/>
                <w:i w:val="0"/>
                <w:color w:val="000000"/>
                <w:sz w:val="13"/>
              </w:rPr>
              <w:t>Major weekday-attendance difficulty</w:t>
            </w:r>
          </w:p>
        </w:tc>
      </w:tr>
      <w:tr>
        <w:trPr>
          <w:cantSplit w:val="true"/>
        </w:trPr>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Very-high travel</w:t>
            </w:r>
          </w:p>
        </w:tc>
        <w:tc>
          <w:tcPr>
            <w:tcW w:type="dxa" w:w="6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Very-high reported travel time ({round_trip_hours} round-trip hours)</w:t>
            </w:r>
          </w:p>
        </w:tc>
      </w:tr>
      <w:tr>
        <w:trPr>
          <w:cantSplit w:val="true"/>
        </w:trPr>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3"/>
              </w:rPr>
              <w:t>High travel</w:t>
            </w:r>
          </w:p>
        </w:tc>
        <w:tc>
          <w:tcPr>
            <w:tcW w:type="dxa" w:w="6560"/>
            <w:tcMar>
              <w:top w:w="100" w:type="dxa"/>
              <w:start w:w="120" w:type="dxa"/>
              <w:bottom w:w="100" w:type="dxa"/>
              <w:end w:w="120" w:type="dxa"/>
            </w:tcMar>
            <w:vAlign w:val="center"/>
          </w:tcPr>
          <w:p>
            <w:pPr>
              <w:spacing w:after="0" w:line="240" w:lineRule="auto"/>
            </w:pPr>
            <w:r>
              <w:rPr>
                <w:rFonts w:ascii="Aptos" w:hAnsi="Aptos"/>
                <w:b w:val="0"/>
                <w:i w:val="0"/>
                <w:color w:val="000000"/>
                <w:sz w:val="13"/>
              </w:rPr>
              <w:t>High reported travel time ({round_trip_hours} round-trip hours)</w:t>
            </w:r>
          </w:p>
        </w:tc>
      </w:tr>
      <w:tr>
        <w:trPr>
          <w:cantSplit w:val="true"/>
        </w:trPr>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Some attendance</w:t>
            </w:r>
          </w:p>
        </w:tc>
        <w:tc>
          <w:tcPr>
            <w:tcW w:type="dxa" w:w="6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Some weekday-attendance difficulty</w:t>
            </w:r>
          </w:p>
        </w:tc>
      </w:tr>
      <w:tr>
        <w:trPr>
          <w:cantSplit w:val="true"/>
        </w:trPr>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3"/>
              </w:rPr>
              <w:t>Moderate travel</w:t>
            </w:r>
          </w:p>
        </w:tc>
        <w:tc>
          <w:tcPr>
            <w:tcW w:type="dxa" w:w="6560"/>
            <w:tcMar>
              <w:top w:w="100" w:type="dxa"/>
              <w:start w:w="120" w:type="dxa"/>
              <w:bottom w:w="100" w:type="dxa"/>
              <w:end w:w="120" w:type="dxa"/>
            </w:tcMar>
            <w:vAlign w:val="center"/>
          </w:tcPr>
          <w:p>
            <w:pPr>
              <w:spacing w:after="0" w:line="240" w:lineRule="auto"/>
            </w:pPr>
            <w:r>
              <w:rPr>
                <w:rFonts w:ascii="Aptos" w:hAnsi="Aptos"/>
                <w:b w:val="0"/>
                <w:i w:val="0"/>
                <w:color w:val="000000"/>
                <w:sz w:val="13"/>
              </w:rPr>
              <w:t>Moderate reported travel time ({round_trip_hours} round-trip hours)</w:t>
            </w:r>
          </w:p>
        </w:tc>
      </w:tr>
      <w:tr>
        <w:trPr>
          <w:cantSplit w:val="true"/>
        </w:trPr>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Repeated attendance</w:t>
            </w:r>
          </w:p>
        </w:tc>
        <w:tc>
          <w:tcPr>
            <w:tcW w:type="dxa" w:w="6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Repeated attendance (30–40 episodes; five per week)</w:t>
            </w:r>
          </w:p>
        </w:tc>
      </w:tr>
    </w:tbl>
    <w:p>
      <w:pPr>
        <w:spacing w:after="20"/>
      </w:pPr>
    </w:p>
    <w:p>
      <w:r>
        <w:rPr>
          <w:rFonts w:ascii="Aptos" w:hAnsi="Aptos"/>
          <w:b w:val="0"/>
          <w:i w:val="0"/>
          <w:sz w:val="18"/>
        </w:rPr>
        <w:t>Under Section 6.3.1, driver applicability and classification SHALL use unrounded T, while the round_trip_hours placeholder SHALL use the separate driver-display output obtained by rounding T directly to 0.1 hour with half-up rounding and suppressing unnecessary trailing zeros (for example, 1.0 becomes 1 and 1.25 becomes 1.3). That display value SHALL NOT be sourced from scenario endpoints or sensitivity values and SHALL NOT feed back into classification or burden arithmetic. The resulting exact strings are part of the result contract and executable fixtures.</w:t>
      </w:r>
    </w:p>
    <w:p>
      <w:pPr>
        <w:pStyle w:val="Heading1"/>
      </w:pPr>
      <w:r>
        <w:t>8. Unified Analysis-result Contract</w:t>
      </w:r>
    </w:p>
    <w:p>
      <w:r>
        <w:rPr>
          <w:rFonts w:ascii="Aptos" w:hAnsi="Aptos"/>
          <w:b w:val="0"/>
          <w:i w:val="0"/>
          <w:sz w:val="18"/>
        </w:rPr>
        <w:t>Normative result-model IRI: https://kgrid.org/cks/dfu-hbot-burden/output-models/1.0</w:t>
      </w:r>
    </w:p>
    <w:p>
      <w:pPr>
        <w:pStyle w:val="Heading2"/>
      </w:pPr>
      <w:r>
        <w:t>8.1 Fixed Shape</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w:t>
            </w:r>
          </w:p>
          <w:p>
            <w:pPr>
              <w:spacing w:after="0"/>
            </w:pPr>
            <w:r>
              <w:rPr>
                <w:rFonts w:ascii="Consolas" w:hAnsi="Consolas"/>
                <w:b w:val="0"/>
                <w:i w:val="0"/>
                <w:sz w:val="15"/>
              </w:rPr>
              <w:t xml:space="preserve">  "result_instance_iri": "https://kgrid.org/cks/dfu-hbot-burden/result-instances/550e8400-e29b-41d4-a716-446655440000",</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"result_model_iri": "https://kgrid.org/cks/dfu-hbot-burden/output-models/1.0",</w:t>
            </w:r>
          </w:p>
          <w:p>
            <w:pPr>
              <w:spacing w:after="0"/>
            </w:pPr>
            <w:r>
              <w:rPr>
                <w:rFonts w:ascii="Consolas" w:hAnsi="Consolas"/>
                <w:b w:val="0"/>
                <w:i w:val="0"/>
                <w:sz w:val="15"/>
              </w:rPr>
              <w:t xml:space="preserve">  "issued_at": "2026-07-31T14:25:36.123Z",</w:t>
            </w:r>
          </w:p>
          <w:p>
            <w:pPr>
              <w:spacing w:after="0"/>
            </w:pPr>
            <w:r>
              <w:rPr>
                <w:rFonts w:ascii="Consolas" w:hAnsi="Consolas"/>
                <w:b w:val="0"/>
                <w:i w:val="0"/>
                <w:sz w:val="15"/>
              </w:rPr>
              <w:t xml:space="preserve">  "provenance": {</w:t>
            </w:r>
          </w:p>
          <w:p>
            <w:pPr>
              <w:spacing w:after="0"/>
            </w:pPr>
            <w:r>
              <w:rPr>
                <w:rFonts w:ascii="Consolas" w:hAnsi="Consolas"/>
                <w:b w:val="0"/>
                <w:i w:val="0"/>
                <w:sz w:val="15"/>
              </w:rPr>
              <w:t xml:space="preserve">    "engine_implementation_iri": "https://example.org/dfu-hbot-engine",</w:t>
            </w:r>
          </w:p>
          <w:p>
            <w:pPr>
              <w:spacing w:after="0"/>
            </w:pPr>
            <w:r>
              <w:rPr>
                <w:rFonts w:ascii="Consolas" w:hAnsi="Consolas"/>
                <w:b w:val="0"/>
                <w:i w:val="0"/>
                <w:sz w:val="15"/>
              </w:rPr>
              <w:t xml:space="preserve">    "engine_implementation_version": "1.0.0",</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"schema_bundle_iri": "https://kgrid.org/cks/dfu-hbot-burden/schema-bundles/versions/1.0",</w:t>
            </w:r>
          </w:p>
          <w:p>
            <w:pPr>
              <w:spacing w:after="0"/>
            </w:pPr>
            <w:r>
              <w:rPr>
                <w:rFonts w:ascii="Consolas" w:hAnsi="Consolas"/>
                <w:b w:val="0"/>
                <w:i w:val="0"/>
                <w:sz w:val="15"/>
              </w:rPr>
              <w:t xml:space="preserve">    "fixture_bundle_iri": "https://kgrid.org/cks/dfu-hbot-burden/conformance-fixtures/versions/1.0",</w:t>
            </w:r>
          </w:p>
          <w:p>
            <w:pPr>
              <w:spacing w:after="0"/>
            </w:pPr>
            <w:r>
              <w:rPr>
                <w:rFonts w:ascii="Consolas" w:hAnsi="Consolas"/>
                <w:b w:val="0"/>
                <w:i w:val="0"/>
                <w:sz w:val="15"/>
              </w:rPr>
              <w:t xml:space="preserve">    "identifier_dependency_manifest_iri": "https://kgrid.org/cks/dfu-hbot-burden/identifier-dependency-manifests/versions/1.0",</w:t>
            </w:r>
          </w:p>
          <w:p>
            <w:pPr>
              <w:spacing w:after="0"/>
            </w:pPr>
            <w:r>
              <w:rPr>
                <w:rFonts w:ascii="Consolas" w:hAnsi="Consolas"/>
                <w:b w:val="0"/>
                <w:i w:val="0"/>
                <w:sz w:val="15"/>
              </w:rPr>
              <w:t xml:space="preserve">    "provider_roster_version_iri": "https://kgrid.org/cks/dfu-hbot-burden/provider-rosters/appendix-e/versions/1.0",</w:t>
            </w:r>
          </w:p>
          <w:p>
            <w:pPr>
              <w:spacing w:after="0"/>
            </w:pPr>
            <w:r>
              <w:rPr>
                <w:rFonts w:ascii="Consolas" w:hAnsi="Consolas"/>
                <w:b w:val="0"/>
                <w:i w:val="0"/>
                <w:sz w:val="15"/>
              </w:rPr>
              <w:t xml:space="preserve">    "input_received_at": "2026-07-31T14:25:36.100Z",</w:t>
            </w:r>
          </w:p>
          <w:p>
            <w:pPr>
              <w:spacing w:after="0"/>
            </w:pPr>
            <w:r>
              <w:rPr>
                <w:rFonts w:ascii="Consolas" w:hAnsi="Consolas"/>
                <w:b w:val="0"/>
                <w:i w:val="0"/>
                <w:sz w:val="15"/>
              </w:rPr>
              <w:t xml:space="preserve">    "input_fingerprint": {...},</w:t>
            </w:r>
          </w:p>
          <w:p>
            <w:pPr>
              <w:spacing w:after="0"/>
            </w:pPr>
            <w:r>
              <w:rPr>
                <w:rFonts w:ascii="Consolas" w:hAnsi="Consolas"/>
                <w:b w:val="0"/>
                <w:i w:val="0"/>
                <w:sz w:val="15"/>
              </w:rPr>
              <w:t xml:space="preserve">    "provider_roster_fingerprint": {...},</w:t>
            </w:r>
          </w:p>
          <w:p>
            <w:pPr>
              <w:spacing w:after="0"/>
            </w:pPr>
            <w:r>
              <w:rPr>
                <w:rFonts w:ascii="Consolas" w:hAnsi="Consolas"/>
                <w:b w:val="0"/>
                <w:i w:val="0"/>
                <w:sz w:val="15"/>
              </w:rPr>
              <w:t xml:space="preserve">    "deterministic_result_fingerprint": {...}</w:t>
            </w:r>
          </w:p>
          <w:p>
            <w:pPr>
              <w:spacing w:after="0"/>
            </w:pPr>
            <w:r>
              <w:rPr>
                <w:rFonts w:ascii="Consolas" w:hAnsi="Consolas"/>
                <w:b w:val="0"/>
                <w:i w:val="0"/>
                <w:sz w:val="15"/>
              </w:rPr>
              <w:t xml:space="preserve">  },</w:t>
            </w:r>
          </w:p>
          <w:p>
            <w:pPr>
              <w:spacing w:after="0"/>
            </w:pPr>
            <w:r>
              <w:rPr>
                <w:rFonts w:ascii="Consolas" w:hAnsi="Consolas"/>
                <w:b w:val="0"/>
                <w:i w:val="0"/>
                <w:sz w:val="15"/>
              </w:rPr>
              <w:t xml:space="preserve">  "status": "completed | error",</w:t>
            </w:r>
          </w:p>
          <w:p>
            <w:pPr>
              <w:spacing w:after="0"/>
            </w:pPr>
            <w:r>
              <w:rPr>
                <w:rFonts w:ascii="Consolas" w:hAnsi="Consolas"/>
                <w:b w:val="0"/>
                <w:i w:val="0"/>
                <w:sz w:val="15"/>
              </w:rPr>
              <w:t xml:space="preserve">  "result_code": "RESULT-* | ERR-*",</w:t>
            </w:r>
          </w:p>
          <w:p>
            <w:pPr>
              <w:spacing w:after="0"/>
            </w:pPr>
            <w:r>
              <w:rPr>
                <w:rFonts w:ascii="Consolas" w:hAnsi="Consolas"/>
                <w:b w:val="0"/>
                <w:i w:val="0"/>
                <w:sz w:val="15"/>
              </w:rPr>
              <w:t xml:space="preserve">  "objective_burden": {</w:t>
            </w:r>
          </w:p>
          <w:p>
            <w:pPr>
              <w:spacing w:after="0"/>
            </w:pPr>
            <w:r>
              <w:rPr>
                <w:rFonts w:ascii="Consolas" w:hAnsi="Consolas"/>
                <w:b w:val="0"/>
                <w:i w:val="0"/>
                <w:sz w:val="15"/>
              </w:rPr>
              <w:t xml:space="preserve">    "fixed_regimen_range_response": {...},</w:t>
            </w:r>
          </w:p>
          <w:p>
            <w:pPr>
              <w:spacing w:after="0"/>
            </w:pPr>
            <w:r>
              <w:rPr>
                <w:rFonts w:ascii="Consolas" w:hAnsi="Consolas"/>
                <w:b w:val="0"/>
                <w:i w:val="0"/>
                <w:sz w:val="15"/>
              </w:rPr>
              <w:t xml:space="preserve">    "hyperbaric_oxygen_therapy_location_reference": {...},</w:t>
            </w:r>
          </w:p>
          <w:p>
            <w:pPr>
              <w:spacing w:after="0"/>
            </w:pPr>
            <w:r>
              <w:rPr>
                <w:rFonts w:ascii="Consolas" w:hAnsi="Consolas"/>
                <w:b w:val="0"/>
                <w:i w:val="0"/>
                <w:sz w:val="15"/>
              </w:rPr>
              <w:t xml:space="preserve">    "reported_one_way_travel": {...},</w:t>
            </w:r>
          </w:p>
          <w:p>
            <w:pPr>
              <w:spacing w:after="0"/>
            </w:pPr>
            <w:r>
              <w:rPr>
                <w:rFonts w:ascii="Consolas" w:hAnsi="Consolas"/>
                <w:b w:val="0"/>
                <w:i w:val="0"/>
                <w:sz w:val="15"/>
              </w:rPr>
              <w:t xml:space="preserve">    "burden_by_regimen_scenario": {</w:t>
            </w:r>
          </w:p>
          <w:p>
            <w:pPr>
              <w:spacing w:after="0"/>
            </w:pPr>
            <w:r>
              <w:rPr>
                <w:rFonts w:ascii="Consolas" w:hAnsi="Consolas"/>
                <w:b w:val="0"/>
                <w:i w:val="0"/>
                <w:sz w:val="15"/>
              </w:rPr>
              <w:t xml:space="preserve">      "shorter_regimen": {...},</w:t>
            </w:r>
          </w:p>
          <w:p>
            <w:pPr>
              <w:spacing w:after="0"/>
            </w:pPr>
            <w:r>
              <w:rPr>
                <w:rFonts w:ascii="Consolas" w:hAnsi="Consolas"/>
                <w:b w:val="0"/>
                <w:i w:val="0"/>
                <w:sz w:val="15"/>
              </w:rPr>
              <w:t xml:space="preserve">      "longer_regimen": {...}</w:t>
            </w:r>
          </w:p>
          <w:p>
            <w:pPr>
              <w:spacing w:after="0"/>
            </w:pPr>
            <w:r>
              <w:rPr>
                <w:rFonts w:ascii="Consolas" w:hAnsi="Consolas"/>
                <w:b w:val="0"/>
                <w:i w:val="0"/>
                <w:sz w:val="15"/>
              </w:rPr>
              <w:t xml:space="preserve">    },</w:t>
            </w:r>
          </w:p>
          <w:p>
            <w:pPr>
              <w:spacing w:after="0"/>
            </w:pPr>
            <w:r>
              <w:rPr>
                <w:rFonts w:ascii="Consolas" w:hAnsi="Consolas"/>
                <w:b w:val="0"/>
                <w:i w:val="0"/>
                <w:sz w:val="15"/>
              </w:rPr>
              <w:t xml:space="preserve">    "overall_burden_range": {...},</w:t>
            </w:r>
          </w:p>
          <w:p>
            <w:pPr>
              <w:spacing w:after="0"/>
            </w:pPr>
            <w:r>
              <w:rPr>
                <w:rFonts w:ascii="Consolas" w:hAnsi="Consolas"/>
                <w:b w:val="0"/>
                <w:i w:val="0"/>
                <w:sz w:val="15"/>
              </w:rPr>
              <w:t xml:space="preserve">    "travel_band": {...} | null</w:t>
            </w:r>
          </w:p>
          <w:p>
            <w:pPr>
              <w:spacing w:after="0"/>
            </w:pPr>
            <w:r>
              <w:rPr>
                <w:rFonts w:ascii="Consolas" w:hAnsi="Consolas"/>
                <w:b w:val="0"/>
                <w:i w:val="0"/>
                <w:sz w:val="15"/>
              </w:rPr>
              <w:t xml:space="preserve">  } | null,</w:t>
            </w:r>
          </w:p>
          <w:p>
            <w:pPr>
              <w:spacing w:after="0"/>
            </w:pPr>
            <w:r>
              <w:rPr>
                <w:rFonts w:ascii="Consolas" w:hAnsi="Consolas"/>
                <w:b w:val="0"/>
                <w:i w:val="0"/>
                <w:sz w:val="15"/>
              </w:rPr>
              <w:t xml:space="preserve">  "weekday_attendance_feasibility": {...} | null,</w:t>
            </w:r>
          </w:p>
          <w:p>
            <w:pPr>
              <w:spacing w:after="0"/>
            </w:pPr>
            <w:r>
              <w:rPr>
                <w:rFonts w:ascii="Consolas" w:hAnsi="Consolas"/>
                <w:b w:val="0"/>
                <w:i w:val="0"/>
                <w:sz w:val="15"/>
              </w:rPr>
              <w:t xml:space="preserve">  "execution_burden_level": {...} | null,</w:t>
            </w:r>
          </w:p>
          <w:p>
            <w:pPr>
              <w:spacing w:after="0"/>
            </w:pPr>
            <w:r>
              <w:rPr>
                <w:rFonts w:ascii="Consolas" w:hAnsi="Consolas"/>
                <w:b w:val="0"/>
                <w:i w:val="0"/>
                <w:sz w:val="15"/>
              </w:rPr>
              <w:t xml:space="preserve">  "sensitivity": {...} | null,</w:t>
            </w:r>
          </w:p>
          <w:p>
            <w:pPr>
              <w:spacing w:after="0"/>
            </w:pPr>
            <w:r>
              <w:rPr>
                <w:rFonts w:ascii="Consolas" w:hAnsi="Consolas"/>
                <w:b w:val="0"/>
                <w:i w:val="0"/>
                <w:sz w:val="15"/>
              </w:rPr>
              <w:t xml:space="preserve">  "assumptions": [],</w:t>
            </w:r>
          </w:p>
          <w:p>
            <w:pPr>
              <w:spacing w:after="0"/>
            </w:pPr>
            <w:r>
              <w:rPr>
                <w:rFonts w:ascii="Consolas" w:hAnsi="Consolas"/>
                <w:b w:val="0"/>
                <w:i w:val="0"/>
                <w:sz w:val="15"/>
              </w:rPr>
              <w:t xml:space="preserve">  "evidence_sources": [],</w:t>
            </w:r>
          </w:p>
          <w:p>
            <w:pPr>
              <w:spacing w:after="0"/>
            </w:pPr>
            <w:r>
              <w:rPr>
                <w:rFonts w:ascii="Consolas" w:hAnsi="Consolas"/>
                <w:b w:val="0"/>
                <w:i w:val="0"/>
                <w:sz w:val="15"/>
              </w:rPr>
              <w:t xml:space="preserve">  "error": {...} | null,</w:t>
            </w:r>
          </w:p>
          <w:p>
            <w:pPr>
              <w:spacing w:after="0"/>
            </w:pPr>
            <w:r>
              <w:rPr>
                <w:rFonts w:ascii="Consolas" w:hAnsi="Consolas"/>
                <w:b w:val="0"/>
                <w:i w:val="0"/>
                <w:sz w:val="15"/>
              </w:rPr>
              <w:t xml:space="preserve">  "warnings": []</w:t>
            </w:r>
          </w:p>
          <w:p>
            <w:pPr>
              <w:spacing w:after="0"/>
            </w:pPr>
            <w:r>
              <w:rPr>
                <w:rFonts w:ascii="Consolas" w:hAnsi="Consolas"/>
                <w:b w:val="0"/>
                <w:i w:val="0"/>
                <w:sz w:val="15"/>
              </w:rPr>
              <w:t>}</w:t>
            </w:r>
          </w:p>
        </w:tc>
      </w:tr>
    </w:tbl>
    <w:p>
      <w:pPr>
        <w:spacing w:after="20"/>
      </w:pPr>
    </w:p>
    <w:p>
      <w:pPr>
        <w:pStyle w:val="Heading2"/>
      </w:pPr>
      <w:r>
        <w:t>8.2 Result Requirements</w:t>
      </w:r>
    </w:p>
    <w:p>
      <w:pPr>
        <w:pStyle w:val="ListBullet"/>
        <w:spacing w:after="20"/>
      </w:pPr>
      <w:r>
        <w:rPr>
          <w:rFonts w:ascii="Aptos" w:hAnsi="Aptos"/>
          <w:b w:val="0"/>
          <w:i w:val="0"/>
          <w:sz w:val="18"/>
        </w:rPr>
        <w:t>Every invocation covered by this CKS SHALL return all 15 top-level fields exactly once. result_instance_iri identifies this emitted result occurrence; specification_iri and result_model_iri identify the exact governing CKS and result contract; issued_at and provenance provide the mandatory audit envelope.</w:t>
      </w:r>
    </w:p>
    <w:p>
      <w:pPr>
        <w:pStyle w:val="ListBullet"/>
        <w:spacing w:after="20"/>
      </w:pPr>
      <w:r>
        <w:rPr>
          <w:rFonts w:ascii="Aptos" w:hAnsi="Aptos"/>
          <w:b w:val="0"/>
          <w:i w:val="0"/>
          <w:sz w:val="18"/>
        </w:rPr>
        <w:t>objective_burden.fixed_regimen_range_response SHALL reproduce the valid Section 3 Fixed Regimen Range Response; it SHALL NOT be labeled patient-specific, recommended, prescribed, or calculated for the patient.</w:t>
      </w:r>
    </w:p>
    <w:p>
      <w:pPr>
        <w:pStyle w:val="ListBullet"/>
        <w:spacing w:after="20"/>
      </w:pPr>
      <w:r>
        <w:rPr>
          <w:rFonts w:ascii="Aptos" w:hAnsi="Aptos"/>
          <w:b w:val="0"/>
          <w:i w:val="0"/>
          <w:sz w:val="18"/>
        </w:rPr>
        <w:t>burden_by_regimen_scenario SHALL always contain shorter_regimen followed by longer_regimen. Each SHALL report episodes, course weeks, travel hours, facility hours, total patient hours, and course miles.</w:t>
      </w:r>
    </w:p>
    <w:p>
      <w:pPr>
        <w:pStyle w:val="ListBullet"/>
        <w:spacing w:after="20"/>
      </w:pPr>
      <w:r>
        <w:rPr>
          <w:rFonts w:ascii="Aptos" w:hAnsi="Aptos"/>
          <w:b w:val="0"/>
          <w:i w:val="0"/>
          <w:sz w:val="18"/>
        </w:rPr>
        <w:t>overall_burden_range SHALL span the shorter scenario's lower endpoint through the longer scenario's upper endpoint. Returning only one scenario is prohibited.</w:t>
      </w:r>
    </w:p>
    <w:p>
      <w:pPr>
        <w:pStyle w:val="ListBullet"/>
        <w:spacing w:after="20"/>
      </w:pPr>
      <w:r>
        <w:rPr>
          <w:rFonts w:ascii="Aptos" w:hAnsi="Aptos"/>
          <w:b w:val="0"/>
          <w:i w:val="0"/>
          <w:sz w:val="18"/>
        </w:rPr>
        <w:t>weekday_attendance_feasibility SHALL contain only reported_value and the exact Section 7.2 display_text; it SHALL NOT contain an inferred score or barrier domain.</w:t>
      </w:r>
    </w:p>
    <w:p>
      <w:pPr>
        <w:pStyle w:val="ListBullet"/>
        <w:spacing w:after="20"/>
      </w:pPr>
      <w:r>
        <w:rPr>
          <w:rFonts w:ascii="Aptos" w:hAnsi="Aptos"/>
          <w:b w:val="0"/>
          <w:i w:val="0"/>
          <w:sz w:val="18"/>
        </w:rPr>
        <w:t>execution_burden_level SHALL contain score, category, primary_driver, secondary_driver, and display_text. Score and category SHALL be derived only by Sections 7.3–7.5 and SHALL agree exactly.</w:t>
      </w:r>
    </w:p>
    <w:p>
      <w:pPr>
        <w:pStyle w:val="ListBullet"/>
        <w:spacing w:after="20"/>
      </w:pPr>
      <w:r>
        <w:rPr>
          <w:rFonts w:ascii="Aptos" w:hAnsi="Aptos"/>
          <w:b w:val="0"/>
          <w:i w:val="0"/>
          <w:sz w:val="18"/>
        </w:rPr>
        <w:t>For status=completed, sensitivity SHALL be non-null and SHALL contain all six Section 6.4 difference fields exactly once, calculated and serialized under Sections 6.3–6.4. It SHALL NOT be omitted, null, partial, defaulted, or treated as presentation-only.</w:t>
      </w:r>
    </w:p>
    <w:p>
      <w:pPr>
        <w:pStyle w:val="ListBullet"/>
        <w:spacing w:after="20"/>
      </w:pPr>
      <w:r>
        <w:rPr>
          <w:rFonts w:ascii="Aptos" w:hAnsi="Aptos"/>
          <w:b w:val="0"/>
          <w:i w:val="0"/>
          <w:sz w:val="18"/>
        </w:rPr>
        <w:t>For status=completed, assumptions SHALL contain exactly ASM-01 through ASM-04, in ascending code order, with the exact Section 8.4 text. No assumption may be omitted, duplicated, reordered, replaced, or added.</w:t>
      </w:r>
    </w:p>
    <w:p>
      <w:pPr>
        <w:pStyle w:val="ListBullet"/>
        <w:spacing w:after="20"/>
      </w:pPr>
      <w:r>
        <w:rPr>
          <w:rFonts w:ascii="Aptos" w:hAnsi="Aptos"/>
          <w:b w:val="0"/>
          <w:i w:val="0"/>
          <w:sz w:val="18"/>
        </w:rPr>
        <w:t>status=completed requires the exact bound provider-roster version IRI, a provider IRI resolving to one selectable record in that version, valid reported travel values, complete objective_burden, reproduced weekday_attendance_feasibility, a classified execution_burden_level, complete sensitivity, and exactly ASM-01 through ASM-04.</w:t>
      </w:r>
    </w:p>
    <w:p>
      <w:pPr>
        <w:pStyle w:val="ListBullet"/>
        <w:spacing w:after="20"/>
      </w:pPr>
      <w:r>
        <w:rPr>
          <w:rFonts w:ascii="Aptos" w:hAnsi="Aptos"/>
          <w:b w:val="0"/>
          <w:i w:val="0"/>
          <w:sz w:val="18"/>
        </w:rPr>
        <w:t>status=error requires all substantive result fields to be null, assumptions and evidence_sources to be empty arrays, and error to contain the exact Section 9 mapping.</w:t>
      </w:r>
    </w:p>
    <w:p>
      <w:pPr>
        <w:pStyle w:val="ListBullet"/>
        <w:spacing w:after="20"/>
      </w:pPr>
      <w:r>
        <w:rPr>
          <w:rFonts w:ascii="Aptos" w:hAnsi="Aptos"/>
          <w:b w:val="0"/>
          <w:i w:val="0"/>
          <w:sz w:val="18"/>
        </w:rPr>
        <w:t>warnings SHALL be an array. No warning may silently change execution_burden_level or arithmetic.</w:t>
      </w:r>
    </w:p>
    <w:p>
      <w:pPr>
        <w:pStyle w:val="Heading3"/>
      </w:pPr>
      <w:r>
        <w:t>8.2.1 Result-instance Identity</w:t>
      </w:r>
    </w:p>
    <w:p>
      <w:r>
        <w:rPr>
          <w:rFonts w:ascii="Aptos" w:hAnsi="Aptos"/>
          <w:b w:val="0"/>
          <w:i w:val="0"/>
          <w:sz w:val="18"/>
        </w:rPr>
        <w:t>Each completed or error result SHALL mint one globally unique, immutable result_instance_iri beneath https://kgrid.org/cks/dfu-hbot-burden/result-instances/. The terminal path segment SHALL be a lowercase RFC 9562 UUID version 4 in canonical 8-4-4-4-12 form. The UUID version nibble SHALL be 4 and the variant nibble SHALL be 8, 9, a, or b. A result-instance IRI SHALL identify exactly one serialized result occurrence, SHALL NOT be reused after deletion or failure, and SHALL NOT be derived from patient data, provider data, timestamps, or fingerprints. Replaying identical inputs SHALL mint a new result_instance_iri even when the deterministic result fingerprint is unchanged.</w:t>
      </w:r>
    </w:p>
    <w:tbl>
      <w:tblPr>
        <w:tblW w:type="dxa" w:w="9360"/>
        <w:tblLayout w:type="fixed"/>
        <w:tblLook w:firstColumn="1" w:firstRow="1" w:lastColumn="0" w:lastRow="0" w:noHBand="0" w:noVBand="1" w:val="04A0"/>
        <w:tblInd w:w="120" w:type="dxa"/>
      </w:tblPr>
      <w:tblGrid>
        <w:gridCol w:w="2700"/>
        <w:gridCol w:w="900"/>
        <w:gridCol w:w="5760"/>
      </w:tblGrid>
      <w:tr>
        <w:trPr>
          <w:cantSplit w:val="true"/>
          <w:tblHeader w:val="true"/>
        </w:trPr>
        <w:tc>
          <w:tcPr>
            <w:tcW w:type="dxa" w:w="27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FIELD</w:t>
            </w:r>
          </w:p>
        </w:tc>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CARD.</w:t>
            </w:r>
          </w:p>
        </w:tc>
        <w:tc>
          <w:tcPr>
            <w:tcW w:type="dxa" w:w="57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NORMATIVE RULE</w:t>
            </w:r>
          </w:p>
        </w:tc>
      </w:tr>
      <w:tr>
        <w:trPr>
          <w:cantSplit w:val="true"/>
        </w:trPr>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3"/>
              </w:rPr>
              <w:t>result_instance_iri</w:t>
            </w:r>
          </w:p>
        </w:tc>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1..1</w:t>
            </w:r>
          </w:p>
        </w:tc>
        <w:tc>
          <w:tcPr>
            <w:tcW w:type="dxa" w:w="57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https://kgrid.org/cks/dfu-hbot-burden/result-instances/{lowercase UUIDv4}; unique and immutable</w:t>
            </w:r>
          </w:p>
        </w:tc>
      </w:tr>
      <w:tr>
        <w:trPr>
          <w:cantSplit w:val="true"/>
        </w:trPr>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issued_at</w:t>
            </w:r>
          </w:p>
        </w:tc>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1..1</w:t>
            </w:r>
          </w:p>
        </w:tc>
        <w:tc>
          <w:tcPr>
            <w:tcW w:type="dxa" w:w="5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Canonical UTC timestamp; generated when the complete result object is committed for return</w:t>
            </w:r>
          </w:p>
        </w:tc>
      </w:tr>
      <w:tr>
        <w:trPr>
          <w:cantSplit w:val="true"/>
        </w:trPr>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3"/>
              </w:rPr>
              <w:t>provenance</w:t>
            </w:r>
          </w:p>
        </w:tc>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1..1</w:t>
            </w:r>
          </w:p>
        </w:tc>
        <w:tc>
          <w:tcPr>
            <w:tcW w:type="dxa" w:w="5760"/>
            <w:tcMar>
              <w:top w:w="100" w:type="dxa"/>
              <w:start w:w="120" w:type="dxa"/>
              <w:bottom w:w="100" w:type="dxa"/>
              <w:end w:w="120" w:type="dxa"/>
            </w:tcMar>
            <w:vAlign w:val="center"/>
          </w:tcPr>
          <w:p>
            <w:pPr>
              <w:spacing w:after="0" w:line="240" w:lineRule="auto"/>
            </w:pPr>
            <w:r>
              <w:rPr>
                <w:rFonts w:ascii="Aptos" w:hAnsi="Aptos"/>
                <w:b w:val="0"/>
                <w:i w:val="0"/>
                <w:color w:val="000000"/>
                <w:sz w:val="13"/>
              </w:rPr>
              <w:t>Closed audit object defined in Section 8.2.2; required for completed and error results</w:t>
            </w:r>
          </w:p>
        </w:tc>
      </w:tr>
    </w:tbl>
    <w:p>
      <w:pPr>
        <w:spacing w:after="20"/>
      </w:pPr>
    </w:p>
    <w:p>
      <w:pPr>
        <w:pStyle w:val="Heading3"/>
      </w:pPr>
      <w:r>
        <w:t>8.2.2 Closed Audit and Provenance Object</w:t>
      </w:r>
    </w:p>
    <w:tbl>
      <w:tblPr>
        <w:tblW w:type="dxa" w:w="9360"/>
        <w:tblLayout w:type="fixed"/>
        <w:tblLook w:firstColumn="1" w:firstRow="1" w:lastColumn="0" w:lastRow="0" w:noHBand="0" w:noVBand="1" w:val="04A0"/>
        <w:tblInd w:w="120" w:type="dxa"/>
      </w:tblPr>
      <w:tblGrid>
        <w:gridCol w:w="3000"/>
        <w:gridCol w:w="800"/>
        <w:gridCol w:w="800"/>
        <w:gridCol w:w="4760"/>
      </w:tblGrid>
      <w:tr>
        <w:trPr>
          <w:cantSplit w:val="true"/>
          <w:tblHeader w:val="true"/>
        </w:trPr>
        <w:tc>
          <w:tcPr>
            <w:tcW w:type="dxa" w:w="30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PROPERTY</w:t>
            </w:r>
          </w:p>
        </w:tc>
        <w:tc>
          <w:tcPr>
            <w:tcW w:type="dxa" w:w="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CARD.</w:t>
            </w:r>
          </w:p>
        </w:tc>
        <w:tc>
          <w:tcPr>
            <w:tcW w:type="dxa" w:w="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NULL</w:t>
            </w:r>
          </w:p>
        </w:tc>
        <w:tc>
          <w:tcPr>
            <w:tcW w:type="dxa" w:w="47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EXACT SEMANTICS</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2"/>
              </w:rPr>
              <w:t>engine_implementation_iri</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tcPr>
          <w:p>
            <w:pPr>
              <w:spacing w:after="0" w:line="240" w:lineRule="auto"/>
            </w:pPr>
            <w:r>
              <w:rPr>
                <w:rFonts w:ascii="Aptos" w:hAnsi="Aptos"/>
                <w:b w:val="0"/>
                <w:i w:val="0"/>
                <w:color w:val="000000"/>
                <w:sz w:val="12"/>
              </w:rPr>
              <w:t>Absolute HTTPS IRI identifying the deployed executable implementation, not the CKS</w:t>
            </w:r>
          </w:p>
        </w:tc>
      </w:tr>
      <w:tr>
        <w:trPr>
          <w:cantSplit w:val="true"/>
        </w:trPr>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engine_implementation_version</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Nonempty immutable build or release identifier; a changed executable SHALL use a changed value</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2"/>
              </w:rPr>
              <w:t>specification_iri</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tcPr>
          <w:p>
            <w:pPr>
              <w:spacing w:after="0" w:line="240" w:lineRule="auto"/>
            </w:pPr>
            <w:r>
              <w:rPr>
                <w:rFonts w:ascii="Aptos" w:hAnsi="Aptos"/>
                <w:b w:val="0"/>
                <w:i w:val="0"/>
                <w:color w:val="000000"/>
                <w:sz w:val="12"/>
              </w:rPr>
              <w:t>Exact CKS version IRI; SHALL equal the result top-level specification_iri</w:t>
            </w:r>
          </w:p>
        </w:tc>
      </w:tr>
      <w:tr>
        <w:trPr>
          <w:cantSplit w:val="true"/>
        </w:trPr>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schema_bundle_iri</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Exact normative schema-bundle version used for validation</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2"/>
              </w:rPr>
              <w:t>fixture_bundle_iri</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tcPr>
          <w:p>
            <w:pPr>
              <w:spacing w:after="0" w:line="240" w:lineRule="auto"/>
            </w:pPr>
            <w:r>
              <w:rPr>
                <w:rFonts w:ascii="Aptos" w:hAnsi="Aptos"/>
                <w:b w:val="0"/>
                <w:i w:val="0"/>
                <w:color w:val="000000"/>
                <w:sz w:val="12"/>
              </w:rPr>
              <w:t>Exact executable fixture-bundle version used for conformance qualification</w:t>
            </w:r>
          </w:p>
        </w:tc>
      </w:tr>
      <w:tr>
        <w:trPr>
          <w:cantSplit w:val="true"/>
        </w:trPr>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identifier_dependency_manifest_iri</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Exact normative manifest governing identifier families, scoped compact IDs, item-IRI policy, and dependency bindings</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2"/>
              </w:rPr>
              <w:t>provider_roster_version_iri</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tcPr>
          <w:p>
            <w:pPr>
              <w:spacing w:after="0" w:line="240" w:lineRule="auto"/>
            </w:pPr>
            <w:r>
              <w:rPr>
                <w:rFonts w:ascii="Aptos" w:hAnsi="Aptos"/>
                <w:b w:val="0"/>
                <w:i w:val="0"/>
                <w:color w:val="000000"/>
                <w:sz w:val="12"/>
              </w:rPr>
              <w:t>Exact roster version configured for this invocation, including errors occurring before roster loading</w:t>
            </w:r>
          </w:p>
        </w:tc>
      </w:tr>
      <w:tr>
        <w:trPr>
          <w:cantSplit w:val="true"/>
        </w:trPr>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input_received_at</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Canonical UTC timestamp captured after receipt of the input representation and before validation; for ERR-01, the instant at which an invocation lacking an input representation is detected</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2"/>
              </w:rPr>
              <w:t>input_fingerprint</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tcPr>
          <w:p>
            <w:pPr>
              <w:spacing w:after="0" w:line="240" w:lineRule="auto"/>
            </w:pPr>
            <w:r>
              <w:rPr>
                <w:rFonts w:ascii="Aptos" w:hAnsi="Aptos"/>
                <w:b w:val="0"/>
                <w:i w:val="0"/>
                <w:color w:val="000000"/>
                <w:sz w:val="12"/>
              </w:rPr>
              <w:t>Fingerprint object for the submitted analysis request or raw representation</w:t>
            </w:r>
          </w:p>
        </w:tc>
      </w:tr>
      <w:tr>
        <w:trPr>
          <w:cantSplit w:val="true"/>
        </w:trPr>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provider_roster_fingerprint</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Yes*</w:t>
            </w:r>
          </w:p>
        </w:tc>
        <w:tc>
          <w:tcPr>
            <w:tcW w:type="dxa" w:w="4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Fingerprint of the exact loaded roster snapshot; value is null only when no snapshot was loaded</w:t>
            </w:r>
          </w:p>
        </w:tc>
      </w:tr>
      <w:tr>
        <w:trPr>
          <w:cantSplit w:val="true"/>
        </w:trPr>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2"/>
              </w:rPr>
              <w:t>deterministic_result_fingerprint</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2"/>
              </w:rPr>
              <w:t>No</w:t>
            </w:r>
          </w:p>
        </w:tc>
        <w:tc>
          <w:tcPr>
            <w:tcW w:type="dxa" w:w="4760"/>
            <w:tcMar>
              <w:top w:w="100" w:type="dxa"/>
              <w:start w:w="120" w:type="dxa"/>
              <w:bottom w:w="100" w:type="dxa"/>
              <w:end w:w="120" w:type="dxa"/>
            </w:tcMar>
            <w:vAlign w:val="center"/>
          </w:tcPr>
          <w:p>
            <w:pPr>
              <w:spacing w:after="0" w:line="240" w:lineRule="auto"/>
            </w:pPr>
            <w:r>
              <w:rPr>
                <w:rFonts w:ascii="Aptos" w:hAnsi="Aptos"/>
                <w:b w:val="0"/>
                <w:i w:val="0"/>
                <w:color w:val="000000"/>
                <w:sz w:val="12"/>
              </w:rPr>
              <w:t>Fingerprint of the deterministic result payload defined in Section 8.2.4</w:t>
            </w:r>
          </w:p>
        </w:tc>
      </w:tr>
    </w:tbl>
    <w:p>
      <w:pPr>
        <w:spacing w:after="20"/>
      </w:pPr>
    </w:p>
    <w:p>
      <w:r>
        <w:rPr>
          <w:rFonts w:ascii="Aptos" w:hAnsi="Aptos"/>
          <w:b w:val="0"/>
          <w:i w:val="0"/>
          <w:sz w:val="18"/>
        </w:rPr>
        <w:t>The provenance object is closed. It describes computational lineage only and SHALL NOT contain patient identifiers, user identifiers, free text, network addresses, device identifiers, or mutable display labels. Audit-storage systems MAY associate additional operational metadata outside the CKS result, but SHALL NOT inject it into this object.</w:t>
      </w:r>
    </w:p>
    <w:p>
      <w:pPr>
        <w:pStyle w:val="Heading3"/>
      </w:pPr>
      <w:r>
        <w:t>8.2.3 Timestamp Profile</w:t>
      </w:r>
    </w:p>
    <w:p>
      <w:pPr>
        <w:pStyle w:val="ListBullet"/>
        <w:spacing w:after="20"/>
      </w:pPr>
      <w:r>
        <w:rPr>
          <w:rFonts w:ascii="Aptos" w:hAnsi="Aptos"/>
          <w:b w:val="0"/>
          <w:i w:val="0"/>
          <w:sz w:val="18"/>
        </w:rPr>
        <w:t>issued_at and input_received_at SHALL use the exact lexical form YYYY-MM-DDThh:mm:ss.sssZ, with four-digit year, two-digit components, exactly three fractional-second digits, uppercase T and Z, and UTC only.</w:t>
      </w:r>
    </w:p>
    <w:p>
      <w:pPr>
        <w:pStyle w:val="ListBullet"/>
        <w:spacing w:after="20"/>
      </w:pPr>
      <w:r>
        <w:rPr>
          <w:rFonts w:ascii="Aptos" w:hAnsi="Aptos"/>
          <w:b w:val="0"/>
          <w:i w:val="0"/>
          <w:sz w:val="18"/>
        </w:rPr>
        <w:t>Values SHALL be valid Gregorian instants under RFC 3339. Numeric UTC offsets, lowercase t/z, omitted milliseconds, more or fewer fractional digits, a space separator, leap-second value 60, and local time without Z are nonconformant.</w:t>
      </w:r>
    </w:p>
    <w:p>
      <w:pPr>
        <w:pStyle w:val="ListBullet"/>
        <w:spacing w:after="20"/>
      </w:pPr>
      <w:r>
        <w:rPr>
          <w:rFonts w:ascii="Aptos" w:hAnsi="Aptos"/>
          <w:b w:val="0"/>
          <w:i w:val="0"/>
          <w:sz w:val="18"/>
        </w:rPr>
        <w:t>input_received_at SHALL be less than or equal to issued_at. For ERR-01, input_received_at records the instant at which the analysis invocation without an input representation is detected; it does not imply that an input representation existed. Implementations SHALL use a clock capable of millisecond representation and SHALL preserve the captured strings without later timezone conversion or reformatting.</w:t>
      </w:r>
    </w:p>
    <w:p>
      <w:pPr>
        <w:pStyle w:val="ListBullet"/>
        <w:spacing w:after="20"/>
      </w:pPr>
      <w:r>
        <w:rPr>
          <w:rFonts w:ascii="Aptos" w:hAnsi="Aptos"/>
          <w:b w:val="0"/>
          <w:i w:val="0"/>
          <w:sz w:val="18"/>
        </w:rPr>
        <w:t>Timestamps record execution occurrence, not clinical assessment time, questionnaire completion time, treatment time, or evidence publication time. No such clinical timestamp is inferred.</w:t>
      </w:r>
    </w:p>
    <w:p>
      <w:pPr>
        <w:pStyle w:val="Heading3"/>
      </w:pPr>
      <w:r>
        <w:t>8.2.4 Fingerprint Objects and Canonicalization</w:t>
      </w:r>
    </w:p>
    <w:p>
      <w:r>
        <w:rPr>
          <w:rFonts w:ascii="Aptos" w:hAnsi="Aptos"/>
          <w:b w:val="0"/>
          <w:i w:val="0"/>
          <w:sz w:val="18"/>
        </w:rPr>
        <w:t>Every fingerprint object has exactly algorithm, canonicalization, and value. algorithm SHALL equal SHA-256. A non-null value SHALL be 64 lowercase hexadecimal characters. canonicalization SHALL be RFC8785, raw-octets, or none under the cases below.</w:t>
      </w:r>
    </w:p>
    <w:tbl>
      <w:tblPr>
        <w:tblW w:type="dxa" w:w="9360"/>
        <w:tblLayout w:type="fixed"/>
        <w:tblLook w:firstColumn="1" w:firstRow="1" w:lastColumn="0" w:lastRow="0" w:noHBand="0" w:noVBand="1" w:val="04A0"/>
        <w:tblInd w:w="120" w:type="dxa"/>
      </w:tblPr>
      <w:tblGrid>
        <w:gridCol w:w="2600"/>
        <w:gridCol w:w="1800"/>
        <w:gridCol w:w="4960"/>
      </w:tblGrid>
      <w:tr>
        <w:trPr>
          <w:cantSplit w:val="true"/>
          <w:tblHeader w:val="true"/>
        </w:trPr>
        <w:tc>
          <w:tcPr>
            <w:tcW w:type="dxa" w:w="26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FINGERPRINT</w:t>
            </w:r>
          </w:p>
        </w:tc>
        <w:tc>
          <w:tcPr>
            <w:tcW w:type="dxa" w:w="1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CANONICALIZATION</w:t>
            </w:r>
          </w:p>
        </w:tc>
        <w:tc>
          <w:tcPr>
            <w:tcW w:type="dxa" w:w="49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VALUE RULE</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2"/>
              </w:rPr>
              <w:t>input_fingerprint</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2"/>
              </w:rPr>
              <w:t>RFC8785</w:t>
            </w:r>
          </w:p>
        </w:tc>
        <w:tc>
          <w:tcPr>
            <w:tcW w:type="dxa" w:w="4960"/>
            <w:tcMar>
              <w:top w:w="100" w:type="dxa"/>
              <w:start w:w="120" w:type="dxa"/>
              <w:bottom w:w="100" w:type="dxa"/>
              <w:end w:w="120" w:type="dxa"/>
            </w:tcMar>
            <w:vAlign w:val="center"/>
          </w:tcPr>
          <w:p>
            <w:pPr>
              <w:spacing w:after="0" w:line="240" w:lineRule="auto"/>
            </w:pPr>
            <w:r>
              <w:rPr>
                <w:rFonts w:ascii="Aptos" w:hAnsi="Aptos"/>
                <w:b w:val="0"/>
                <w:i w:val="0"/>
                <w:color w:val="000000"/>
                <w:sz w:val="12"/>
              </w:rPr>
              <w:t>For a successfully decoded unique-member I-JSON input: SHA-256 of the UTF-8 RFC 8785 JSON Canonicalization Scheme representation of the complete analysis request</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input_fingerprint</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raw-octets</w:t>
            </w:r>
          </w:p>
        </w:tc>
        <w:tc>
          <w:tcPr>
            <w:tcW w:type="dxa" w:w="4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For malformed JSON or duplicate-member input: SHA-256 of the exact received octet sequence before decoding</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2"/>
              </w:rPr>
              <w:t>input_fingerprint</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2"/>
              </w:rPr>
              <w:t>none</w:t>
            </w:r>
          </w:p>
        </w:tc>
        <w:tc>
          <w:tcPr>
            <w:tcW w:type="dxa" w:w="4960"/>
            <w:tcMar>
              <w:top w:w="100" w:type="dxa"/>
              <w:start w:w="120" w:type="dxa"/>
              <w:bottom w:w="100" w:type="dxa"/>
              <w:end w:w="120" w:type="dxa"/>
            </w:tcMar>
            <w:vAlign w:val="center"/>
          </w:tcPr>
          <w:p>
            <w:pPr>
              <w:spacing w:after="0" w:line="240" w:lineRule="auto"/>
            </w:pPr>
            <w:r>
              <w:rPr>
                <w:rFonts w:ascii="Aptos" w:hAnsi="Aptos"/>
                <w:b w:val="0"/>
                <w:i w:val="0"/>
                <w:color w:val="000000"/>
                <w:sz w:val="12"/>
              </w:rPr>
              <w:t>Only ERR-01, where no input representation was received; value SHALL be null</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provider_roster_fingerprint</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RFC8785</w:t>
            </w:r>
          </w:p>
        </w:tc>
        <w:tc>
          <w:tcPr>
            <w:tcW w:type="dxa" w:w="4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SHA-256 of the UTF-8 RFC 8785 representation of the complete immutable roster snapshot, including roster metadata and records, when loaded</w:t>
            </w:r>
          </w:p>
        </w:tc>
      </w:tr>
      <w:tr>
        <w:trPr>
          <w:cantSplit w:val="true"/>
        </w:trPr>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2"/>
              </w:rPr>
              <w:t>provider_roster_fingerprint</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2"/>
              </w:rPr>
              <w:t>none</w:t>
            </w:r>
          </w:p>
        </w:tc>
        <w:tc>
          <w:tcPr>
            <w:tcW w:type="dxa" w:w="4960"/>
            <w:tcMar>
              <w:top w:w="100" w:type="dxa"/>
              <w:start w:w="120" w:type="dxa"/>
              <w:bottom w:w="100" w:type="dxa"/>
              <w:end w:w="120" w:type="dxa"/>
            </w:tcMar>
            <w:vAlign w:val="center"/>
          </w:tcPr>
          <w:p>
            <w:pPr>
              <w:spacing w:after="0" w:line="240" w:lineRule="auto"/>
            </w:pPr>
            <w:r>
              <w:rPr>
                <w:rFonts w:ascii="Aptos" w:hAnsi="Aptos"/>
                <w:b w:val="0"/>
                <w:i w:val="0"/>
                <w:color w:val="000000"/>
                <w:sz w:val="12"/>
              </w:rPr>
              <w:t>When no roster snapshot was loaded; value SHALL be null</w:t>
            </w:r>
          </w:p>
        </w:tc>
      </w:tr>
      <w:tr>
        <w:trPr>
          <w:cantSplit w:val="true"/>
        </w:trPr>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deterministic_result_fingerprint</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RFC8785</w:t>
            </w:r>
          </w:p>
        </w:tc>
        <w:tc>
          <w:tcPr>
            <w:tcW w:type="dxa" w:w="4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SHA-256 of the deterministic result payload; value is never null</w:t>
            </w:r>
          </w:p>
        </w:tc>
      </w:tr>
    </w:tbl>
    <w:p>
      <w:pPr>
        <w:spacing w:after="20"/>
      </w:pPr>
    </w:p>
    <w:p>
      <w:r>
        <w:rPr>
          <w:rFonts w:ascii="Aptos" w:hAnsi="Aptos"/>
          <w:b w:val="0"/>
          <w:i w:val="0"/>
          <w:sz w:val="18"/>
        </w:rPr>
        <w:t>For deterministic_result_fingerprint, construct the otherwise complete result, remove result_instance_iri, issued_at, and provenance, canonicalize the remaining 12-field object under RFC 8785, encode as UTF-8, and calculate SHA-256. The fingerprint object itself is therefore not self-referential. JSON strings SHALL be preserved without Unicode normalization, duplicate members are prohibited in canonicalized objects, and all numbers SHALL satisfy the I-JSON constraints required by RFC 8785.</w:t>
      </w:r>
    </w:p>
    <w:p>
      <w:r>
        <w:rPr>
          <w:rFonts w:ascii="Aptos" w:hAnsi="Aptos"/>
          <w:b w:val="0"/>
          <w:i w:val="0"/>
          <w:sz w:val="18"/>
        </w:rPr>
        <w:t>A conforming implementation SHALL use an RFC 8785 implementation that applies ECMAScript JSON number serialization; sorted-key serialization alone is nonconformant. In particular, mathematically integral values such as 6.0 canonicalize as 6. Conformance fixtures are generated with the canonicalize 1.0.8 implementation of RFC 8785 and independently reverified before packaging.</w:t>
      </w:r>
    </w:p>
    <w:p>
      <w:pPr>
        <w:pStyle w:val="Heading3"/>
      </w:pPr>
      <w:r>
        <w:t>8.2.5 Reproducibility and Replay Procedure</w:t>
      </w:r>
    </w:p>
    <w:tbl>
      <w:tblPr>
        <w:tblW w:type="dxa" w:w="9360"/>
        <w:tblLayout w:type="fixed"/>
        <w:tblLook w:firstColumn="1" w:firstRow="1" w:lastColumn="0" w:lastRow="0" w:noHBand="0" w:noVBand="1" w:val="04A0"/>
        <w:tblInd w:w="120" w:type="dxa"/>
      </w:tblPr>
      <w:tblGrid>
        <w:gridCol w:w="900"/>
        <w:gridCol w:w="8460"/>
      </w:tblGrid>
      <w:tr>
        <w:trPr>
          <w:cantSplit w:val="true"/>
          <w:tblHeader w:val="true"/>
        </w:trPr>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STEP</w:t>
            </w:r>
          </w:p>
        </w:tc>
        <w:tc>
          <w:tcPr>
            <w:tcW w:type="dxa" w:w="84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MANDATORY REPLAY ACTION</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8460"/>
            <w:tcMar>
              <w:top w:w="100" w:type="dxa"/>
              <w:start w:w="120" w:type="dxa"/>
              <w:bottom w:w="100" w:type="dxa"/>
              <w:end w:w="120" w:type="dxa"/>
            </w:tcMar>
            <w:vAlign w:val="center"/>
          </w:tcPr>
          <w:p>
            <w:pPr>
              <w:spacing w:after="0" w:line="240" w:lineRule="auto"/>
            </w:pPr>
            <w:r>
              <w:rPr>
                <w:rFonts w:ascii="Aptos" w:hAnsi="Aptos"/>
                <w:b w:val="0"/>
                <w:i w:val="0"/>
                <w:color w:val="000000"/>
                <w:sz w:val="12"/>
              </w:rPr>
              <w:t>Retain or retrieve the exact input representation, its input fingerprint, the CKS version, schema bundle, fixed knowledge-package version, roster version and roster fingerprint, engine implementation IRI and version, and the original deterministic result fingerprint.</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2</w:t>
            </w:r>
          </w:p>
        </w:tc>
        <w:tc>
          <w:tcPr>
            <w:tcW w:type="dxa" w:w="84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Verify every retained fingerprint before replay. A mismatch SHALL stop replay and be reported outside the clinical result as an audit-integrity failure; it SHALL NOT be converted to ERR-01 through ERR-10.</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2"/>
              </w:rPr>
              <w:t>3</w:t>
            </w:r>
          </w:p>
        </w:tc>
        <w:tc>
          <w:tcPr>
            <w:tcW w:type="dxa" w:w="8460"/>
            <w:tcMar>
              <w:top w:w="100" w:type="dxa"/>
              <w:start w:w="120" w:type="dxa"/>
              <w:bottom w:w="100" w:type="dxa"/>
              <w:end w:w="120" w:type="dxa"/>
            </w:tcMar>
            <w:vAlign w:val="center"/>
          </w:tcPr>
          <w:p>
            <w:pPr>
              <w:spacing w:after="0" w:line="240" w:lineRule="auto"/>
            </w:pPr>
            <w:r>
              <w:rPr>
                <w:rFonts w:ascii="Aptos" w:hAnsi="Aptos"/>
                <w:b w:val="0"/>
                <w:i w:val="0"/>
                <w:color w:val="000000"/>
                <w:sz w:val="12"/>
              </w:rPr>
              <w:t>Execute the identified engine version with the exact CKS, schema, fixed knowledge, roster snapshot, and input. Network lookup, latest-version substitution, roster refresh, alias resolution, current-time defaults in arithmetic, and hidden configuration changes are prohibited.</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w:t>
            </w:r>
          </w:p>
        </w:tc>
        <w:tc>
          <w:tcPr>
            <w:tcW w:type="dxa" w:w="84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Compare the replay deterministic_result_fingerprint with the retained value using exact lowercase-hex equality. Equality establishes computational reproduction of the CKS result payload; inequality is a reproducibility failure requiring investigation.</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2"/>
              </w:rPr>
              <w:t>5</w:t>
            </w:r>
          </w:p>
        </w:tc>
        <w:tc>
          <w:tcPr>
            <w:tcW w:type="dxa" w:w="8460"/>
            <w:tcMar>
              <w:top w:w="100" w:type="dxa"/>
              <w:start w:w="120" w:type="dxa"/>
              <w:bottom w:w="100" w:type="dxa"/>
              <w:end w:w="120" w:type="dxa"/>
            </w:tcMar>
            <w:vAlign w:val="center"/>
          </w:tcPr>
          <w:p>
            <w:pPr>
              <w:spacing w:after="0" w:line="240" w:lineRule="auto"/>
            </w:pPr>
            <w:r>
              <w:rPr>
                <w:rFonts w:ascii="Aptos" w:hAnsi="Aptos"/>
                <w:b w:val="0"/>
                <w:i w:val="0"/>
                <w:color w:val="000000"/>
                <w:sz w:val="12"/>
              </w:rPr>
              <w:t>Mint a new result_instance_iri and capture new timestamps. Those occurrence fields are expected to differ and SHALL NOT be used to declare a deterministic mismatch.</w:t>
            </w:r>
          </w:p>
        </w:tc>
      </w:tr>
    </w:tbl>
    <w:p>
      <w:pPr>
        <w:spacing w:after="20"/>
      </w:pPr>
    </w:p>
    <w:tbl>
      <w:tblPr>
        <w:tblW w:type="auto" w:w="0"/>
        <w:tblLayout w:type="fixed"/>
        <w:tblLook w:firstColumn="1" w:firstRow="1" w:lastColumn="0" w:lastRow="0" w:noHBand="0" w:noVBand="1" w:val="04A0"/>
      </w:tblPr>
      <w:tblGrid>
        <w:gridCol w:w="9360"/>
      </w:tblGrid>
      <w:tr>
        <w:tc>
          <w:tcPr>
            <w:tcW w:type="dxa" w:w="9360"/>
            <w:tcMar>
              <w:top w:w="130" w:type="dxa"/>
              <w:start w:w="180" w:type="dxa"/>
              <w:bottom w:w="130" w:type="dxa"/>
              <w:end w:w="180" w:type="dxa"/>
            </w:tcMar>
            <w:shd w:fill="DDEBF3"/>
          </w:tcPr>
          <w:p>
            <w:pPr>
              <w:spacing w:after="0"/>
            </w:pPr>
            <w:r>
              <w:rPr>
                <w:rFonts w:ascii="Aptos" w:hAnsi="Aptos"/>
                <w:b/>
                <w:i w:val="0"/>
                <w:color w:val="174F78"/>
                <w:sz w:val="18"/>
              </w:rPr>
              <w:t xml:space="preserve">REPRODUCIBILITY BOUNDARY  </w:t>
            </w:r>
            <w:r>
              <w:rPr>
                <w:rFonts w:ascii="Aptos" w:hAnsi="Aptos"/>
                <w:b w:val="0"/>
                <w:i w:val="0"/>
                <w:sz w:val="18"/>
              </w:rPr>
              <w:t>The fingerprints support integrity checking and deterministic computational replay. They do not prove clinical correctness, patient identity, authorship, legal authenticity, or that the reported travel values were true. A digital signature is outside this CKS.</w:t>
            </w:r>
          </w:p>
        </w:tc>
      </w:tr>
    </w:tbl>
    <w:p>
      <w:pPr>
        <w:spacing w:after="20"/>
      </w:pPr>
    </w:p>
    <w:p>
      <w:pPr>
        <w:pStyle w:val="Heading3"/>
      </w:pPr>
      <w:r>
        <w:t>8.2.6 Audit-validation Outcomes</w:t>
      </w:r>
    </w:p>
    <w:p>
      <w:r>
        <w:rPr>
          <w:rFonts w:ascii="Aptos" w:hAnsi="Aptos"/>
          <w:b w:val="0"/>
          <w:i w:val="0"/>
          <w:sz w:val="18"/>
        </w:rPr>
        <w:t>Audit validation and replay occur outside Burden Response Analysis and therefore SHALL NOT return or replace ERR-01 through ERR-10. A conforming audit utility SHALL return one closed object with status=audit_valid and failure_code=null, or status=audit_invalid and exactly one failure_code selected in the order below.</w:t>
      </w:r>
    </w:p>
    <w:tbl>
      <w:tblPr>
        <w:tblW w:type="dxa" w:w="9360"/>
        <w:tblLayout w:type="fixed"/>
        <w:tblLook w:firstColumn="1" w:firstRow="1" w:lastColumn="0" w:lastRow="0" w:noHBand="0" w:noVBand="1" w:val="04A0"/>
        <w:tblInd w:w="120" w:type="dxa"/>
      </w:tblPr>
      <w:tblGrid>
        <w:gridCol w:w="700"/>
        <w:gridCol w:w="1200"/>
        <w:gridCol w:w="3900"/>
        <w:gridCol w:w="3560"/>
      </w:tblGrid>
      <w:tr>
        <w:trPr>
          <w:cantSplit w:val="true"/>
          <w:tblHeader w:val="true"/>
        </w:trPr>
        <w:tc>
          <w:tcPr>
            <w:tcW w:type="dxa" w:w="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ORDER</w:t>
            </w:r>
          </w:p>
        </w:tc>
        <w:tc>
          <w:tcPr>
            <w:tcW w:type="dxa" w:w="1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CODE</w:t>
            </w:r>
          </w:p>
        </w:tc>
        <w:tc>
          <w:tcPr>
            <w:tcW w:type="dxa" w:w="39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FAILURE CONDITION</w:t>
            </w:r>
          </w:p>
        </w:tc>
        <w:tc>
          <w:tcPr>
            <w:tcW w:type="dxa" w:w="35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EXACT MESSAGE</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AUDIT-01</w:t>
            </w:r>
          </w:p>
        </w:tc>
        <w:tc>
          <w:tcPr>
            <w:tcW w:type="dxa" w:w="3900"/>
            <w:tcMar>
              <w:top w:w="100" w:type="dxa"/>
              <w:start w:w="120" w:type="dxa"/>
              <w:bottom w:w="100" w:type="dxa"/>
              <w:end w:w="120" w:type="dxa"/>
            </w:tcMar>
            <w:vAlign w:val="center"/>
          </w:tcPr>
          <w:p>
            <w:pPr>
              <w:spacing w:after="0" w:line="240" w:lineRule="auto"/>
            </w:pPr>
            <w:r>
              <w:rPr>
                <w:rFonts w:ascii="Aptos" w:hAnsi="Aptos"/>
                <w:b w:val="0"/>
                <w:i w:val="0"/>
                <w:color w:val="000000"/>
                <w:sz w:val="12"/>
              </w:rPr>
              <w:t>Invalid, reused, or wrong-family result instance IRI</w:t>
            </w:r>
          </w:p>
        </w:tc>
        <w:tc>
          <w:tcPr>
            <w:tcW w:type="dxa" w:w="3560"/>
            <w:tcMar>
              <w:top w:w="100" w:type="dxa"/>
              <w:start w:w="120" w:type="dxa"/>
              <w:bottom w:w="100" w:type="dxa"/>
              <w:end w:w="120" w:type="dxa"/>
            </w:tcMar>
            <w:vAlign w:val="center"/>
          </w:tcPr>
          <w:p>
            <w:pPr>
              <w:spacing w:after="0" w:line="240" w:lineRule="auto"/>
            </w:pPr>
            <w:r>
              <w:rPr>
                <w:rFonts w:ascii="Aptos" w:hAnsi="Aptos"/>
                <w:b w:val="0"/>
                <w:i w:val="0"/>
                <w:color w:val="000000"/>
                <w:sz w:val="12"/>
              </w:rPr>
              <w:t>Result-instance identity is invalid.</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2</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AUDIT-02</w:t>
            </w:r>
          </w:p>
        </w:tc>
        <w:tc>
          <w:tcPr>
            <w:tcW w:type="dxa" w:w="3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Invalid timestamp form/instant or received after issued</w:t>
            </w:r>
          </w:p>
        </w:tc>
        <w:tc>
          <w:tcPr>
            <w:tcW w:type="dxa" w:w="3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Result timestamps are invalid.</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3</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AUDIT-03</w:t>
            </w:r>
          </w:p>
        </w:tc>
        <w:tc>
          <w:tcPr>
            <w:tcW w:type="dxa" w:w="3900"/>
            <w:tcMar>
              <w:top w:w="100" w:type="dxa"/>
              <w:start w:w="120" w:type="dxa"/>
              <w:bottom w:w="100" w:type="dxa"/>
              <w:end w:w="120" w:type="dxa"/>
            </w:tcMar>
            <w:vAlign w:val="center"/>
          </w:tcPr>
          <w:p>
            <w:pPr>
              <w:spacing w:after="0" w:line="240" w:lineRule="auto"/>
            </w:pPr>
            <w:r>
              <w:rPr>
                <w:rFonts w:ascii="Aptos" w:hAnsi="Aptos"/>
                <w:b w:val="0"/>
                <w:i w:val="0"/>
                <w:color w:val="000000"/>
                <w:sz w:val="12"/>
              </w:rPr>
              <w:t>Missing, malformed, or inconsistent provenance identity/version</w:t>
            </w:r>
          </w:p>
        </w:tc>
        <w:tc>
          <w:tcPr>
            <w:tcW w:type="dxa" w:w="3560"/>
            <w:tcMar>
              <w:top w:w="100" w:type="dxa"/>
              <w:start w:w="120" w:type="dxa"/>
              <w:bottom w:w="100" w:type="dxa"/>
              <w:end w:w="120" w:type="dxa"/>
            </w:tcMar>
            <w:vAlign w:val="center"/>
          </w:tcPr>
          <w:p>
            <w:pPr>
              <w:spacing w:after="0" w:line="240" w:lineRule="auto"/>
            </w:pPr>
            <w:r>
              <w:rPr>
                <w:rFonts w:ascii="Aptos" w:hAnsi="Aptos"/>
                <w:b w:val="0"/>
                <w:i w:val="0"/>
                <w:color w:val="000000"/>
                <w:sz w:val="12"/>
              </w:rPr>
              <w:t>Result provenance identity is invalid.</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AUDIT-04</w:t>
            </w:r>
          </w:p>
        </w:tc>
        <w:tc>
          <w:tcPr>
            <w:tcW w:type="dxa" w:w="3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Input fingerprint invalid or mismatched</w:t>
            </w:r>
          </w:p>
        </w:tc>
        <w:tc>
          <w:tcPr>
            <w:tcW w:type="dxa" w:w="3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Input fingerprint verification failed.</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5</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AUDIT-05</w:t>
            </w:r>
          </w:p>
        </w:tc>
        <w:tc>
          <w:tcPr>
            <w:tcW w:type="dxa" w:w="3900"/>
            <w:tcMar>
              <w:top w:w="100" w:type="dxa"/>
              <w:start w:w="120" w:type="dxa"/>
              <w:bottom w:w="100" w:type="dxa"/>
              <w:end w:w="120" w:type="dxa"/>
            </w:tcMar>
            <w:vAlign w:val="center"/>
          </w:tcPr>
          <w:p>
            <w:pPr>
              <w:spacing w:after="0" w:line="240" w:lineRule="auto"/>
            </w:pPr>
            <w:r>
              <w:rPr>
                <w:rFonts w:ascii="Aptos" w:hAnsi="Aptos"/>
                <w:b w:val="0"/>
                <w:i w:val="0"/>
                <w:color w:val="000000"/>
                <w:sz w:val="12"/>
              </w:rPr>
              <w:t>Roster fingerprint/load-state invalid or mismatched</w:t>
            </w:r>
          </w:p>
        </w:tc>
        <w:tc>
          <w:tcPr>
            <w:tcW w:type="dxa" w:w="3560"/>
            <w:tcMar>
              <w:top w:w="100" w:type="dxa"/>
              <w:start w:w="120" w:type="dxa"/>
              <w:bottom w:w="100" w:type="dxa"/>
              <w:end w:w="120" w:type="dxa"/>
            </w:tcMar>
            <w:vAlign w:val="center"/>
          </w:tcPr>
          <w:p>
            <w:pPr>
              <w:spacing w:after="0" w:line="240" w:lineRule="auto"/>
            </w:pPr>
            <w:r>
              <w:rPr>
                <w:rFonts w:ascii="Aptos" w:hAnsi="Aptos"/>
                <w:b w:val="0"/>
                <w:i w:val="0"/>
                <w:color w:val="000000"/>
                <w:sz w:val="12"/>
              </w:rPr>
              <w:t>Provider-roster fingerprint verification failed.</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6</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AUDIT-06</w:t>
            </w:r>
          </w:p>
        </w:tc>
        <w:tc>
          <w:tcPr>
            <w:tcW w:type="dxa" w:w="3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Deterministic-result fingerprint invalid or mismatched</w:t>
            </w:r>
          </w:p>
        </w:tc>
        <w:tc>
          <w:tcPr>
            <w:tcW w:type="dxa" w:w="3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Deterministic result verification failed.</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7</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AUDIT-07</w:t>
            </w:r>
          </w:p>
        </w:tc>
        <w:tc>
          <w:tcPr>
            <w:tcW w:type="dxa" w:w="3900"/>
            <w:tcMar>
              <w:top w:w="100" w:type="dxa"/>
              <w:start w:w="120" w:type="dxa"/>
              <w:bottom w:w="100" w:type="dxa"/>
              <w:end w:w="120" w:type="dxa"/>
            </w:tcMar>
            <w:vAlign w:val="center"/>
          </w:tcPr>
          <w:p>
            <w:pPr>
              <w:spacing w:after="0" w:line="240" w:lineRule="auto"/>
            </w:pPr>
            <w:r>
              <w:rPr>
                <w:rFonts w:ascii="Aptos" w:hAnsi="Aptos"/>
                <w:b w:val="0"/>
                <w:i w:val="0"/>
                <w:color w:val="000000"/>
                <w:sz w:val="12"/>
              </w:rPr>
              <w:t>Exact replay dependency unavailable after fingerprint checks</w:t>
            </w:r>
          </w:p>
        </w:tc>
        <w:tc>
          <w:tcPr>
            <w:tcW w:type="dxa" w:w="3560"/>
            <w:tcMar>
              <w:top w:w="100" w:type="dxa"/>
              <w:start w:w="120" w:type="dxa"/>
              <w:bottom w:w="100" w:type="dxa"/>
              <w:end w:w="120" w:type="dxa"/>
            </w:tcMar>
            <w:vAlign w:val="center"/>
          </w:tcPr>
          <w:p>
            <w:pPr>
              <w:spacing w:after="0" w:line="240" w:lineRule="auto"/>
            </w:pPr>
            <w:r>
              <w:rPr>
                <w:rFonts w:ascii="Aptos" w:hAnsi="Aptos"/>
                <w:b w:val="0"/>
                <w:i w:val="0"/>
                <w:color w:val="000000"/>
                <w:sz w:val="12"/>
              </w:rPr>
              <w:t>Exact replay dependency is unavailable.</w:t>
            </w:r>
          </w:p>
        </w:tc>
      </w:tr>
    </w:tbl>
    <w:p>
      <w:pPr>
        <w:spacing w:after="20"/>
      </w:pPr>
    </w:p>
    <w:p>
      <w:r>
        <w:rPr>
          <w:rFonts w:ascii="Aptos" w:hAnsi="Aptos"/>
          <w:b w:val="0"/>
          <w:i w:val="0"/>
          <w:sz w:val="18"/>
        </w:rPr>
        <w:t>The audit outcome object has exactly status, failure_code, and message. For audit_valid, failure_code and message are null. For audit_invalid, message SHALL equal the exact table value. Audit utilities SHALL stop at the first failure and SHALL NOT repair the audited result.</w:t>
      </w:r>
    </w:p>
    <w:p>
      <w:pPr>
        <w:pStyle w:val="Heading2"/>
      </w:pPr>
      <w:r>
        <w:t>8.3 Exact Execution-burden Display</w:t>
      </w:r>
    </w:p>
    <w:tbl>
      <w:tblPr>
        <w:tblW w:type="dxa" w:w="9360"/>
        <w:tblLayout w:type="fixed"/>
        <w:tblLook w:firstColumn="1" w:firstRow="1" w:lastColumn="0" w:lastRow="0" w:noHBand="0" w:noVBand="1" w:val="04A0"/>
        <w:tblInd w:w="120" w:type="dxa"/>
      </w:tblPr>
      <w:tblGrid>
        <w:gridCol w:w="1400"/>
        <w:gridCol w:w="4300"/>
        <w:gridCol w:w="3660"/>
      </w:tblGrid>
      <w:tr>
        <w:trPr>
          <w:cantSplit w:val="true"/>
          <w:tblHeader w:val="true"/>
        </w:trPr>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SCORE</w:t>
            </w:r>
          </w:p>
        </w:tc>
        <w:tc>
          <w:tcPr>
            <w:tcW w:type="dxa" w:w="43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CANONICAL VALUE</w:t>
            </w:r>
          </w:p>
        </w:tc>
        <w:tc>
          <w:tcPr>
            <w:tcW w:type="dxa" w:w="366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DISPLAY LABEL</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4"/>
              </w:rPr>
              <w:t>1</w:t>
            </w:r>
          </w:p>
        </w:tc>
        <w:tc>
          <w:tcPr>
            <w:tcW w:type="dxa" w:w="4300"/>
            <w:tcMar>
              <w:top w:w="100" w:type="dxa"/>
              <w:start w:w="120" w:type="dxa"/>
              <w:bottom w:w="100" w:type="dxa"/>
              <w:end w:w="120" w:type="dxa"/>
            </w:tcMar>
            <w:vAlign w:val="center"/>
          </w:tcPr>
          <w:p>
            <w:pPr>
              <w:spacing w:after="0" w:line="240" w:lineRule="auto"/>
            </w:pPr>
            <w:r>
              <w:rPr>
                <w:rFonts w:ascii="Aptos" w:hAnsi="Aptos"/>
                <w:b w:val="0"/>
                <w:i w:val="0"/>
                <w:color w:val="000000"/>
                <w:sz w:val="14"/>
              </w:rPr>
              <w:t>low_execution_burden</w:t>
            </w:r>
          </w:p>
        </w:tc>
        <w:tc>
          <w:tcPr>
            <w:tcW w:type="dxa" w:w="3660"/>
            <w:tcMar>
              <w:top w:w="100" w:type="dxa"/>
              <w:start w:w="120" w:type="dxa"/>
              <w:bottom w:w="100" w:type="dxa"/>
              <w:end w:w="120" w:type="dxa"/>
            </w:tcMar>
            <w:vAlign w:val="center"/>
          </w:tcPr>
          <w:p>
            <w:pPr>
              <w:spacing w:after="0" w:line="240" w:lineRule="auto"/>
            </w:pPr>
            <w:r>
              <w:rPr>
                <w:rFonts w:ascii="Aptos" w:hAnsi="Aptos"/>
                <w:b w:val="0"/>
                <w:i w:val="0"/>
                <w:color w:val="000000"/>
                <w:sz w:val="14"/>
              </w:rPr>
              <w:t>Low execution burden</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2</w:t>
            </w:r>
          </w:p>
        </w:tc>
        <w:tc>
          <w:tcPr>
            <w:tcW w:type="dxa" w:w="4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moderate_execution_burden</w:t>
            </w:r>
          </w:p>
        </w:tc>
        <w:tc>
          <w:tcPr>
            <w:tcW w:type="dxa" w:w="3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Moderate execution burden</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4"/>
              </w:rPr>
              <w:t>3</w:t>
            </w:r>
          </w:p>
        </w:tc>
        <w:tc>
          <w:tcPr>
            <w:tcW w:type="dxa" w:w="4300"/>
            <w:tcMar>
              <w:top w:w="100" w:type="dxa"/>
              <w:start w:w="120" w:type="dxa"/>
              <w:bottom w:w="100" w:type="dxa"/>
              <w:end w:w="120" w:type="dxa"/>
            </w:tcMar>
            <w:vAlign w:val="center"/>
          </w:tcPr>
          <w:p>
            <w:pPr>
              <w:spacing w:after="0" w:line="240" w:lineRule="auto"/>
            </w:pPr>
            <w:r>
              <w:rPr>
                <w:rFonts w:ascii="Aptos" w:hAnsi="Aptos"/>
                <w:b w:val="0"/>
                <w:i w:val="0"/>
                <w:color w:val="000000"/>
                <w:sz w:val="14"/>
              </w:rPr>
              <w:t>high_execution_burden</w:t>
            </w:r>
          </w:p>
        </w:tc>
        <w:tc>
          <w:tcPr>
            <w:tcW w:type="dxa" w:w="3660"/>
            <w:tcMar>
              <w:top w:w="100" w:type="dxa"/>
              <w:start w:w="120" w:type="dxa"/>
              <w:bottom w:w="100" w:type="dxa"/>
              <w:end w:w="120" w:type="dxa"/>
            </w:tcMar>
            <w:vAlign w:val="center"/>
          </w:tcPr>
          <w:p>
            <w:pPr>
              <w:spacing w:after="0" w:line="240" w:lineRule="auto"/>
            </w:pPr>
            <w:r>
              <w:rPr>
                <w:rFonts w:ascii="Aptos" w:hAnsi="Aptos"/>
                <w:b w:val="0"/>
                <w:i w:val="0"/>
                <w:color w:val="000000"/>
                <w:sz w:val="14"/>
              </w:rPr>
              <w:t>High execution burden</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4</w:t>
            </w:r>
          </w:p>
        </w:tc>
        <w:tc>
          <w:tcPr>
            <w:tcW w:type="dxa" w:w="4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very_high_execution_burden</w:t>
            </w:r>
          </w:p>
        </w:tc>
        <w:tc>
          <w:tcPr>
            <w:tcW w:type="dxa" w:w="3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Very high execution burden</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4"/>
              </w:rPr>
              <w:t>5</w:t>
            </w:r>
          </w:p>
        </w:tc>
        <w:tc>
          <w:tcPr>
            <w:tcW w:type="dxa" w:w="4300"/>
            <w:tcMar>
              <w:top w:w="100" w:type="dxa"/>
              <w:start w:w="120" w:type="dxa"/>
              <w:bottom w:w="100" w:type="dxa"/>
              <w:end w:w="120" w:type="dxa"/>
            </w:tcMar>
            <w:vAlign w:val="center"/>
          </w:tcPr>
          <w:p>
            <w:pPr>
              <w:spacing w:after="0" w:line="240" w:lineRule="auto"/>
            </w:pPr>
            <w:r>
              <w:rPr>
                <w:rFonts w:ascii="Aptos" w:hAnsi="Aptos"/>
                <w:b w:val="0"/>
                <w:i w:val="0"/>
                <w:color w:val="000000"/>
                <w:sz w:val="14"/>
              </w:rPr>
              <w:t>extreme_execution_burden</w:t>
            </w:r>
          </w:p>
        </w:tc>
        <w:tc>
          <w:tcPr>
            <w:tcW w:type="dxa" w:w="3660"/>
            <w:tcMar>
              <w:top w:w="100" w:type="dxa"/>
              <w:start w:w="120" w:type="dxa"/>
              <w:bottom w:w="100" w:type="dxa"/>
              <w:end w:w="120" w:type="dxa"/>
            </w:tcMar>
            <w:vAlign w:val="center"/>
          </w:tcPr>
          <w:p>
            <w:pPr>
              <w:spacing w:after="0" w:line="240" w:lineRule="auto"/>
            </w:pPr>
            <w:r>
              <w:rPr>
                <w:rFonts w:ascii="Aptos" w:hAnsi="Aptos"/>
                <w:b w:val="0"/>
                <w:i w:val="0"/>
                <w:color w:val="000000"/>
                <w:sz w:val="14"/>
              </w:rPr>
              <w:t>Extreme execution burden</w:t>
            </w:r>
          </w:p>
        </w:tc>
      </w:tr>
    </w:tbl>
    <w:p>
      <w:pPr>
        <w:spacing w:after="20"/>
      </w:pPr>
    </w:p>
    <w:p>
      <w:r>
        <w:rPr>
          <w:rFonts w:ascii="Aptos" w:hAnsi="Aptos"/>
          <w:b w:val="0"/>
          <w:i w:val="0"/>
          <w:sz w:val="18"/>
        </w:rPr>
        <w:t>The score is ordinal: it establishes order only and SHALL NOT be treated as an interval measure, probability, percentage, clinical severity score, or validated psychometric scale. Arithmetic on scores, including averaging or interpreting a one-point difference as constant, is prohibited.</w:t>
      </w:r>
    </w:p>
    <w:p>
      <w:pPr>
        <w:pStyle w:val="Heading2"/>
      </w:pPr>
      <w:r>
        <w:t>8.4 Assumption Codes</w:t>
      </w:r>
    </w:p>
    <w:tbl>
      <w:tblPr>
        <w:tblW w:type="dxa" w:w="9360"/>
        <w:tblLayout w:type="fixed"/>
        <w:tblLook w:firstColumn="1" w:firstRow="1" w:lastColumn="0" w:lastRow="0" w:noHBand="0" w:noVBand="1" w:val="04A0"/>
        <w:tblInd w:w="120" w:type="dxa"/>
      </w:tblPr>
      <w:tblGrid>
        <w:gridCol w:w="1800"/>
        <w:gridCol w:w="7560"/>
      </w:tblGrid>
      <w:tr>
        <w:trPr>
          <w:cantSplit w:val="true"/>
          <w:tblHeader w:val="true"/>
        </w:trPr>
        <w:tc>
          <w:tcPr>
            <w:tcW w:type="dxa" w:w="18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CODE</w:t>
            </w:r>
          </w:p>
        </w:tc>
        <w:tc>
          <w:tcPr>
            <w:tcW w:type="dxa" w:w="756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TEXT</w:t>
            </w:r>
          </w:p>
        </w:tc>
      </w:tr>
      <w:tr>
        <w:trPr>
          <w:cantSplit w:val="true"/>
        </w:trPr>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4"/>
              </w:rPr>
              <w:t>ASM-01</w:t>
            </w:r>
          </w:p>
        </w:tc>
        <w:tc>
          <w:tcPr>
            <w:tcW w:type="dxa" w:w="7560"/>
            <w:tcMar>
              <w:top w:w="100" w:type="dxa"/>
              <w:start w:w="120" w:type="dxa"/>
              <w:bottom w:w="100" w:type="dxa"/>
              <w:end w:w="120" w:type="dxa"/>
            </w:tcMar>
            <w:vAlign w:val="center"/>
          </w:tcPr>
          <w:p>
            <w:pPr>
              <w:spacing w:after="0" w:line="240" w:lineRule="auto"/>
            </w:pPr>
            <w:r>
              <w:rPr>
                <w:rFonts w:ascii="Aptos" w:hAnsi="Aptos"/>
                <w:b w:val="0"/>
                <w:i w:val="0"/>
                <w:color w:val="000000"/>
                <w:sz w:val="14"/>
              </w:rPr>
              <w:t>General DFU planning regimen range of 30–40 episodes at five sessions per week is used; it was not selected or calculated for the patient.</w:t>
            </w:r>
          </w:p>
        </w:tc>
      </w:tr>
      <w:tr>
        <w:trPr>
          <w:cantSplit w:val="true"/>
        </w:trPr>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ASM-02</w:t>
            </w:r>
          </w:p>
        </w:tc>
        <w:tc>
          <w:tcPr>
            <w:tcW w:type="dxa" w:w="7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A single fixed three-hour scheduled facility block per treatment episode is used as a conservative, realistic worst-case planning assumption. It is not a validated DFU-specific door-to-door elapsed-time estimate.</w:t>
            </w:r>
          </w:p>
        </w:tc>
      </w:tr>
      <w:tr>
        <w:trPr>
          <w:cantSplit w:val="true"/>
        </w:trPr>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4"/>
              </w:rPr>
              <w:t>ASM-03</w:t>
            </w:r>
          </w:p>
        </w:tc>
        <w:tc>
          <w:tcPr>
            <w:tcW w:type="dxa" w:w="7560"/>
            <w:tcMar>
              <w:top w:w="100" w:type="dxa"/>
              <w:start w:w="120" w:type="dxa"/>
              <w:bottom w:w="100" w:type="dxa"/>
              <w:end w:w="120" w:type="dxa"/>
            </w:tcMar>
            <w:vAlign w:val="center"/>
          </w:tcPr>
          <w:p>
            <w:pPr>
              <w:spacing w:after="0" w:line="240" w:lineRule="auto"/>
            </w:pPr>
            <w:r>
              <w:rPr>
                <w:rFonts w:ascii="Aptos" w:hAnsi="Aptos"/>
                <w:b w:val="0"/>
                <w:i w:val="0"/>
                <w:color w:val="000000"/>
                <w:sz w:val="14"/>
              </w:rPr>
              <w:t>Round trip is estimated as two times the patient-reported usual one-way miles and minutes.</w:t>
            </w:r>
          </w:p>
        </w:tc>
      </w:tr>
      <w:tr>
        <w:trPr>
          <w:cantSplit w:val="true"/>
        </w:trPr>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ASM-04</w:t>
            </w:r>
          </w:p>
        </w:tc>
        <w:tc>
          <w:tcPr>
            <w:tcW w:type="dxa" w:w="7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Reported travel values are planning estimates and are not independently verified by the engine.</w:t>
            </w:r>
          </w:p>
        </w:tc>
      </w:tr>
    </w:tbl>
    <w:p>
      <w:pPr>
        <w:spacing w:after="20"/>
      </w:pPr>
    </w:p>
    <w:p>
      <w:pPr>
        <w:pStyle w:val="Heading2"/>
      </w:pPr>
      <w:r>
        <w:t>8.5 Informative Completed-result Excerpt</w:t>
      </w:r>
    </w:p>
    <w:p>
      <w:r>
        <w:rPr>
          <w:rFonts w:ascii="Aptos" w:hAnsi="Aptos"/>
          <w:b w:val="0"/>
          <w:i w:val="0"/>
          <w:sz w:val="18"/>
        </w:rPr>
        <w:t>This excerpt illustrates the three redesigned outputs and selected dependent fields; it is not a substitute for the complete fixed-shape object required by Section 8.1.</w:t>
      </w:r>
    </w:p>
    <w:tbl>
      <w:tblPr>
        <w:tblW w:type="auto" w:w="0"/>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2F2F2"/>
          </w:tcPr>
          <w:p>
            <w:pPr>
              <w:spacing w:after="0"/>
            </w:pPr>
            <w:r/>
            <w:r>
              <w:rPr>
                <w:rFonts w:ascii="Consolas" w:hAnsi="Consolas"/>
                <w:b w:val="0"/>
                <w:i w:val="0"/>
                <w:sz w:val="15"/>
              </w:rPr>
              <w:t>{</w:t>
            </w:r>
          </w:p>
          <w:p>
            <w:pPr>
              <w:spacing w:after="0"/>
            </w:pPr>
            <w:r>
              <w:rPr>
                <w:rFonts w:ascii="Consolas" w:hAnsi="Consolas"/>
                <w:b w:val="0"/>
                <w:i w:val="0"/>
                <w:sz w:val="15"/>
              </w:rPr>
              <w:t xml:space="preserve">  "result_instance_iri": "https://kgrid.org/cks/dfu-hbot-burden/result-instances/550e8400-e29b-41d4-a716-446655440000",</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"result_model_iri": "https://kgrid.org/cks/dfu-hbot-burden/output-models/1.0",</w:t>
            </w:r>
          </w:p>
          <w:p>
            <w:pPr>
              <w:spacing w:after="0"/>
            </w:pPr>
            <w:r>
              <w:rPr>
                <w:rFonts w:ascii="Consolas" w:hAnsi="Consolas"/>
                <w:b w:val="0"/>
                <w:i w:val="0"/>
                <w:sz w:val="15"/>
              </w:rPr>
              <w:t xml:space="preserve">  "issued_at": "2026-07-31T14:25:36.123Z",</w:t>
            </w:r>
          </w:p>
          <w:p>
            <w:pPr>
              <w:spacing w:after="0"/>
            </w:pPr>
            <w:r>
              <w:rPr>
                <w:rFonts w:ascii="Consolas" w:hAnsi="Consolas"/>
                <w:b w:val="0"/>
                <w:i w:val="0"/>
                <w:sz w:val="15"/>
              </w:rPr>
              <w:t xml:space="preserve">  "provenance": {</w:t>
            </w:r>
          </w:p>
          <w:p>
            <w:pPr>
              <w:spacing w:after="0"/>
            </w:pPr>
            <w:r>
              <w:rPr>
                <w:rFonts w:ascii="Consolas" w:hAnsi="Consolas"/>
                <w:b w:val="0"/>
                <w:i w:val="0"/>
                <w:sz w:val="15"/>
              </w:rPr>
              <w:t xml:space="preserve">    "engine_implementation_iri": "https://example.org/dfu-hbot-engine",</w:t>
            </w:r>
          </w:p>
          <w:p>
            <w:pPr>
              <w:spacing w:after="0"/>
            </w:pPr>
            <w:r>
              <w:rPr>
                <w:rFonts w:ascii="Consolas" w:hAnsi="Consolas"/>
                <w:b w:val="0"/>
                <w:i w:val="0"/>
                <w:sz w:val="15"/>
              </w:rPr>
              <w:t xml:space="preserve">    "engine_implementation_version": "1.0.0",</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"schema_bundle_iri": "https://kgrid.org/cks/dfu-hbot-burden/schema-bundles/versions/1.0",</w:t>
            </w:r>
          </w:p>
          <w:p>
            <w:pPr>
              <w:spacing w:after="0"/>
            </w:pPr>
            <w:r>
              <w:rPr>
                <w:rFonts w:ascii="Consolas" w:hAnsi="Consolas"/>
                <w:b w:val="0"/>
                <w:i w:val="0"/>
                <w:sz w:val="15"/>
              </w:rPr>
              <w:t xml:space="preserve">    "fixture_bundle_iri": "https://kgrid.org/cks/dfu-hbot-burden/conformance-fixtures/versions/1.0",</w:t>
            </w:r>
          </w:p>
          <w:p>
            <w:pPr>
              <w:spacing w:after="0"/>
            </w:pPr>
            <w:r>
              <w:rPr>
                <w:rFonts w:ascii="Consolas" w:hAnsi="Consolas"/>
                <w:b w:val="0"/>
                <w:i w:val="0"/>
                <w:sz w:val="15"/>
              </w:rPr>
              <w:t xml:space="preserve">    "identifier_dependency_manifest_iri": "https://kgrid.org/cks/dfu-hbot-burden/identifier-dependency-manifests/versions/1.0",</w:t>
            </w:r>
          </w:p>
          <w:p>
            <w:pPr>
              <w:spacing w:after="0"/>
            </w:pPr>
            <w:r>
              <w:rPr>
                <w:rFonts w:ascii="Consolas" w:hAnsi="Consolas"/>
                <w:b w:val="0"/>
                <w:i w:val="0"/>
                <w:sz w:val="15"/>
              </w:rPr>
              <w:t xml:space="preserve">    "provider_roster_version_iri": "https://kgrid.org/cks/dfu-hbot-burden/provider-rosters/appendix-e/versions/1.0",</w:t>
            </w:r>
          </w:p>
          <w:p>
            <w:pPr>
              <w:spacing w:after="0"/>
            </w:pPr>
            <w:r>
              <w:rPr>
                <w:rFonts w:ascii="Consolas" w:hAnsi="Consolas"/>
                <w:b w:val="0"/>
                <w:i w:val="0"/>
                <w:sz w:val="15"/>
              </w:rPr>
              <w:t xml:space="preserve">    "input_received_at": "2026-07-31T14:25:36.100Z",</w:t>
            </w:r>
          </w:p>
          <w:p>
            <w:pPr>
              <w:spacing w:after="0"/>
            </w:pPr>
            <w:r>
              <w:rPr>
                <w:rFonts w:ascii="Consolas" w:hAnsi="Consolas"/>
                <w:b w:val="0"/>
                <w:i w:val="0"/>
                <w:sz w:val="15"/>
              </w:rPr>
              <w:t xml:space="preserve">    "input_fingerprint": {"algorithm":"SHA-256","canonicalization":"RFC8785","value":"&lt;64 lowercase hex&gt;"},</w:t>
            </w:r>
          </w:p>
          <w:p>
            <w:pPr>
              <w:spacing w:after="0"/>
            </w:pPr>
            <w:r>
              <w:rPr>
                <w:rFonts w:ascii="Consolas" w:hAnsi="Consolas"/>
                <w:b w:val="0"/>
                <w:i w:val="0"/>
                <w:sz w:val="15"/>
              </w:rPr>
              <w:t xml:space="preserve">    "provider_roster_fingerprint": {"algorithm":"SHA-256","canonicalization":"RFC8785","value":"&lt;64 lowercase hex&gt;"},</w:t>
            </w:r>
          </w:p>
          <w:p>
            <w:pPr>
              <w:spacing w:after="0"/>
            </w:pPr>
            <w:r>
              <w:rPr>
                <w:rFonts w:ascii="Consolas" w:hAnsi="Consolas"/>
                <w:b w:val="0"/>
                <w:i w:val="0"/>
                <w:sz w:val="15"/>
              </w:rPr>
              <w:t xml:space="preserve">    "deterministic_result_fingerprint": {"algorithm":"SHA-256","canonicalization":"RFC8785","value":"&lt;64 lowercase hex&gt;"}</w:t>
            </w:r>
          </w:p>
          <w:p>
            <w:pPr>
              <w:spacing w:after="0"/>
            </w:pPr>
            <w:r>
              <w:rPr>
                <w:rFonts w:ascii="Consolas" w:hAnsi="Consolas"/>
                <w:b w:val="0"/>
                <w:i w:val="0"/>
                <w:sz w:val="15"/>
              </w:rPr>
              <w:t xml:space="preserve">  },</w:t>
            </w:r>
          </w:p>
          <w:p>
            <w:pPr>
              <w:spacing w:after="0"/>
            </w:pPr>
            <w:r>
              <w:rPr>
                <w:rFonts w:ascii="Consolas" w:hAnsi="Consolas"/>
                <w:b w:val="0"/>
                <w:i w:val="0"/>
                <w:sz w:val="15"/>
              </w:rPr>
              <w:t xml:space="preserve">  "status": "completed",</w:t>
            </w:r>
          </w:p>
          <w:p>
            <w:pPr>
              <w:spacing w:after="0"/>
            </w:pPr>
            <w:r>
              <w:rPr>
                <w:rFonts w:ascii="Consolas" w:hAnsi="Consolas"/>
                <w:b w:val="0"/>
                <w:i w:val="0"/>
                <w:sz w:val="15"/>
              </w:rPr>
              <w:t xml:space="preserve">  "result_code": "RESULT-MODERATE-EXECUTION-BURDEN",</w:t>
            </w:r>
          </w:p>
          <w:p>
            <w:pPr>
              <w:spacing w:after="0"/>
            </w:pPr>
            <w:r>
              <w:rPr>
                <w:rFonts w:ascii="Consolas" w:hAnsi="Consolas"/>
                <w:b w:val="0"/>
                <w:i w:val="0"/>
                <w:sz w:val="15"/>
              </w:rPr>
              <w:t xml:space="preserve">  "objective_burden": {</w:t>
            </w:r>
          </w:p>
          <w:p>
            <w:pPr>
              <w:spacing w:after="0"/>
            </w:pPr>
            <w:r>
              <w:rPr>
                <w:rFonts w:ascii="Consolas" w:hAnsi="Consolas"/>
                <w:b w:val="0"/>
                <w:i w:val="0"/>
                <w:sz w:val="15"/>
              </w:rPr>
              <w:t xml:space="preserve">    "fixed_regimen_range_response": {</w:t>
            </w:r>
          </w:p>
          <w:p>
            <w:pPr>
              <w:spacing w:after="0"/>
            </w:pPr>
            <w:r>
              <w:rPr>
                <w:rFonts w:ascii="Consolas" w:hAnsi="Consolas"/>
                <w:b w:val="0"/>
                <w:i w:val="0"/>
                <w:sz w:val="15"/>
              </w:rPr>
              <w:t xml:space="preserve">      "specification_iri": "https://kgrid.org/cks/dfu-hbot-burden/versions/cks-1.0",</w:t>
            </w:r>
          </w:p>
          <w:p>
            <w:pPr>
              <w:spacing w:after="0"/>
            </w:pPr>
            <w:r>
              <w:rPr>
                <w:rFonts w:ascii="Consolas" w:hAnsi="Consolas"/>
                <w:b w:val="0"/>
                <w:i w:val="0"/>
                <w:sz w:val="15"/>
              </w:rPr>
              <w:t xml:space="preserve">      "response_type": "fixed_regimen_range_response",</w:t>
            </w:r>
          </w:p>
          <w:p>
            <w:pPr>
              <w:spacing w:after="0"/>
            </w:pPr>
            <w:r>
              <w:rPr>
                <w:rFonts w:ascii="Consolas" w:hAnsi="Consolas"/>
                <w:b w:val="0"/>
                <w:i w:val="0"/>
                <w:sz w:val="15"/>
              </w:rPr>
              <w:t xml:space="preserve">      "response_model_iri": "https://kgrid.org/cks/dfu-hbot-burden/response-models/1.0",</w:t>
            </w:r>
          </w:p>
          <w:p>
            <w:pPr>
              <w:spacing w:after="0"/>
            </w:pPr>
            <w:r>
              <w:rPr>
                <w:rFonts w:ascii="Consolas" w:hAnsi="Consolas"/>
                <w:b w:val="0"/>
                <w:i w:val="0"/>
                <w:sz w:val="15"/>
              </w:rPr>
              <w:t xml:space="preserve">      "status": "completed",</w:t>
            </w:r>
          </w:p>
          <w:p>
            <w:pPr>
              <w:spacing w:after="0"/>
            </w:pPr>
            <w:r>
              <w:rPr>
                <w:rFonts w:ascii="Consolas" w:hAnsi="Consolas"/>
                <w:b w:val="0"/>
                <w:i w:val="0"/>
                <w:sz w:val="15"/>
              </w:rPr>
              <w:t xml:space="preserve">      "knowledge_package_iri": "https://kgrid.org/cks/dfu-hbot-burden/knowledge-packages/general-dfu-regimen/versions/1.0",</w:t>
            </w:r>
          </w:p>
          <w:p>
            <w:pPr>
              <w:spacing w:after="0"/>
            </w:pPr>
            <w:r>
              <w:rPr>
                <w:rFonts w:ascii="Consolas" w:hAnsi="Consolas"/>
                <w:b w:val="0"/>
                <w:i w:val="0"/>
                <w:sz w:val="15"/>
              </w:rPr>
              <w:t xml:space="preserve">      "knowledge_scope": "general_not_patient_specific",</w:t>
            </w:r>
          </w:p>
          <w:p>
            <w:pPr>
              <w:spacing w:after="0"/>
            </w:pPr>
            <w:r>
              <w:rPr>
                <w:rFonts w:ascii="Consolas" w:hAnsi="Consolas"/>
                <w:b w:val="0"/>
                <w:i w:val="0"/>
                <w:sz w:val="15"/>
              </w:rPr>
              <w:t xml:space="preserve">      "indication": "diabetes_related_foot_ulcer",</w:t>
            </w:r>
          </w:p>
          <w:p>
            <w:pPr>
              <w:spacing w:after="0"/>
            </w:pPr>
            <w:r>
              <w:rPr>
                <w:rFonts w:ascii="Consolas" w:hAnsi="Consolas"/>
                <w:b w:val="0"/>
                <w:i w:val="0"/>
                <w:sz w:val="15"/>
              </w:rPr>
              <w:t xml:space="preserve">      "shorter_regimen_scenario": {"episodes":30,"sessions_per_week":5,"course_weeks":6.0},</w:t>
            </w:r>
          </w:p>
          <w:p>
            <w:pPr>
              <w:spacing w:after="0"/>
            </w:pPr>
            <w:r>
              <w:rPr>
                <w:rFonts w:ascii="Consolas" w:hAnsi="Consolas"/>
                <w:b w:val="0"/>
                <w:i w:val="0"/>
                <w:sz w:val="15"/>
              </w:rPr>
              <w:t xml:space="preserve">      "longer_regimen_scenario": {"episodes":40,"sessions_per_week":5,"course_weeks":8.0},</w:t>
            </w:r>
          </w:p>
          <w:p>
            <w:pPr>
              <w:spacing w:after="0"/>
            </w:pPr>
            <w:r>
              <w:rPr>
                <w:rFonts w:ascii="Consolas" w:hAnsi="Consolas"/>
                <w:b w:val="0"/>
                <w:i w:val="0"/>
                <w:sz w:val="15"/>
              </w:rPr>
              <w:t xml:space="preserve">      "combined_range": {"episodes":[30,40],"sessions_per_week":5,"course_weeks":[6.0,8.0]},</w:t>
            </w:r>
          </w:p>
          <w:p>
            <w:pPr>
              <w:spacing w:after="0"/>
            </w:pPr>
            <w:r>
              <w:rPr>
                <w:rFonts w:ascii="Consolas" w:hAnsi="Consolas"/>
                <w:b w:val="0"/>
                <w:i w:val="0"/>
                <w:sz w:val="15"/>
              </w:rPr>
              <w:t xml:space="preserve">      "scheduled_facility_hours_per_episode": {"value":3.0,"unit":"h"},</w:t>
            </w:r>
          </w:p>
          <w:p>
            <w:pPr>
              <w:spacing w:after="0"/>
            </w:pPr>
            <w:r>
              <w:rPr>
                <w:rFonts w:ascii="Consolas" w:hAnsi="Consolas"/>
                <w:b w:val="0"/>
                <w:i w:val="0"/>
                <w:sz w:val="15"/>
              </w:rPr>
              <w:t xml:space="preserve">      "tailored_to_patient": false</w:t>
            </w:r>
          </w:p>
          <w:p>
            <w:pPr>
              <w:spacing w:after="0"/>
            </w:pPr>
            <w:r>
              <w:rPr>
                <w:rFonts w:ascii="Consolas" w:hAnsi="Consolas"/>
                <w:b w:val="0"/>
                <w:i w:val="0"/>
                <w:sz w:val="15"/>
              </w:rPr>
              <w:t xml:space="preserve">    },</w:t>
            </w:r>
          </w:p>
          <w:p>
            <w:pPr>
              <w:spacing w:after="0"/>
            </w:pPr>
            <w:r>
              <w:rPr>
                <w:rFonts w:ascii="Consolas" w:hAnsi="Consolas"/>
                <w:b w:val="0"/>
                <w:i w:val="0"/>
                <w:sz w:val="15"/>
              </w:rPr>
              <w:t xml:space="preserve">    "hyperbaric_oxygen_therapy_location_reference": {</w:t>
            </w:r>
          </w:p>
          <w:p>
            <w:pPr>
              <w:spacing w:after="0"/>
            </w:pPr>
            <w:r>
              <w:rPr>
                <w:rFonts w:ascii="Consolas" w:hAnsi="Consolas"/>
                <w:b w:val="0"/>
                <w:i w:val="0"/>
                <w:sz w:val="15"/>
              </w:rPr>
              <w:t xml:space="preserve">      "provider_roster_version_iri": "https://kgrid.org/cks/dfu-hbot-burden/provider-rosters/appendix-e/versions/1.0",</w:t>
            </w:r>
          </w:p>
          <w:p>
            <w:pPr>
              <w:spacing w:after="0"/>
            </w:pPr>
            <w:r>
              <w:rPr>
                <w:rFonts w:ascii="Consolas" w:hAnsi="Consolas"/>
                <w:b w:val="0"/>
                <w:i w:val="0"/>
                <w:sz w:val="15"/>
              </w:rPr>
              <w:t xml:space="preserve">      "roster_record_iri": "https://kgrid.org/cks/dfu-hbot-burden/provider-rosters/appendix-e/versions/1.0/records/e-001",</w:t>
            </w:r>
          </w:p>
          <w:p>
            <w:pPr>
              <w:spacing w:after="0"/>
            </w:pPr>
            <w:r>
              <w:rPr>
                <w:rFonts w:ascii="Consolas" w:hAnsi="Consolas"/>
                <w:b w:val="0"/>
                <w:i w:val="0"/>
                <w:sz w:val="15"/>
              </w:rPr>
              <w:t xml:space="preserve">      "provider_iri": "https://kgrid.org/cks/dfu-hbot-burden/providers/e-001",</w:t>
            </w:r>
          </w:p>
          <w:p>
            <w:pPr>
              <w:spacing w:after="0"/>
            </w:pPr>
            <w:r>
              <w:rPr>
                <w:rFonts w:ascii="Consolas" w:hAnsi="Consolas"/>
                <w:b w:val="0"/>
                <w:i w:val="0"/>
                <w:sz w:val="15"/>
              </w:rPr>
              <w:t xml:space="preserve">      "compact_id": "E-001"</w:t>
            </w:r>
          </w:p>
          <w:p>
            <w:pPr>
              <w:spacing w:after="0"/>
            </w:pPr>
            <w:r>
              <w:rPr>
                <w:rFonts w:ascii="Consolas" w:hAnsi="Consolas"/>
                <w:b w:val="0"/>
                <w:i w:val="0"/>
                <w:sz w:val="15"/>
              </w:rPr>
              <w:t xml:space="preserve">    },</w:t>
            </w:r>
          </w:p>
          <w:p>
            <w:pPr>
              <w:spacing w:after="0"/>
            </w:pPr>
            <w:r>
              <w:rPr>
                <w:rFonts w:ascii="Consolas" w:hAnsi="Consolas"/>
                <w:b w:val="0"/>
                <w:i w:val="0"/>
                <w:sz w:val="15"/>
              </w:rPr>
              <w:t xml:space="preserve">    "reported_one_way_travel": {"miles": 12.5, "minutes": 22},</w:t>
            </w:r>
          </w:p>
          <w:p>
            <w:pPr>
              <w:spacing w:after="0"/>
            </w:pPr>
            <w:r>
              <w:rPr>
                <w:rFonts w:ascii="Consolas" w:hAnsi="Consolas"/>
                <w:b w:val="0"/>
                <w:i w:val="0"/>
                <w:sz w:val="15"/>
              </w:rPr>
              <w:t xml:space="preserve">    "burden_by_regimen_scenario": {</w:t>
            </w:r>
          </w:p>
          <w:p>
            <w:pPr>
              <w:spacing w:after="0"/>
            </w:pPr>
            <w:r>
              <w:rPr>
                <w:rFonts w:ascii="Consolas" w:hAnsi="Consolas"/>
                <w:b w:val="0"/>
                <w:i w:val="0"/>
                <w:sz w:val="15"/>
              </w:rPr>
              <w:t xml:space="preserve">      "shorter_regimen": {"episodes":30,"course_weeks":6.0,"travel_hours":22,</w:t>
            </w:r>
          </w:p>
          <w:p>
            <w:pPr>
              <w:spacing w:after="0"/>
            </w:pPr>
            <w:r>
              <w:rPr>
                <w:rFonts w:ascii="Consolas" w:hAnsi="Consolas"/>
                <w:b w:val="0"/>
                <w:i w:val="0"/>
                <w:sz w:val="15"/>
              </w:rPr>
              <w:t xml:space="preserve">        "facility_hours":90,"total_patient_hours":112,"course_miles":750},</w:t>
            </w:r>
          </w:p>
          <w:p>
            <w:pPr>
              <w:spacing w:after="0"/>
            </w:pPr>
            <w:r>
              <w:rPr>
                <w:rFonts w:ascii="Consolas" w:hAnsi="Consolas"/>
                <w:b w:val="0"/>
                <w:i w:val="0"/>
                <w:sz w:val="15"/>
              </w:rPr>
              <w:t xml:space="preserve">      "longer_regimen": {"episodes":40,"course_weeks":8.0,"travel_hours":30,</w:t>
            </w:r>
          </w:p>
          <w:p>
            <w:pPr>
              <w:spacing w:after="0"/>
            </w:pPr>
            <w:r>
              <w:rPr>
                <w:rFonts w:ascii="Consolas" w:hAnsi="Consolas"/>
                <w:b w:val="0"/>
                <w:i w:val="0"/>
                <w:sz w:val="15"/>
              </w:rPr>
              <w:t xml:space="preserve">        "facility_hours":120,"total_patient_hours":150,"course_miles":1000}</w:t>
            </w:r>
          </w:p>
          <w:p>
            <w:pPr>
              <w:spacing w:after="0"/>
            </w:pPr>
            <w:r>
              <w:rPr>
                <w:rFonts w:ascii="Consolas" w:hAnsi="Consolas"/>
                <w:b w:val="0"/>
                <w:i w:val="0"/>
                <w:sz w:val="15"/>
              </w:rPr>
              <w:t xml:space="preserve">    },</w:t>
            </w:r>
          </w:p>
          <w:p>
            <w:pPr>
              <w:spacing w:after="0"/>
            </w:pPr>
            <w:r>
              <w:rPr>
                <w:rFonts w:ascii="Consolas" w:hAnsi="Consolas"/>
                <w:b w:val="0"/>
                <w:i w:val="0"/>
                <w:sz w:val="15"/>
              </w:rPr>
              <w:t xml:space="preserve">    "overall_burden_range": {"episodes":[30,40],"travel_hours":[22,30],</w:t>
            </w:r>
          </w:p>
          <w:p>
            <w:pPr>
              <w:spacing w:after="0"/>
            </w:pPr>
            <w:r>
              <w:rPr>
                <w:rFonts w:ascii="Consolas" w:hAnsi="Consolas"/>
                <w:b w:val="0"/>
                <w:i w:val="0"/>
                <w:sz w:val="15"/>
              </w:rPr>
              <w:t xml:space="preserve">      "facility_hours":[90,120],"total_patient_hours":[112,150],</w:t>
            </w:r>
          </w:p>
          <w:p>
            <w:pPr>
              <w:spacing w:after="0"/>
            </w:pPr>
            <w:r>
              <w:rPr>
                <w:rFonts w:ascii="Consolas" w:hAnsi="Consolas"/>
                <w:b w:val="0"/>
                <w:i w:val="0"/>
                <w:sz w:val="15"/>
              </w:rPr>
              <w:t xml:space="preserve">      "course_miles":[750,1000]},</w:t>
            </w:r>
          </w:p>
          <w:p>
            <w:pPr>
              <w:spacing w:after="0"/>
            </w:pPr>
            <w:r>
              <w:rPr>
                <w:rFonts w:ascii="Consolas" w:hAnsi="Consolas"/>
                <w:b w:val="0"/>
                <w:i w:val="0"/>
                <w:sz w:val="15"/>
              </w:rPr>
              <w:t xml:space="preserve">    "travel_band": {"value": "low", "basis": "reported_one_way_minutes_doubled"}</w:t>
            </w:r>
          </w:p>
          <w:p>
            <w:pPr>
              <w:spacing w:after="0"/>
            </w:pPr>
            <w:r>
              <w:rPr>
                <w:rFonts w:ascii="Consolas" w:hAnsi="Consolas"/>
                <w:b w:val="0"/>
                <w:i w:val="0"/>
                <w:sz w:val="15"/>
              </w:rPr>
              <w:t xml:space="preserve">  },</w:t>
            </w:r>
          </w:p>
          <w:p>
            <w:pPr>
              <w:spacing w:after="0"/>
            </w:pPr>
            <w:r>
              <w:rPr>
                <w:rFonts w:ascii="Consolas" w:hAnsi="Consolas"/>
                <w:b w:val="0"/>
                <w:i w:val="0"/>
                <w:sz w:val="15"/>
              </w:rPr>
              <w:t xml:space="preserve">  "weekday_attendance_feasibility": {</w:t>
            </w:r>
          </w:p>
          <w:p>
            <w:pPr>
              <w:spacing w:after="0"/>
            </w:pPr>
            <w:r>
              <w:rPr>
                <w:rFonts w:ascii="Consolas" w:hAnsi="Consolas"/>
                <w:b w:val="0"/>
                <w:i w:val="0"/>
                <w:sz w:val="15"/>
              </w:rPr>
              <w:t xml:space="preserve">    "reported_value": "some",</w:t>
            </w:r>
          </w:p>
          <w:p>
            <w:pPr>
              <w:spacing w:after="0"/>
            </w:pPr>
            <w:r>
              <w:rPr>
                <w:rFonts w:ascii="Consolas" w:hAnsi="Consolas"/>
                <w:b w:val="0"/>
                <w:i w:val="0"/>
                <w:sz w:val="15"/>
              </w:rPr>
              <w:t xml:space="preserve">    "display_text": "Some weekday-attendance difficulty reported"</w:t>
            </w:r>
          </w:p>
          <w:p>
            <w:pPr>
              <w:spacing w:after="0"/>
            </w:pPr>
            <w:r>
              <w:rPr>
                <w:rFonts w:ascii="Consolas" w:hAnsi="Consolas"/>
                <w:b w:val="0"/>
                <w:i w:val="0"/>
                <w:sz w:val="15"/>
              </w:rPr>
              <w:t xml:space="preserve">  },</w:t>
            </w:r>
          </w:p>
          <w:p>
            <w:pPr>
              <w:spacing w:after="0"/>
            </w:pPr>
            <w:r>
              <w:rPr>
                <w:rFonts w:ascii="Consolas" w:hAnsi="Consolas"/>
                <w:b w:val="0"/>
                <w:i w:val="0"/>
                <w:sz w:val="15"/>
              </w:rPr>
              <w:t xml:space="preserve">  "execution_burden_level": {</w:t>
            </w:r>
          </w:p>
          <w:p>
            <w:pPr>
              <w:spacing w:after="0"/>
            </w:pPr>
            <w:r>
              <w:rPr>
                <w:rFonts w:ascii="Consolas" w:hAnsi="Consolas"/>
                <w:b w:val="0"/>
                <w:i w:val="0"/>
                <w:sz w:val="15"/>
              </w:rPr>
              <w:t xml:space="preserve">    "score": 2,</w:t>
            </w:r>
          </w:p>
          <w:p>
            <w:pPr>
              <w:spacing w:after="0"/>
            </w:pPr>
            <w:r>
              <w:rPr>
                <w:rFonts w:ascii="Consolas" w:hAnsi="Consolas"/>
                <w:b w:val="0"/>
                <w:i w:val="0"/>
                <w:sz w:val="15"/>
              </w:rPr>
              <w:t xml:space="preserve">    "category": "moderate_execution_burden",</w:t>
            </w:r>
          </w:p>
          <w:p>
            <w:pPr>
              <w:spacing w:after="0"/>
            </w:pPr>
            <w:r>
              <w:rPr>
                <w:rFonts w:ascii="Consolas" w:hAnsi="Consolas"/>
                <w:b w:val="0"/>
                <w:i w:val="0"/>
                <w:sz w:val="15"/>
              </w:rPr>
              <w:t xml:space="preserve">    "primary_driver": "Some weekday-attendance difficulty",</w:t>
            </w:r>
          </w:p>
          <w:p>
            <w:pPr>
              <w:spacing w:after="0"/>
            </w:pPr>
            <w:r>
              <w:rPr>
                <w:rFonts w:ascii="Consolas" w:hAnsi="Consolas"/>
                <w:b w:val="0"/>
                <w:i w:val="0"/>
                <w:sz w:val="15"/>
              </w:rPr>
              <w:t xml:space="preserve">    "secondary_driver": "Repeated attendance (30–40 episodes; five per week)",</w:t>
            </w:r>
          </w:p>
          <w:p>
            <w:pPr>
              <w:spacing w:after="0"/>
            </w:pPr>
            <w:r>
              <w:rPr>
                <w:rFonts w:ascii="Consolas" w:hAnsi="Consolas"/>
                <w:b w:val="0"/>
                <w:i w:val="0"/>
                <w:sz w:val="15"/>
              </w:rPr>
              <w:t xml:space="preserve">    "display_text": "Moderate execution burden"</w:t>
            </w:r>
          </w:p>
          <w:p>
            <w:pPr>
              <w:spacing w:after="0"/>
            </w:pPr>
            <w:r>
              <w:rPr>
                <w:rFonts w:ascii="Consolas" w:hAnsi="Consolas"/>
                <w:b w:val="0"/>
                <w:i w:val="0"/>
                <w:sz w:val="15"/>
              </w:rPr>
              <w:t xml:space="preserve">  },</w:t>
            </w:r>
          </w:p>
          <w:p>
            <w:pPr>
              <w:spacing w:after="0"/>
            </w:pPr>
            <w:r>
              <w:rPr>
                <w:rFonts w:ascii="Consolas" w:hAnsi="Consolas"/>
                <w:b w:val="0"/>
                <w:i w:val="0"/>
                <w:sz w:val="15"/>
              </w:rPr>
              <w:t xml:space="preserve">  "sensitivity": {"longer_minus_shorter_episodes":10,</w:t>
            </w:r>
          </w:p>
          <w:p>
            <w:pPr>
              <w:spacing w:after="0"/>
            </w:pPr>
            <w:r>
              <w:rPr>
                <w:rFonts w:ascii="Consolas" w:hAnsi="Consolas"/>
                <w:b w:val="0"/>
                <w:i w:val="0"/>
                <w:sz w:val="15"/>
              </w:rPr>
              <w:t xml:space="preserve">                  "incremental_travel_hours":7.3,</w:t>
            </w:r>
          </w:p>
          <w:p>
            <w:pPr>
              <w:spacing w:after="0"/>
            </w:pPr>
            <w:r>
              <w:rPr>
                <w:rFonts w:ascii="Consolas" w:hAnsi="Consolas"/>
                <w:b w:val="0"/>
                <w:i w:val="0"/>
                <w:sz w:val="15"/>
              </w:rPr>
              <w:t xml:space="preserve">                  "incremental_facility_hours":30,</w:t>
            </w:r>
          </w:p>
          <w:p>
            <w:pPr>
              <w:spacing w:after="0"/>
            </w:pPr>
            <w:r>
              <w:rPr>
                <w:rFonts w:ascii="Consolas" w:hAnsi="Consolas"/>
                <w:b w:val="0"/>
                <w:i w:val="0"/>
                <w:sz w:val="15"/>
              </w:rPr>
              <w:t xml:space="preserve">                  "incremental_total_hours":37,</w:t>
            </w:r>
          </w:p>
          <w:p>
            <w:pPr>
              <w:spacing w:after="0"/>
            </w:pPr>
            <w:r>
              <w:rPr>
                <w:rFonts w:ascii="Consolas" w:hAnsi="Consolas"/>
                <w:b w:val="0"/>
                <w:i w:val="0"/>
                <w:sz w:val="15"/>
              </w:rPr>
              <w:t xml:space="preserve">                  "incremental_miles":250,</w:t>
            </w:r>
          </w:p>
          <w:p>
            <w:pPr>
              <w:spacing w:after="0"/>
            </w:pPr>
            <w:r>
              <w:rPr>
                <w:rFonts w:ascii="Consolas" w:hAnsi="Consolas"/>
                <w:b w:val="0"/>
                <w:i w:val="0"/>
                <w:sz w:val="15"/>
              </w:rPr>
              <w:t xml:space="preserve">                  "incremental_weeks":2.0}</w:t>
            </w:r>
          </w:p>
          <w:p>
            <w:pPr>
              <w:spacing w:after="0"/>
            </w:pPr>
            <w:r>
              <w:rPr>
                <w:rFonts w:ascii="Consolas" w:hAnsi="Consolas"/>
                <w:b w:val="0"/>
                <w:i w:val="0"/>
                <w:sz w:val="15"/>
              </w:rPr>
              <w:t>}</w:t>
            </w:r>
          </w:p>
        </w:tc>
      </w:tr>
    </w:tbl>
    <w:p>
      <w:pPr>
        <w:spacing w:after="20"/>
      </w:pPr>
    </w:p>
    <w:p>
      <w:r>
        <w:br w:type="page"/>
      </w:r>
    </w:p>
    <w:p>
      <w:pPr>
        <w:pStyle w:val="Heading2"/>
      </w:pPr>
      <w:r>
        <w:t>8.6 Normative Output-presentation Contract</w:t>
      </w:r>
    </w:p>
    <w:p>
      <w:r>
        <w:rPr>
          <w:rFonts w:ascii="Aptos" w:hAnsi="Aptos"/>
          <w:b w:val="0"/>
          <w:i w:val="0"/>
          <w:sz w:val="18"/>
        </w:rPr>
        <w:t>This section governs any human-readable screen, printout, portal view, report, or equivalent presentation generated from the three capability outputs. It governs semantic content, labels, order, units, and safeguards; it does not prescribe a visual design, software framework, device, or interaction technology. The machine-readable artifacts remain normative. A presentation SHALL be a faithful view of those artifacts and SHALL NOT introduce a new calculation, interpretation, regimen selection, or patient input.</w:t>
      </w:r>
    </w:p>
    <w:p>
      <w:pPr>
        <w:pStyle w:val="Heading3"/>
      </w:pPr>
      <w:r>
        <w:t>8.6.1 Common Presentation Rules</w:t>
      </w:r>
    </w:p>
    <w:p>
      <w:pPr>
        <w:pStyle w:val="ListBullet"/>
        <w:spacing w:after="20"/>
      </w:pPr>
      <w:r>
        <w:rPr>
          <w:rFonts w:ascii="Aptos" w:hAnsi="Aptos"/>
          <w:b w:val="0"/>
          <w:i w:val="0"/>
          <w:sz w:val="18"/>
        </w:rPr>
        <w:t>A presentation SHALL identify the output as DFU-specific HBOT planning information and SHALL state that it is not a prescription, eligibility determination, coverage decision, or prediction of treatment completion or benefit.</w:t>
      </w:r>
    </w:p>
    <w:p>
      <w:pPr>
        <w:pStyle w:val="ListBullet"/>
        <w:spacing w:after="20"/>
      </w:pPr>
      <w:r>
        <w:rPr>
          <w:rFonts w:ascii="Aptos" w:hAnsi="Aptos"/>
          <w:b w:val="0"/>
          <w:i w:val="0"/>
          <w:sz w:val="18"/>
        </w:rPr>
        <w:t>Human-readable labels SHALL accompany coded values. A compact code, JSON property name, or IRI SHALL NOT be the only visible description of a regimen scenario, questionnaire answer, execution-burden level, provider, warning, or error.</w:t>
      </w:r>
    </w:p>
    <w:p>
      <w:pPr>
        <w:pStyle w:val="ListBullet"/>
        <w:spacing w:after="20"/>
      </w:pPr>
      <w:r>
        <w:rPr>
          <w:rFonts w:ascii="Aptos" w:hAnsi="Aptos"/>
          <w:b w:val="0"/>
          <w:i w:val="0"/>
          <w:sz w:val="18"/>
        </w:rPr>
        <w:t>The presentation SHALL preserve the semantic order defined below. Responsive reflow, pagination, and print layout MAY change spatial arrangement, but SHALL preserve reading order and the association between every label, value, unit, caveat, and scenario.</w:t>
      </w:r>
    </w:p>
    <w:p>
      <w:pPr>
        <w:pStyle w:val="ListBullet"/>
        <w:spacing w:after="20"/>
      </w:pPr>
      <w:r>
        <w:rPr>
          <w:rFonts w:ascii="Aptos" w:hAnsi="Aptos"/>
          <w:b w:val="0"/>
          <w:i w:val="0"/>
          <w:sz w:val="18"/>
        </w:rPr>
        <w:t>Units SHALL appear adjacent to every displayed numeric quantity: episodes, sessions per week, weeks, miles, minutes, or hours as applicable. The presentation SHALL distinguish one-way reported travel from calculated round-trip and whole-course values.</w:t>
      </w:r>
    </w:p>
    <w:p>
      <w:pPr>
        <w:pStyle w:val="ListBullet"/>
        <w:spacing w:after="20"/>
      </w:pPr>
      <w:r>
        <w:rPr>
          <w:rFonts w:ascii="Aptos" w:hAnsi="Aptos"/>
          <w:b w:val="0"/>
          <w:i w:val="0"/>
          <w:sz w:val="18"/>
        </w:rPr>
        <w:t>A range SHALL display its lower endpoint before its upper endpoint and identify both as a range. A single endpoint SHALL NOT be substituted. Human-readable ranges SHOULD use an en dash; a text equivalent such as ‘30 to 40’ is conformant when typography or assistive technology makes that clearer.</w:t>
      </w:r>
    </w:p>
    <w:p>
      <w:pPr>
        <w:pStyle w:val="ListBullet"/>
        <w:spacing w:after="20"/>
      </w:pPr>
      <w:r>
        <w:rPr>
          <w:rFonts w:ascii="Aptos" w:hAnsi="Aptos"/>
          <w:b w:val="0"/>
          <w:i w:val="0"/>
          <w:sz w:val="18"/>
        </w:rPr>
        <w:t>Displayed burden numbers SHALL be copied from the serialized result and SHALL NOT be recalculated or rounded again. Insignificant trailing zeros MAY be suppressed only in the human-readable view; the value, unit, and magnitude SHALL remain unchanged.</w:t>
      </w:r>
    </w:p>
    <w:p>
      <w:pPr>
        <w:pStyle w:val="ListBullet"/>
        <w:spacing w:after="20"/>
      </w:pPr>
      <w:r>
        <w:rPr>
          <w:rFonts w:ascii="Aptos" w:hAnsi="Aptos"/>
          <w:b w:val="0"/>
          <w:i w:val="0"/>
          <w:sz w:val="18"/>
        </w:rPr>
        <w:t>Color, icon, position, or emphasis MAY reinforce meaning but SHALL NOT be the sole carrier of category, warning, error, selection, scenario, or range-endpoint meaning. Text shall remain readable under magnification, reflow, monochrome printing, and assistive-technology reading order.</w:t>
      </w:r>
    </w:p>
    <w:p>
      <w:pPr>
        <w:pStyle w:val="ListBullet"/>
        <w:spacing w:after="20"/>
      </w:pPr>
      <w:r>
        <w:rPr>
          <w:rFonts w:ascii="Aptos" w:hAnsi="Aptos"/>
          <w:b w:val="0"/>
          <w:i w:val="0"/>
          <w:sz w:val="18"/>
        </w:rPr>
        <w:t>Provenance IRIs, fingerprints, timestamps, and machine codes MAY be placed in a clearly labeled details or export area, but SHALL remain available with the result. They SHALL NOT displace the patient-facing explanation or be presented as clinical content.</w:t>
      </w:r>
    </w:p>
    <w:p>
      <w:pPr>
        <w:pStyle w:val="Heading3"/>
      </w:pPr>
      <w:r>
        <w:t>8.6.2 Fixed Regimen Range Presentation</w:t>
      </w:r>
    </w:p>
    <w:tbl>
      <w:tblPr>
        <w:tblW w:type="dxa" w:w="9360"/>
        <w:tblLayout w:type="fixed"/>
        <w:tblLook w:firstColumn="1" w:firstRow="1" w:lastColumn="0" w:lastRow="0" w:noHBand="0" w:noVBand="1" w:val="04A0"/>
        <w:tblInd w:w="120" w:type="dxa"/>
      </w:tblPr>
      <w:tblGrid>
        <w:gridCol w:w="800"/>
        <w:gridCol w:w="3700"/>
        <w:gridCol w:w="4860"/>
      </w:tblGrid>
      <w:tr>
        <w:trPr>
          <w:cantSplit w:val="true"/>
          <w:tblHeader w:val="true"/>
        </w:trPr>
        <w:tc>
          <w:tcPr>
            <w:tcW w:type="dxa" w:w="8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ORDER</w:t>
            </w:r>
          </w:p>
        </w:tc>
        <w:tc>
          <w:tcPr>
            <w:tcW w:type="dxa" w:w="37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REQUIRED VISIBLE CONTENT</w:t>
            </w:r>
          </w:p>
        </w:tc>
        <w:tc>
          <w:tcPr>
            <w:tcW w:type="dxa" w:w="48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PRESENTATION RULE</w:t>
            </w:r>
          </w:p>
        </w:tc>
      </w:tr>
      <w:tr>
        <w:trPr>
          <w:cantSplit w:val="true"/>
        </w:trPr>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3"/>
              </w:rPr>
              <w:t>1</w:t>
            </w:r>
          </w:p>
        </w:tc>
        <w:tc>
          <w:tcPr>
            <w:tcW w:type="dxa" w:w="3700"/>
            <w:tcMar>
              <w:top w:w="100" w:type="dxa"/>
              <w:start w:w="120" w:type="dxa"/>
              <w:bottom w:w="100" w:type="dxa"/>
              <w:end w:w="120" w:type="dxa"/>
            </w:tcMar>
            <w:vAlign w:val="center"/>
          </w:tcPr>
          <w:p>
            <w:pPr>
              <w:spacing w:after="0" w:line="240" w:lineRule="auto"/>
            </w:pPr>
            <w:r>
              <w:rPr>
                <w:rFonts w:ascii="Aptos" w:hAnsi="Aptos"/>
                <w:b w:val="0"/>
                <w:i w:val="0"/>
                <w:color w:val="000000"/>
                <w:sz w:val="13"/>
              </w:rPr>
              <w:t>General DFU HBOT regimen range</w:t>
            </w:r>
          </w:p>
        </w:tc>
        <w:tc>
          <w:tcPr>
            <w:tcW w:type="dxa" w:w="4860"/>
            <w:tcMar>
              <w:top w:w="100" w:type="dxa"/>
              <w:start w:w="120" w:type="dxa"/>
              <w:bottom w:w="100" w:type="dxa"/>
              <w:end w:w="120" w:type="dxa"/>
            </w:tcMar>
            <w:vAlign w:val="center"/>
          </w:tcPr>
          <w:p>
            <w:pPr>
              <w:spacing w:after="0" w:line="240" w:lineRule="auto"/>
            </w:pPr>
            <w:r>
              <w:rPr>
                <w:rFonts w:ascii="Aptos" w:hAnsi="Aptos"/>
                <w:b w:val="0"/>
                <w:i w:val="0"/>
                <w:color w:val="000000"/>
                <w:sz w:val="13"/>
              </w:rPr>
              <w:t>Label as general planning knowledge; state that no scenario was selected or calculated for the patient</w:t>
            </w:r>
          </w:p>
        </w:tc>
      </w:tr>
      <w:tr>
        <w:trPr>
          <w:cantSplit w:val="true"/>
        </w:trPr>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2</w:t>
            </w:r>
          </w:p>
        </w:tc>
        <w:tc>
          <w:tcPr>
            <w:tcW w:type="dxa" w:w="3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Shorter regimen</w:t>
            </w:r>
          </w:p>
        </w:tc>
        <w:tc>
          <w:tcPr>
            <w:tcW w:type="dxa" w:w="4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30 episodes; five sessions per week; approximately 6 weeks</w:t>
            </w:r>
          </w:p>
        </w:tc>
      </w:tr>
      <w:tr>
        <w:trPr>
          <w:cantSplit w:val="true"/>
        </w:trPr>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3"/>
              </w:rPr>
              <w:t>3</w:t>
            </w:r>
          </w:p>
        </w:tc>
        <w:tc>
          <w:tcPr>
            <w:tcW w:type="dxa" w:w="3700"/>
            <w:tcMar>
              <w:top w:w="100" w:type="dxa"/>
              <w:start w:w="120" w:type="dxa"/>
              <w:bottom w:w="100" w:type="dxa"/>
              <w:end w:w="120" w:type="dxa"/>
            </w:tcMar>
            <w:vAlign w:val="center"/>
          </w:tcPr>
          <w:p>
            <w:pPr>
              <w:spacing w:after="0" w:line="240" w:lineRule="auto"/>
            </w:pPr>
            <w:r>
              <w:rPr>
                <w:rFonts w:ascii="Aptos" w:hAnsi="Aptos"/>
                <w:b w:val="0"/>
                <w:i w:val="0"/>
                <w:color w:val="000000"/>
                <w:sz w:val="13"/>
              </w:rPr>
              <w:t>Longer regimen</w:t>
            </w:r>
          </w:p>
        </w:tc>
        <w:tc>
          <w:tcPr>
            <w:tcW w:type="dxa" w:w="4860"/>
            <w:tcMar>
              <w:top w:w="100" w:type="dxa"/>
              <w:start w:w="120" w:type="dxa"/>
              <w:bottom w:w="100" w:type="dxa"/>
              <w:end w:w="120" w:type="dxa"/>
            </w:tcMar>
            <w:vAlign w:val="center"/>
          </w:tcPr>
          <w:p>
            <w:pPr>
              <w:spacing w:after="0" w:line="240" w:lineRule="auto"/>
            </w:pPr>
            <w:r>
              <w:rPr>
                <w:rFonts w:ascii="Aptos" w:hAnsi="Aptos"/>
                <w:b w:val="0"/>
                <w:i w:val="0"/>
                <w:color w:val="000000"/>
                <w:sz w:val="13"/>
              </w:rPr>
              <w:t>40 episodes; five sessions per week; approximately 8 weeks</w:t>
            </w:r>
          </w:p>
        </w:tc>
      </w:tr>
      <w:tr>
        <w:trPr>
          <w:cantSplit w:val="true"/>
        </w:trPr>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4</w:t>
            </w:r>
          </w:p>
        </w:tc>
        <w:tc>
          <w:tcPr>
            <w:tcW w:type="dxa" w:w="3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Combined range</w:t>
            </w:r>
          </w:p>
        </w:tc>
        <w:tc>
          <w:tcPr>
            <w:tcW w:type="dxa" w:w="4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30–40 episodes over approximately 6–8 weeks; both endpoints remain visible</w:t>
            </w:r>
          </w:p>
        </w:tc>
      </w:tr>
      <w:tr>
        <w:trPr>
          <w:cantSplit w:val="true"/>
        </w:trPr>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3"/>
              </w:rPr>
              <w:t>5</w:t>
            </w:r>
          </w:p>
        </w:tc>
        <w:tc>
          <w:tcPr>
            <w:tcW w:type="dxa" w:w="3700"/>
            <w:tcMar>
              <w:top w:w="100" w:type="dxa"/>
              <w:start w:w="120" w:type="dxa"/>
              <w:bottom w:w="100" w:type="dxa"/>
              <w:end w:w="120" w:type="dxa"/>
            </w:tcMar>
            <w:vAlign w:val="center"/>
          </w:tcPr>
          <w:p>
            <w:pPr>
              <w:spacing w:after="0" w:line="240" w:lineRule="auto"/>
            </w:pPr>
            <w:r>
              <w:rPr>
                <w:rFonts w:ascii="Aptos" w:hAnsi="Aptos"/>
                <w:b w:val="0"/>
                <w:i w:val="0"/>
                <w:color w:val="000000"/>
                <w:sz w:val="13"/>
              </w:rPr>
              <w:t>Facility-time assumption</w:t>
            </w:r>
          </w:p>
        </w:tc>
        <w:tc>
          <w:tcPr>
            <w:tcW w:type="dxa" w:w="4860"/>
            <w:tcMar>
              <w:top w:w="100" w:type="dxa"/>
              <w:start w:w="120" w:type="dxa"/>
              <w:bottom w:w="100" w:type="dxa"/>
              <w:end w:w="120" w:type="dxa"/>
            </w:tcMar>
            <w:vAlign w:val="center"/>
          </w:tcPr>
          <w:p>
            <w:pPr>
              <w:spacing w:after="0" w:line="240" w:lineRule="auto"/>
            </w:pPr>
            <w:r>
              <w:rPr>
                <w:rFonts w:ascii="Aptos" w:hAnsi="Aptos"/>
                <w:b w:val="0"/>
                <w:i w:val="0"/>
                <w:color w:val="000000"/>
                <w:sz w:val="13"/>
              </w:rPr>
              <w:t>3 scheduled facility hours per episode; label as the conservative realistic worst-case planning assumption, not observed elapsed time</w:t>
            </w:r>
          </w:p>
        </w:tc>
      </w:tr>
      <w:tr>
        <w:trPr>
          <w:cantSplit w:val="true"/>
        </w:trPr>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6</w:t>
            </w:r>
          </w:p>
        </w:tc>
        <w:tc>
          <w:tcPr>
            <w:tcW w:type="dxa" w:w="3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Clinical-context qualification</w:t>
            </w:r>
          </w:p>
        </w:tc>
        <w:tc>
          <w:tcPr>
            <w:tcW w:type="dxa" w:w="48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Pressure, oxygen exposure, reassessment, and continuation information is general context and is not computed per patient</w:t>
            </w:r>
          </w:p>
        </w:tc>
      </w:tr>
    </w:tbl>
    <w:p>
      <w:pPr>
        <w:spacing w:after="20"/>
      </w:pPr>
    </w:p>
    <w:p>
      <w:r>
        <w:rPr>
          <w:rFonts w:ascii="Aptos" w:hAnsi="Aptos"/>
          <w:b w:val="0"/>
          <w:i w:val="0"/>
          <w:sz w:val="18"/>
        </w:rPr>
        <w:t>The shorter and longer scenarios SHALL be visually or textually distinguishable and presented together. ‘Shorter’ and ‘longer’ are relative scenario labels, not recommendations. Pressure and oxygen-exposure values SHALL NOT be merged into a continuous patient dose range or added to the three-hour facility block.</w:t>
      </w:r>
    </w:p>
    <w:p>
      <w:pPr>
        <w:pStyle w:val="Heading3"/>
      </w:pPr>
      <w:r>
        <w:t>8.6.3 Completed Questionnaire Review Presentation</w:t>
      </w:r>
    </w:p>
    <w:p>
      <w:pPr>
        <w:pStyle w:val="ListBullet"/>
        <w:spacing w:after="20"/>
      </w:pPr>
      <w:r>
        <w:rPr>
          <w:rFonts w:ascii="Aptos" w:hAnsi="Aptos"/>
          <w:b w:val="0"/>
          <w:i w:val="0"/>
          <w:sz w:val="18"/>
        </w:rPr>
        <w:t>Before confirmation, the review SHALL present, in Q01–Q04 order: the resolved hyperbaric oxygen therapy location name and complete normalized address; usual one-way miles; usual one-way travel time; and the exact labeled weekday-attendance response.</w:t>
      </w:r>
    </w:p>
    <w:p>
      <w:pPr>
        <w:pStyle w:val="ListBullet"/>
        <w:spacing w:after="20"/>
      </w:pPr>
      <w:r>
        <w:rPr>
          <w:rFonts w:ascii="Aptos" w:hAnsi="Aptos"/>
          <w:b w:val="0"/>
          <w:i w:val="0"/>
          <w:sz w:val="18"/>
        </w:rPr>
        <w:t>The provider IRI and compact roster alias MAY be shown as secondary identifiers but SHALL NOT replace the facility name and address. Travel minutes MAY additionally be rendered as hours and minutes, provided the exact registered total minutes remain recoverable and the conversion does not change the value.</w:t>
      </w:r>
    </w:p>
    <w:p>
      <w:pPr>
        <w:pStyle w:val="ListBullet"/>
        <w:spacing w:after="20"/>
      </w:pPr>
      <w:r>
        <w:rPr>
          <w:rFonts w:ascii="Aptos" w:hAnsi="Aptos"/>
          <w:b w:val="0"/>
          <w:i w:val="0"/>
          <w:sz w:val="18"/>
        </w:rPr>
        <w:t>The review SHALL state that the 30–40-episode, five-per-week, approximately 6–8-week regimen is general planning knowledge and is not a patient-specific regimen. Confirmation and correction actions SHALL be distinguishable, and no answer may be preselected during correction.</w:t>
      </w:r>
    </w:p>
    <w:p>
      <w:pPr>
        <w:pStyle w:val="Heading3"/>
      </w:pPr>
      <w:r>
        <w:t>8.6.4 Completed Burden-result Presentation</w:t>
      </w:r>
    </w:p>
    <w:tbl>
      <w:tblPr>
        <w:tblW w:type="dxa" w:w="9360"/>
        <w:tblLayout w:type="fixed"/>
        <w:tblLook w:firstColumn="1" w:firstRow="1" w:lastColumn="0" w:lastRow="0" w:noHBand="0" w:noVBand="1" w:val="04A0"/>
        <w:tblInd w:w="120" w:type="dxa"/>
      </w:tblPr>
      <w:tblGrid>
        <w:gridCol w:w="800"/>
        <w:gridCol w:w="3100"/>
        <w:gridCol w:w="5460"/>
      </w:tblGrid>
      <w:tr>
        <w:trPr>
          <w:cantSplit w:val="true"/>
          <w:tblHeader w:val="true"/>
        </w:trPr>
        <w:tc>
          <w:tcPr>
            <w:tcW w:type="dxa" w:w="8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ORDER</w:t>
            </w:r>
          </w:p>
        </w:tc>
        <w:tc>
          <w:tcPr>
            <w:tcW w:type="dxa" w:w="31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REQUIRED SECTION HEADING</w:t>
            </w:r>
          </w:p>
        </w:tc>
        <w:tc>
          <w:tcPr>
            <w:tcW w:type="dxa" w:w="54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MINIMUM CONTENT</w:t>
            </w:r>
          </w:p>
        </w:tc>
      </w:tr>
      <w:tr>
        <w:trPr>
          <w:cantSplit w:val="true"/>
        </w:trPr>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3"/>
              </w:rPr>
              <w:t>1</w:t>
            </w:r>
          </w:p>
        </w:tc>
        <w:tc>
          <w:tcPr>
            <w:tcW w:type="dxa" w:w="3100"/>
            <w:tcMar>
              <w:top w:w="100" w:type="dxa"/>
              <w:start w:w="120" w:type="dxa"/>
              <w:bottom w:w="100" w:type="dxa"/>
              <w:end w:w="120" w:type="dxa"/>
            </w:tcMar>
            <w:vAlign w:val="center"/>
          </w:tcPr>
          <w:p>
            <w:pPr>
              <w:spacing w:after="0" w:line="240" w:lineRule="auto"/>
            </w:pPr>
            <w:r>
              <w:rPr>
                <w:rFonts w:ascii="Aptos" w:hAnsi="Aptos"/>
                <w:b w:val="0"/>
                <w:i w:val="0"/>
                <w:color w:val="000000"/>
                <w:sz w:val="13"/>
              </w:rPr>
              <w:t>Objective burden</w:t>
            </w:r>
          </w:p>
        </w:tc>
        <w:tc>
          <w:tcPr>
            <w:tcW w:type="dxa" w:w="5460"/>
            <w:tcMar>
              <w:top w:w="100" w:type="dxa"/>
              <w:start w:w="120" w:type="dxa"/>
              <w:bottom w:w="100" w:type="dxa"/>
              <w:end w:w="120" w:type="dxa"/>
            </w:tcMar>
            <w:vAlign w:val="center"/>
          </w:tcPr>
          <w:p>
            <w:pPr>
              <w:spacing w:after="0" w:line="240" w:lineRule="auto"/>
            </w:pPr>
            <w:r>
              <w:rPr>
                <w:rFonts w:ascii="Aptos" w:hAnsi="Aptos"/>
                <w:b w:val="0"/>
                <w:i w:val="0"/>
                <w:color w:val="000000"/>
                <w:sz w:val="13"/>
              </w:rPr>
              <w:t>Confirmed location; reported one-way miles/minutes; shorter and longer scenario values; overall episode, travel-hour, facility-hour, total-patient-hour, and course-mile ranges; travel band</w:t>
            </w:r>
          </w:p>
        </w:tc>
      </w:tr>
      <w:tr>
        <w:trPr>
          <w:cantSplit w:val="true"/>
        </w:trPr>
        <w:tc>
          <w:tcPr>
            <w:tcW w:type="dxa" w:w="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2</w:t>
            </w:r>
          </w:p>
        </w:tc>
        <w:tc>
          <w:tcPr>
            <w:tcW w:type="dxa" w:w="3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Reported weekday-attendance feasibility</w:t>
            </w:r>
          </w:p>
        </w:tc>
        <w:tc>
          <w:tcPr>
            <w:tcW w:type="dxa" w:w="54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The exact Section 7.2 display text; explicitly identified as reported, subjective, non-travel information</w:t>
            </w:r>
          </w:p>
        </w:tc>
      </w:tr>
      <w:tr>
        <w:trPr>
          <w:cantSplit w:val="true"/>
        </w:trPr>
        <w:tc>
          <w:tcPr>
            <w:tcW w:type="dxa" w:w="800"/>
            <w:tcMar>
              <w:top w:w="100" w:type="dxa"/>
              <w:start w:w="120" w:type="dxa"/>
              <w:bottom w:w="100" w:type="dxa"/>
              <w:end w:w="120" w:type="dxa"/>
            </w:tcMar>
            <w:vAlign w:val="center"/>
          </w:tcPr>
          <w:p>
            <w:pPr>
              <w:spacing w:after="0" w:line="240" w:lineRule="auto"/>
            </w:pPr>
            <w:r>
              <w:rPr>
                <w:rFonts w:ascii="Aptos" w:hAnsi="Aptos"/>
                <w:b w:val="0"/>
                <w:i w:val="0"/>
                <w:color w:val="000000"/>
                <w:sz w:val="13"/>
              </w:rPr>
              <w:t>3</w:t>
            </w:r>
          </w:p>
        </w:tc>
        <w:tc>
          <w:tcPr>
            <w:tcW w:type="dxa" w:w="3100"/>
            <w:tcMar>
              <w:top w:w="100" w:type="dxa"/>
              <w:start w:w="120" w:type="dxa"/>
              <w:bottom w:w="100" w:type="dxa"/>
              <w:end w:w="120" w:type="dxa"/>
            </w:tcMar>
            <w:vAlign w:val="center"/>
          </w:tcPr>
          <w:p>
            <w:pPr>
              <w:spacing w:after="0" w:line="240" w:lineRule="auto"/>
            </w:pPr>
            <w:r>
              <w:rPr>
                <w:rFonts w:ascii="Aptos" w:hAnsi="Aptos"/>
                <w:b w:val="0"/>
                <w:i w:val="0"/>
                <w:color w:val="000000"/>
                <w:sz w:val="13"/>
              </w:rPr>
              <w:t>Execution burden level</w:t>
            </w:r>
          </w:p>
        </w:tc>
        <w:tc>
          <w:tcPr>
            <w:tcW w:type="dxa" w:w="5460"/>
            <w:tcMar>
              <w:top w:w="100" w:type="dxa"/>
              <w:start w:w="120" w:type="dxa"/>
              <w:bottom w:w="100" w:type="dxa"/>
              <w:end w:w="120" w:type="dxa"/>
            </w:tcMar>
            <w:vAlign w:val="center"/>
          </w:tcPr>
          <w:p>
            <w:pPr>
              <w:spacing w:after="0" w:line="240" w:lineRule="auto"/>
            </w:pPr>
            <w:r>
              <w:rPr>
                <w:rFonts w:ascii="Aptos" w:hAnsi="Aptos"/>
                <w:b w:val="0"/>
                <w:i w:val="0"/>
                <w:color w:val="000000"/>
                <w:sz w:val="13"/>
              </w:rPr>
              <w:t>The exact 1–5 score and Section 8.3 display label, primary driver, any secondary driver, and the nonprediction boundary</w:t>
            </w:r>
          </w:p>
        </w:tc>
      </w:tr>
    </w:tbl>
    <w:p>
      <w:pPr>
        <w:spacing w:after="20"/>
      </w:pPr>
    </w:p>
    <w:p>
      <w:pPr>
        <w:pStyle w:val="ListBullet"/>
        <w:spacing w:after="20"/>
      </w:pPr>
      <w:r>
        <w:rPr>
          <w:rFonts w:ascii="Aptos" w:hAnsi="Aptos"/>
          <w:b w:val="0"/>
          <w:i w:val="0"/>
          <w:sz w:val="18"/>
        </w:rPr>
        <w:t>Within Objective burden, shorter_regimen SHALL precede longer_regimen, and the overall range SHALL follow the two scenario presentations. Facility hours SHALL be labeled as calculated from three scheduled facility hours per episode. Total patient hours SHALL be labeled as estimated travel plus scheduled facility time; they SHALL NOT be described as clinical treatment time.</w:t>
      </w:r>
    </w:p>
    <w:p>
      <w:pPr>
        <w:pStyle w:val="ListBullet"/>
        <w:spacing w:after="20"/>
      </w:pPr>
      <w:r>
        <w:rPr>
          <w:rFonts w:ascii="Aptos" w:hAnsi="Aptos"/>
          <w:b w:val="0"/>
          <w:i w:val="0"/>
          <w:sz w:val="18"/>
        </w:rPr>
        <w:t>Reported weekday-attendance feasibility SHALL NOT be headed or summarized as ‘personal barriers.’ The presentation SHALL NOT infer a barrier type or imply that no unreported barrier exists.</w:t>
      </w:r>
    </w:p>
    <w:p>
      <w:pPr>
        <w:pStyle w:val="ListBullet"/>
        <w:spacing w:after="20"/>
      </w:pPr>
      <w:r>
        <w:rPr>
          <w:rFonts w:ascii="Aptos" w:hAnsi="Aptos"/>
          <w:b w:val="0"/>
          <w:i w:val="0"/>
          <w:sz w:val="18"/>
        </w:rPr>
        <w:t>Execution Burden Level SHALL be prominent as the principal synthesized outcome but SHALL remain accompanied by the objective-burden values and reported feasibility statement. Category names and drivers SHALL use the exact governed display strings and SHALL NOT be replaced by treatment-failure predictions, probabilities, traffic-light meanings, or treatment recommendations.</w:t>
      </w:r>
    </w:p>
    <w:p>
      <w:pPr>
        <w:pStyle w:val="ListBullet"/>
        <w:spacing w:after="20"/>
      </w:pPr>
      <w:r>
        <w:rPr>
          <w:rFonts w:ascii="Aptos" w:hAnsi="Aptos"/>
          <w:b w:val="0"/>
          <w:i w:val="0"/>
          <w:sz w:val="18"/>
        </w:rPr>
        <w:t>For score 5, the presentation SHALL state that Extreme execution burden is the highest burden combination recognized by this limited model and is not a prediction of treatment failure, noncompletion, or nonadherence.</w:t>
      </w:r>
    </w:p>
    <w:p>
      <w:pPr>
        <w:pStyle w:val="ListBullet"/>
        <w:spacing w:after="20"/>
      </w:pPr>
      <w:r>
        <w:rPr>
          <w:rFonts w:ascii="Aptos" w:hAnsi="Aptos"/>
          <w:b w:val="0"/>
          <w:i w:val="0"/>
          <w:sz w:val="18"/>
        </w:rPr>
        <w:t>Assumptions SHALL be available with the result and include ASM-01 through ASM-04. Evidence sources and warnings, when present, SHALL be clearly separated from calculated values. A warning SHALL NOT appear as a successful value or silently modify one.</w:t>
      </w:r>
    </w:p>
    <w:p>
      <w:pPr>
        <w:pStyle w:val="Heading3"/>
      </w:pPr>
      <w:r>
        <w:t>8.6.5 Error and Noncompletion Presentation</w:t>
      </w:r>
    </w:p>
    <w:p>
      <w:pPr>
        <w:pStyle w:val="ListBullet"/>
        <w:spacing w:after="20"/>
      </w:pPr>
      <w:r>
        <w:rPr>
          <w:rFonts w:ascii="Aptos" w:hAnsi="Aptos"/>
          <w:b w:val="0"/>
          <w:i w:val="0"/>
          <w:sz w:val="18"/>
        </w:rPr>
        <w:t>For a status=error result, no objective-burden, feasibility, execution-burden-level, or sensitivity value SHALL be displayed. The presentation SHALL show the exact error message and result code and, when error_field is non-null, a human-readable field label in addition to the governed field identifier.</w:t>
      </w:r>
    </w:p>
    <w:p>
      <w:pPr>
        <w:pStyle w:val="ListBullet"/>
        <w:spacing w:after="20"/>
      </w:pPr>
      <w:r>
        <w:rPr>
          <w:rFonts w:ascii="Aptos" w:hAnsi="Aptos"/>
          <w:b w:val="0"/>
          <w:i w:val="0"/>
          <w:sz w:val="18"/>
        </w:rPr>
        <w:t>An error SHALL be described as an input, artifact, or dependency failure according to Section 9; it SHALL NOT be reframed as a clinical finding, patient fault, provider deficiency, or recommendation.</w:t>
      </w:r>
    </w:p>
    <w:p>
      <w:pPr>
        <w:pStyle w:val="ListBullet"/>
        <w:spacing w:after="20"/>
      </w:pPr>
      <w:r>
        <w:rPr>
          <w:rFonts w:ascii="Aptos" w:hAnsi="Aptos"/>
          <w:b w:val="0"/>
          <w:i w:val="0"/>
          <w:sz w:val="18"/>
        </w:rPr>
        <w:t>Questionnaire abandonment, refusal to confirm, or incompleteness is noncompletion rather than an analysis error. The presentation SHALL state that no completed response or burden result was produced and SHALL NOT show provisional calculations.</w:t>
      </w:r>
    </w:p>
    <w:p>
      <w:pPr>
        <w:pStyle w:val="Heading3"/>
      </w:pPr>
      <w:r>
        <w:t>8.6.6 Presentation Conformance Checks</w:t>
      </w:r>
    </w:p>
    <w:tbl>
      <w:tblPr>
        <w:tblW w:type="dxa" w:w="9360"/>
        <w:tblLayout w:type="fixed"/>
        <w:tblLook w:firstColumn="1" w:firstRow="1" w:lastColumn="0" w:lastRow="0" w:noHBand="0" w:noVBand="1" w:val="04A0"/>
        <w:tblInd w:w="120" w:type="dxa"/>
      </w:tblPr>
      <w:tblGrid>
        <w:gridCol w:w="1600"/>
        <w:gridCol w:w="7760"/>
      </w:tblGrid>
      <w:tr>
        <w:trPr>
          <w:cantSplit w:val="true"/>
          <w:tblHeader w:val="true"/>
        </w:trPr>
        <w:tc>
          <w:tcPr>
            <w:tcW w:type="dxa" w:w="16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CHECK</w:t>
            </w:r>
          </w:p>
        </w:tc>
        <w:tc>
          <w:tcPr>
            <w:tcW w:type="dxa" w:w="77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OBSERVABLE REQUIREMENT</w:t>
            </w:r>
          </w:p>
        </w:tc>
      </w:tr>
      <w:tr>
        <w:trPr>
          <w:cantSplit w:val="true"/>
        </w:trPr>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3"/>
              </w:rPr>
              <w:t>PRES-01</w:t>
            </w:r>
          </w:p>
        </w:tc>
        <w:tc>
          <w:tcPr>
            <w:tcW w:type="dxa" w:w="7760"/>
            <w:tcMar>
              <w:top w:w="100" w:type="dxa"/>
              <w:start w:w="120" w:type="dxa"/>
              <w:bottom w:w="100" w:type="dxa"/>
              <w:end w:w="120" w:type="dxa"/>
            </w:tcMar>
            <w:vAlign w:val="center"/>
          </w:tcPr>
          <w:p>
            <w:pPr>
              <w:spacing w:after="0" w:line="240" w:lineRule="auto"/>
            </w:pPr>
            <w:r>
              <w:rPr>
                <w:rFonts w:ascii="Aptos" w:hAnsi="Aptos"/>
                <w:b w:val="0"/>
                <w:i w:val="0"/>
                <w:color w:val="000000"/>
                <w:sz w:val="13"/>
              </w:rPr>
              <w:t>All three completed-result sections appear once, in the required order, with governed labels</w:t>
            </w:r>
          </w:p>
        </w:tc>
      </w:tr>
      <w:tr>
        <w:trPr>
          <w:cantSplit w:val="true"/>
        </w:trPr>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PRES-02</w:t>
            </w:r>
          </w:p>
        </w:tc>
        <w:tc>
          <w:tcPr>
            <w:tcW w:type="dxa" w:w="7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Both regimen scenarios and every overall lower/upper endpoint are present and correctly associated</w:t>
            </w:r>
          </w:p>
        </w:tc>
      </w:tr>
      <w:tr>
        <w:trPr>
          <w:cantSplit w:val="true"/>
        </w:trPr>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3"/>
              </w:rPr>
              <w:t>PRES-03</w:t>
            </w:r>
          </w:p>
        </w:tc>
        <w:tc>
          <w:tcPr>
            <w:tcW w:type="dxa" w:w="7760"/>
            <w:tcMar>
              <w:top w:w="100" w:type="dxa"/>
              <w:start w:w="120" w:type="dxa"/>
              <w:bottom w:w="100" w:type="dxa"/>
              <w:end w:w="120" w:type="dxa"/>
            </w:tcMar>
            <w:vAlign w:val="center"/>
          </w:tcPr>
          <w:p>
            <w:pPr>
              <w:spacing w:after="0" w:line="240" w:lineRule="auto"/>
            </w:pPr>
            <w:r>
              <w:rPr>
                <w:rFonts w:ascii="Aptos" w:hAnsi="Aptos"/>
                <w:b w:val="0"/>
                <w:i w:val="0"/>
                <w:color w:val="000000"/>
                <w:sz w:val="13"/>
              </w:rPr>
              <w:t>Units and one-way, round-trip, per-episode, and whole-course scopes are unambiguous</w:t>
            </w:r>
          </w:p>
        </w:tc>
      </w:tr>
      <w:tr>
        <w:trPr>
          <w:cantSplit w:val="true"/>
        </w:trPr>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PRES-04</w:t>
            </w:r>
          </w:p>
        </w:tc>
        <w:tc>
          <w:tcPr>
            <w:tcW w:type="dxa" w:w="7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General-regimen, facility-time, DFU-only, and planning-only qualifications are visible in context</w:t>
            </w:r>
          </w:p>
        </w:tc>
      </w:tr>
      <w:tr>
        <w:trPr>
          <w:cantSplit w:val="true"/>
        </w:trPr>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3"/>
              </w:rPr>
              <w:t>PRES-05</w:t>
            </w:r>
          </w:p>
        </w:tc>
        <w:tc>
          <w:tcPr>
            <w:tcW w:type="dxa" w:w="7760"/>
            <w:tcMar>
              <w:top w:w="100" w:type="dxa"/>
              <w:start w:w="120" w:type="dxa"/>
              <w:bottom w:w="100" w:type="dxa"/>
              <w:end w:w="120" w:type="dxa"/>
            </w:tcMar>
            <w:vAlign w:val="center"/>
          </w:tcPr>
          <w:p>
            <w:pPr>
              <w:spacing w:after="0" w:line="240" w:lineRule="auto"/>
            </w:pPr>
            <w:r>
              <w:rPr>
                <w:rFonts w:ascii="Aptos" w:hAnsi="Aptos"/>
                <w:b w:val="0"/>
                <w:i w:val="0"/>
                <w:color w:val="000000"/>
                <w:sz w:val="13"/>
              </w:rPr>
              <w:t>Displayed numeric values equal serialized values; no second calculation or rounding occurs</w:t>
            </w:r>
          </w:p>
        </w:tc>
      </w:tr>
      <w:tr>
        <w:trPr>
          <w:cantSplit w:val="true"/>
        </w:trPr>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PRES-06</w:t>
            </w:r>
          </w:p>
        </w:tc>
        <w:tc>
          <w:tcPr>
            <w:tcW w:type="dxa" w:w="7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Reported feasibility is not relabeled as personal barriers and Execution Burden Level is not clinicalized or presented as a treatment-failure prediction</w:t>
            </w:r>
          </w:p>
        </w:tc>
      </w:tr>
      <w:tr>
        <w:trPr>
          <w:cantSplit w:val="true"/>
        </w:trPr>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3"/>
              </w:rPr>
              <w:t>PRES-07</w:t>
            </w:r>
          </w:p>
        </w:tc>
        <w:tc>
          <w:tcPr>
            <w:tcW w:type="dxa" w:w="7760"/>
            <w:tcMar>
              <w:top w:w="100" w:type="dxa"/>
              <w:start w:w="120" w:type="dxa"/>
              <w:bottom w:w="100" w:type="dxa"/>
              <w:end w:w="120" w:type="dxa"/>
            </w:tcMar>
            <w:vAlign w:val="center"/>
          </w:tcPr>
          <w:p>
            <w:pPr>
              <w:spacing w:after="0" w:line="240" w:lineRule="auto"/>
            </w:pPr>
            <w:r>
              <w:rPr>
                <w:rFonts w:ascii="Aptos" w:hAnsi="Aptos"/>
                <w:b w:val="0"/>
                <w:i w:val="0"/>
                <w:color w:val="000000"/>
                <w:sz w:val="13"/>
              </w:rPr>
              <w:t>Meaning remains available without color, icons, or spatial position and follows a coherent reading order</w:t>
            </w:r>
          </w:p>
        </w:tc>
      </w:tr>
      <w:tr>
        <w:trPr>
          <w:cantSplit w:val="true"/>
        </w:trPr>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PRES-08</w:t>
            </w:r>
          </w:p>
        </w:tc>
        <w:tc>
          <w:tcPr>
            <w:tcW w:type="dxa" w:w="77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Error and noncompletion presentations expose no partial burden values</w:t>
            </w:r>
          </w:p>
        </w:tc>
      </w:tr>
    </w:tbl>
    <w:p>
      <w:pPr>
        <w:spacing w:after="20"/>
      </w:pPr>
    </w:p>
    <w:p>
      <w:r>
        <w:rPr>
          <w:rFonts w:ascii="Aptos" w:hAnsi="Aptos"/>
          <w:b w:val="0"/>
          <w:i w:val="0"/>
          <w:sz w:val="18"/>
        </w:rPr>
        <w:t>PRES-01 through PRES-08 are observable presentation-conformance checks, not additional analysis-result fields or result codes. Failure of a check prohibits a claim of user-facing conformance but does not change a valid machine-readable analysis result.</w:t>
      </w:r>
    </w:p>
    <w:p>
      <w:pPr>
        <w:pStyle w:val="Heading1"/>
      </w:pPr>
      <w:r>
        <w:t>9. Error Semantics</w:t>
      </w:r>
    </w:p>
    <w:tbl>
      <w:tblPr>
        <w:tblW w:type="dxa" w:w="9360"/>
        <w:tblLayout w:type="fixed"/>
        <w:tblLook w:firstColumn="1" w:firstRow="1" w:lastColumn="0" w:lastRow="0" w:noHBand="0" w:noVBand="1" w:val="04A0"/>
        <w:tblInd w:w="120" w:type="dxa"/>
      </w:tblPr>
      <w:tblGrid>
        <w:gridCol w:w="1100"/>
        <w:gridCol w:w="1100"/>
        <w:gridCol w:w="2600"/>
        <w:gridCol w:w="4560"/>
      </w:tblGrid>
      <w:tr>
        <w:trPr>
          <w:cantSplit w:val="true"/>
          <w:tblHeader w:val="true"/>
        </w:trPr>
        <w:tc>
          <w:tcPr>
            <w:tcW w:type="dxa" w:w="11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ID</w:t>
            </w:r>
          </w:p>
        </w:tc>
        <w:tc>
          <w:tcPr>
            <w:tcW w:type="dxa" w:w="11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STATUS</w:t>
            </w:r>
          </w:p>
        </w:tc>
        <w:tc>
          <w:tcPr>
            <w:tcW w:type="dxa" w:w="26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ERROR FIELD</w:t>
            </w:r>
          </w:p>
        </w:tc>
        <w:tc>
          <w:tcPr>
            <w:tcW w:type="dxa" w:w="45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EXACT MESSAGE</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ERR-01</w:t>
            </w:r>
          </w:p>
        </w:tc>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null</w:t>
            </w:r>
          </w:p>
        </w:tc>
        <w:tc>
          <w:tcPr>
            <w:tcW w:type="dxa" w:w="4560"/>
            <w:tcMar>
              <w:top w:w="100" w:type="dxa"/>
              <w:start w:w="120" w:type="dxa"/>
              <w:bottom w:w="100" w:type="dxa"/>
              <w:end w:w="120" w:type="dxa"/>
            </w:tcMar>
            <w:vAlign w:val="center"/>
          </w:tcPr>
          <w:p>
            <w:pPr>
              <w:spacing w:after="0" w:line="240" w:lineRule="auto"/>
            </w:pPr>
            <w:r>
              <w:rPr>
                <w:rFonts w:ascii="Aptos" w:hAnsi="Aptos"/>
                <w:b w:val="0"/>
                <w:i w:val="0"/>
                <w:color w:val="000000"/>
                <w:sz w:val="13"/>
              </w:rPr>
              <w:t>Input object is required.</w:t>
            </w:r>
          </w:p>
        </w:tc>
      </w:tr>
      <w:tr>
        <w:trPr>
          <w:cantSplit w:val="true"/>
        </w:trPr>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ERR-02</w:t>
            </w:r>
          </w:p>
        </w:tc>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null</w:t>
            </w:r>
          </w:p>
        </w:tc>
        <w:tc>
          <w:tcPr>
            <w:tcW w:type="dxa" w:w="4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Top-level input must be an object.</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ERR-03</w:t>
            </w:r>
          </w:p>
        </w:tc>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selected field</w:t>
            </w:r>
          </w:p>
        </w:tc>
        <w:tc>
          <w:tcPr>
            <w:tcW w:type="dxa" w:w="4560"/>
            <w:tcMar>
              <w:top w:w="100" w:type="dxa"/>
              <w:start w:w="120" w:type="dxa"/>
              <w:bottom w:w="100" w:type="dxa"/>
              <w:end w:w="120" w:type="dxa"/>
            </w:tcMar>
            <w:vAlign w:val="center"/>
          </w:tcPr>
          <w:p>
            <w:pPr>
              <w:spacing w:after="0" w:line="240" w:lineRule="auto"/>
            </w:pPr>
            <w:r>
              <w:rPr>
                <w:rFonts w:ascii="Aptos" w:hAnsi="Aptos"/>
                <w:b w:val="0"/>
                <w:i w:val="0"/>
                <w:color w:val="000000"/>
                <w:sz w:val="13"/>
              </w:rPr>
              <w:t>Input has an invalid data type.</w:t>
            </w:r>
          </w:p>
        </w:tc>
      </w:tr>
      <w:tr>
        <w:trPr>
          <w:cantSplit w:val="true"/>
        </w:trPr>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ERR-04</w:t>
            </w:r>
          </w:p>
        </w:tc>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unexpected property name</w:t>
            </w:r>
          </w:p>
        </w:tc>
        <w:tc>
          <w:tcPr>
            <w:tcW w:type="dxa" w:w="4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Unexpected input property is not permitted.</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ERR-05</w:t>
            </w:r>
          </w:p>
        </w:tc>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artifact envelope or identifier</w:t>
            </w:r>
          </w:p>
        </w:tc>
        <w:tc>
          <w:tcPr>
            <w:tcW w:type="dxa" w:w="4560"/>
            <w:tcMar>
              <w:top w:w="100" w:type="dxa"/>
              <w:start w:w="120" w:type="dxa"/>
              <w:bottom w:w="100" w:type="dxa"/>
              <w:end w:w="120" w:type="dxa"/>
            </w:tcMar>
            <w:vAlign w:val="center"/>
          </w:tcPr>
          <w:p>
            <w:pPr>
              <w:spacing w:after="0" w:line="240" w:lineRule="auto"/>
            </w:pPr>
            <w:r>
              <w:rPr>
                <w:rFonts w:ascii="Aptos" w:hAnsi="Aptos"/>
                <w:b w:val="0"/>
                <w:i w:val="0"/>
                <w:color w:val="000000"/>
                <w:sz w:val="13"/>
              </w:rPr>
              <w:t>Input artifact identity, status, or version is invalid.</w:t>
            </w:r>
          </w:p>
        </w:tc>
      </w:tr>
      <w:tr>
        <w:trPr>
          <w:cantSplit w:val="true"/>
        </w:trPr>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ERR-06</w:t>
            </w:r>
          </w:p>
        </w:tc>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duplicated name</w:t>
            </w:r>
          </w:p>
        </w:tc>
        <w:tc>
          <w:tcPr>
            <w:tcW w:type="dxa" w:w="4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Duplicate property name is not permitted.</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ERR-07</w:t>
            </w:r>
          </w:p>
        </w:tc>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first missing required field</w:t>
            </w:r>
          </w:p>
        </w:tc>
        <w:tc>
          <w:tcPr>
            <w:tcW w:type="dxa" w:w="4560"/>
            <w:tcMar>
              <w:top w:w="100" w:type="dxa"/>
              <w:start w:w="120" w:type="dxa"/>
              <w:bottom w:w="100" w:type="dxa"/>
              <w:end w:w="120" w:type="dxa"/>
            </w:tcMar>
            <w:vAlign w:val="center"/>
          </w:tcPr>
          <w:p>
            <w:pPr>
              <w:spacing w:after="0" w:line="240" w:lineRule="auto"/>
            </w:pPr>
            <w:r>
              <w:rPr>
                <w:rFonts w:ascii="Aptos" w:hAnsi="Aptos"/>
                <w:b w:val="0"/>
                <w:i w:val="0"/>
                <w:color w:val="000000"/>
                <w:sz w:val="13"/>
              </w:rPr>
              <w:t>Required input is missing.</w:t>
            </w:r>
          </w:p>
        </w:tc>
      </w:tr>
      <w:tr>
        <w:trPr>
          <w:cantSplit w:val="true"/>
        </w:trPr>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ERR-08</w:t>
            </w:r>
          </w:p>
        </w:tc>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first null required field</w:t>
            </w:r>
          </w:p>
        </w:tc>
        <w:tc>
          <w:tcPr>
            <w:tcW w:type="dxa" w:w="4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Required input must not be null.</w:t>
            </w:r>
          </w:p>
        </w:tc>
      </w:tr>
      <w:tr>
        <w:trPr>
          <w:cantSplit w:val="true"/>
        </w:trPr>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ERR-09</w:t>
            </w:r>
          </w:p>
        </w:tc>
        <w:tc>
          <w:tcPr>
            <w:tcW w:type="dxa" w:w="1100"/>
            <w:tcMar>
              <w:top w:w="100" w:type="dxa"/>
              <w:start w:w="120" w:type="dxa"/>
              <w:bottom w:w="100" w:type="dxa"/>
              <w:end w:w="120" w:type="dxa"/>
            </w:tcMar>
            <w:vAlign w:val="center"/>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tcPr>
          <w:p>
            <w:pPr>
              <w:spacing w:after="0" w:line="240" w:lineRule="auto"/>
            </w:pPr>
            <w:r>
              <w:rPr>
                <w:rFonts w:ascii="Aptos" w:hAnsi="Aptos"/>
                <w:b w:val="0"/>
                <w:i w:val="0"/>
                <w:color w:val="000000"/>
                <w:sz w:val="13"/>
              </w:rPr>
              <w:t>selected field</w:t>
            </w:r>
          </w:p>
        </w:tc>
        <w:tc>
          <w:tcPr>
            <w:tcW w:type="dxa" w:w="4560"/>
            <w:tcMar>
              <w:top w:w="100" w:type="dxa"/>
              <w:start w:w="120" w:type="dxa"/>
              <w:bottom w:w="100" w:type="dxa"/>
              <w:end w:w="120" w:type="dxa"/>
            </w:tcMar>
            <w:vAlign w:val="center"/>
          </w:tcPr>
          <w:p>
            <w:pPr>
              <w:spacing w:after="0" w:line="240" w:lineRule="auto"/>
            </w:pPr>
            <w:r>
              <w:rPr>
                <w:rFonts w:ascii="Aptos" w:hAnsi="Aptos"/>
                <w:b w:val="0"/>
                <w:i w:val="0"/>
                <w:color w:val="000000"/>
                <w:sz w:val="13"/>
              </w:rPr>
              <w:t>Input value is outside the closed value set or constraint.</w:t>
            </w:r>
          </w:p>
        </w:tc>
      </w:tr>
      <w:tr>
        <w:trPr>
          <w:cantSplit w:val="true"/>
        </w:trPr>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ERR-10</w:t>
            </w:r>
          </w:p>
        </w:tc>
        <w:tc>
          <w:tcPr>
            <w:tcW w:type="dxa" w:w="1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error</w:t>
            </w:r>
          </w:p>
        </w:tc>
        <w:tc>
          <w:tcPr>
            <w:tcW w:type="dxa" w:w="2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provider_roster_dependency</w:t>
            </w:r>
          </w:p>
        </w:tc>
        <w:tc>
          <w:tcPr>
            <w:tcW w:type="dxa" w:w="45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Required provider roster is unavailable or invalid.</w:t>
            </w:r>
          </w:p>
        </w:tc>
      </w:tr>
    </w:tbl>
    <w:p>
      <w:pPr>
        <w:spacing w:after="20"/>
      </w:pPr>
    </w:p>
    <w:p>
      <w:pPr>
        <w:pStyle w:val="Heading2"/>
      </w:pPr>
      <w:r>
        <w:t>9.1 Closed-object Unknown-property Rule</w:t>
      </w:r>
    </w:p>
    <w:p>
      <w:r>
        <w:rPr>
          <w:rFonts w:ascii="Aptos" w:hAnsi="Aptos"/>
          <w:b w:val="0"/>
          <w:i w:val="0"/>
          <w:sz w:val="18"/>
        </w:rPr>
        <w:t>Every input object is closed. An unexpected property SHALL return ERR-04 and SHALL never be ignored, stored as an extension, interpreted as metadata, or allowed to influence a result. error_field SHALL contain the unexpected decoded property name. If an object contains more than one unexpected property, select the name that sorts first by ascending Unicode code-point order. This rule is deterministic because JSON object member order carries no semantics.</w:t>
      </w:r>
    </w:p>
    <w:p>
      <w:pPr>
        <w:pStyle w:val="Heading2"/>
      </w:pPr>
      <w:r>
        <w:t>9.2 Total Error Precedence</w:t>
      </w:r>
    </w:p>
    <w:p>
      <w:r>
        <w:rPr>
          <w:rFonts w:ascii="Aptos" w:hAnsi="Aptos"/>
          <w:b w:val="0"/>
          <w:i w:val="0"/>
          <w:sz w:val="18"/>
        </w:rPr>
        <w:t>A conforming implementation SHALL return only the first error determined by the ordered sequence below. It SHALL stop validation at that error and SHALL NOT report, repair, default, or calculate past it.</w:t>
      </w:r>
    </w:p>
    <w:tbl>
      <w:tblPr>
        <w:tblW w:type="dxa" w:w="9360"/>
        <w:tblLayout w:type="fixed"/>
        <w:tblLook w:firstColumn="1" w:firstRow="1" w:lastColumn="0" w:lastRow="0" w:noHBand="0" w:noVBand="1" w:val="04A0"/>
        <w:tblInd w:w="120" w:type="dxa"/>
      </w:tblPr>
      <w:tblGrid>
        <w:gridCol w:w="700"/>
        <w:gridCol w:w="2700"/>
        <w:gridCol w:w="5960"/>
      </w:tblGrid>
      <w:tr>
        <w:trPr>
          <w:cantSplit w:val="true"/>
          <w:tblHeader w:val="true"/>
        </w:trPr>
        <w:tc>
          <w:tcPr>
            <w:tcW w:type="dxa" w:w="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ORDER</w:t>
            </w:r>
          </w:p>
        </w:tc>
        <w:tc>
          <w:tcPr>
            <w:tcW w:type="dxa" w:w="2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VALIDATION STAGE</w:t>
            </w:r>
          </w:p>
        </w:tc>
        <w:tc>
          <w:tcPr>
            <w:tcW w:type="dxa" w:w="59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FIRST-ERROR RULE</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Input presence</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No input object → ERR-01</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2</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JSON decoding</w:t>
            </w:r>
          </w:p>
        </w:tc>
        <w:tc>
          <w:tcPr>
            <w:tcW w:type="dxa" w:w="5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Malformed JSON is a transport/representation failure outside the analysis-result model; no CKS result object is created</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3</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Duplicate names</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First duplicate encountered by the duplicate-preserving decoder → ERR-06</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Top-level type</w:t>
            </w:r>
          </w:p>
        </w:tc>
        <w:tc>
          <w:tcPr>
            <w:tcW w:type="dxa" w:w="5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Decoded top level is not an object → ERR-02</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5</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Analysis-request property set</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Unexpected property → ERR-04; then first missing → ERR-07; then first null → ERR-08; then invalid type → ERR-03</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6</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request_type</w:t>
            </w:r>
          </w:p>
        </w:tc>
        <w:tc>
          <w:tcPr>
            <w:tcW w:type="dxa" w:w="5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Value other than calculate_burden_range → ERR-09</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7</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Requested roster version</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provider_roster_version_iri not exactly equal to the CKS-bound version → ERR-05</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8</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Questionnaire envelope</w:t>
            </w:r>
          </w:p>
        </w:tc>
        <w:tc>
          <w:tcPr>
            <w:tcW w:type="dxa" w:w="5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Property set/type rules; then specification_iri, questionnaire_status, response_model_iri, and confirmed rules → ERR-05; roster-version equality is deferred to stage 9</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9</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Cross-artifact roster compatibility</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Questionnaire roster version not exactly equal to the request-level version → ERR-05</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10</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Fixed-regimen envelope</w:t>
            </w:r>
          </w:p>
        </w:tc>
        <w:tc>
          <w:tcPr>
            <w:tcW w:type="dxa" w:w="5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Property set/type rules; then specification_iri, response_type, response_model_iri, knowledge_package_iri, status, scope, indication, and tailored flag → ERR-05</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Fixed-regimen content</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Scenario, combined-range, facility-time, and cross-field invariant failure → ERR-09</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12</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Sparse response_projection</w:t>
            </w:r>
          </w:p>
        </w:tc>
        <w:tc>
          <w:tcPr>
            <w:tcW w:type="dxa" w:w="5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Property set/type/value rules in IN-01, IN-02, IN-03, IN-04 order</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13</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Roster dependency</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Exact snapshot unavailable or snapshot identity/integrity invalid → ERR-10</w:t>
            </w:r>
          </w:p>
        </w:tc>
      </w:tr>
      <w:tr>
        <w:trPr>
          <w:cantSplit w:val="true"/>
        </w:trPr>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14</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Appendix E provider lookup</w:t>
            </w:r>
          </w:p>
        </w:tc>
        <w:tc>
          <w:tcPr>
            <w:tcW w:type="dxa" w:w="5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IN-01 not resolving to exactly one selectable mapped row → ERR-09</w:t>
            </w:r>
          </w:p>
        </w:tc>
      </w:tr>
      <w:tr>
        <w:trPr>
          <w:cantSplit w:val="true"/>
        </w:trPr>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2"/>
              </w:rPr>
              <w:t>15</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2"/>
              </w:rPr>
              <w:t>Arithmetic and result construction</w:t>
            </w:r>
          </w:p>
        </w:tc>
        <w:tc>
          <w:tcPr>
            <w:tcW w:type="dxa" w:w="5960"/>
            <w:tcMar>
              <w:top w:w="100" w:type="dxa"/>
              <w:start w:w="120" w:type="dxa"/>
              <w:bottom w:w="100" w:type="dxa"/>
              <w:end w:w="120" w:type="dxa"/>
            </w:tcMar>
            <w:vAlign w:val="center"/>
          </w:tcPr>
          <w:p>
            <w:pPr>
              <w:spacing w:after="0" w:line="240" w:lineRule="auto"/>
            </w:pPr>
            <w:r>
              <w:rPr>
                <w:rFonts w:ascii="Aptos" w:hAnsi="Aptos"/>
                <w:b w:val="0"/>
                <w:i w:val="0"/>
                <w:color w:val="000000"/>
                <w:sz w:val="12"/>
              </w:rPr>
              <w:t>Runs only after stages 1–14 succeed; other internal failures remain outside the defined input-error classes</w:t>
            </w:r>
          </w:p>
        </w:tc>
      </w:tr>
    </w:tbl>
    <w:p>
      <w:pPr>
        <w:spacing w:after="20"/>
      </w:pPr>
    </w:p>
    <w:p>
      <w:r>
        <w:rPr>
          <w:rFonts w:ascii="Aptos" w:hAnsi="Aptos"/>
          <w:b w:val="0"/>
          <w:i w:val="0"/>
          <w:sz w:val="18"/>
        </w:rPr>
        <w:t>Within every object at stages 5, 8, and 10–12, apply the same local order: duplicate names have already been resolved at stage 3; then unexpected properties (ERR-04), missing required properties (ERR-07), null required properties (ERR-08), invalid data types (ERR-03), artifact identity/status/version rules where applicable (ERR-05), and finally closed-value or numeric-constraint rules (ERR-09). At stage 8, provider_roster_version_iri is checked only as a non-null string; its exact compatibility is intentionally deferred to stage 9.</w:t>
      </w:r>
    </w:p>
    <w:tbl>
      <w:tblPr>
        <w:tblW w:type="dxa" w:w="9360"/>
        <w:tblLayout w:type="fixed"/>
        <w:tblLook w:firstColumn="1" w:firstRow="1" w:lastColumn="0" w:lastRow="0" w:noHBand="0" w:noVBand="1" w:val="04A0"/>
        <w:tblInd w:w="120" w:type="dxa"/>
      </w:tblPr>
      <w:tblGrid>
        <w:gridCol w:w="2400"/>
        <w:gridCol w:w="6960"/>
      </w:tblGrid>
      <w:tr>
        <w:trPr>
          <w:cantSplit w:val="true"/>
          <w:tblHeader w:val="true"/>
        </w:trPr>
        <w:tc>
          <w:tcPr>
            <w:tcW w:type="dxa" w:w="24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OBJECT</w:t>
            </w:r>
          </w:p>
        </w:tc>
        <w:tc>
          <w:tcPr>
            <w:tcW w:type="dxa" w:w="69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CANONICAL REQUIRED-PROPERTY ORDER</w:t>
            </w:r>
          </w:p>
        </w:tc>
      </w:tr>
      <w:tr>
        <w:trPr>
          <w:cantSplit w:val="true"/>
        </w:trPr>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2"/>
              </w:rPr>
              <w:t>analysis request</w:t>
            </w:r>
          </w:p>
        </w:tc>
        <w:tc>
          <w:tcPr>
            <w:tcW w:type="dxa" w:w="6960"/>
            <w:tcMar>
              <w:top w:w="100" w:type="dxa"/>
              <w:start w:w="120" w:type="dxa"/>
              <w:bottom w:w="100" w:type="dxa"/>
              <w:end w:w="120" w:type="dxa"/>
            </w:tcMar>
            <w:vAlign w:val="center"/>
          </w:tcPr>
          <w:p>
            <w:pPr>
              <w:spacing w:after="0" w:line="240" w:lineRule="auto"/>
            </w:pPr>
            <w:r>
              <w:rPr>
                <w:rFonts w:ascii="Aptos" w:hAnsi="Aptos"/>
                <w:b w:val="0"/>
                <w:i w:val="0"/>
                <w:color w:val="000000"/>
                <w:sz w:val="12"/>
              </w:rPr>
              <w:t>request_type; provider_roster_version_iri; questionnaire_response; fixed_regimen_range_response</w:t>
            </w:r>
          </w:p>
        </w:tc>
      </w:tr>
      <w:tr>
        <w:trPr>
          <w:cantSplit w:val="true"/>
        </w:trPr>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questionnaire_response</w:t>
            </w:r>
          </w:p>
        </w:tc>
        <w:tc>
          <w:tcPr>
            <w:tcW w:type="dxa" w:w="6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specification_iri; questionnaire_status; response_model_iri; provider_roster_version_iri; response_projection; confirmed</w:t>
            </w:r>
          </w:p>
        </w:tc>
      </w:tr>
      <w:tr>
        <w:trPr>
          <w:cantSplit w:val="true"/>
        </w:trPr>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2"/>
              </w:rPr>
              <w:t>fixed_regimen_range_response</w:t>
            </w:r>
          </w:p>
        </w:tc>
        <w:tc>
          <w:tcPr>
            <w:tcW w:type="dxa" w:w="6960"/>
            <w:tcMar>
              <w:top w:w="100" w:type="dxa"/>
              <w:start w:w="120" w:type="dxa"/>
              <w:bottom w:w="100" w:type="dxa"/>
              <w:end w:w="120" w:type="dxa"/>
            </w:tcMar>
            <w:vAlign w:val="center"/>
          </w:tcPr>
          <w:p>
            <w:pPr>
              <w:spacing w:after="0" w:line="240" w:lineRule="auto"/>
            </w:pPr>
            <w:r>
              <w:rPr>
                <w:rFonts w:ascii="Aptos" w:hAnsi="Aptos"/>
                <w:b w:val="0"/>
                <w:i w:val="0"/>
                <w:color w:val="000000"/>
                <w:sz w:val="12"/>
              </w:rPr>
              <w:t>specification_iri; response_type; response_model_iri; status; knowledge_package_iri; knowledge_scope; indication; shorter_regimen_scenario; longer_regimen_scenario; combined_range; scheduled_facility_hours_per_episode; tailored_to_patient; display_label</w:t>
            </w:r>
          </w:p>
        </w:tc>
      </w:tr>
      <w:tr>
        <w:trPr>
          <w:cantSplit w:val="true"/>
        </w:trPr>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response_projection</w:t>
            </w:r>
          </w:p>
        </w:tc>
        <w:tc>
          <w:tcPr>
            <w:tcW w:type="dxa" w:w="69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IN-01 hyperbaric_oxygen_therapy_location; IN-02 one_way_miles; IN-03 one_way_travel_minutes; IN-04 weekday_attendance_difficulty</w:t>
            </w:r>
          </w:p>
        </w:tc>
      </w:tr>
    </w:tbl>
    <w:p>
      <w:pPr>
        <w:spacing w:after="20"/>
      </w:pPr>
    </w:p>
    <w:p>
      <w:pPr>
        <w:pStyle w:val="Heading2"/>
      </w:pPr>
      <w:r>
        <w:t>9.3 No Silent Defaults</w:t>
      </w:r>
    </w:p>
    <w:p>
      <w:r>
        <w:rPr>
          <w:rFonts w:ascii="Aptos" w:hAnsi="Aptos"/>
          <w:b w:val="0"/>
          <w:i w:val="0"/>
          <w:sz w:val="18"/>
        </w:rPr>
        <w:t>No missing sparse-model input may be defaulted. Zero SHALL be accepted only as an explicitly supplied numeric value. General regimen knowledge may be used only under Section 2 and SHALL be disclosed.</w:t>
      </w:r>
    </w:p>
    <w:p>
      <w:pPr>
        <w:pStyle w:val="Heading2"/>
      </w:pPr>
      <w:r>
        <w:t>9.4 Provider-roster and Location-IRI Failure</w:t>
      </w:r>
    </w:p>
    <w:p>
      <w:r>
        <w:rPr>
          <w:rFonts w:ascii="Aptos" w:hAnsi="Aptos"/>
          <w:b w:val="0"/>
          <w:i w:val="0"/>
          <w:sz w:val="18"/>
        </w:rPr>
        <w:t>Roster failures SHALL be classified without fallback. First, if analysis_request.provider_roster_version_iri does not exactly equal the CKS-bound immutable version, return ERR-05 with error_field=provider_roster_version_iri. Second, if the questionnaire version does not exactly equal the request version, return ERR-05 with error_field=questionnaire_response.provider_roster_version_iri. Third, if those metadata values are compatible but the exact snapshot cannot be loaded, declares another version, contains a duplicate provider mapping, violates a record-IRI mapping, or has stored selectability inconsistent with Appendix E, return ERR-10 with error_field=provider_roster_dependency. Finally, with a valid dependency, an IN-01 that is absent, nonunique, nonselectable, retired, or inconsistent with its record returns ERR-09 with error_field=IN-01. The engine SHALL NOT substitute another provider, follow a successor relation, cross roster versions, interpret E-### as input, or search for a nearest location.</w:t>
      </w:r>
    </w:p>
    <w:p>
      <w:pPr>
        <w:pStyle w:val="Heading2"/>
      </w:pPr>
      <w:r>
        <w:t>9.5 Questionnaire Noncompletion</w:t>
      </w:r>
    </w:p>
    <w:p>
      <w:r>
        <w:rPr>
          <w:rFonts w:ascii="Aptos" w:hAnsi="Aptos"/>
          <w:b w:val="0"/>
          <w:i w:val="0"/>
          <w:sz w:val="18"/>
        </w:rPr>
        <w:t>An invalid answer during an active questionnaire SHALL block state advancement and present specific corrective guidance. It SHALL NOT create an analysis-result error object because Burden Response Analysis has not been invoked. Abandonment, refusal to confirm, and an incomplete review are questionnaire noncompletion outcomes; they produce no registered response projection and no burden result.</w:t>
      </w:r>
    </w:p>
    <w:p>
      <w:pPr>
        <w:pStyle w:val="Heading1"/>
      </w:pPr>
      <w:r>
        <w:t>10. Normative Safeguards</w:t>
      </w:r>
    </w:p>
    <w:p>
      <w:pPr>
        <w:pStyle w:val="ListBullet"/>
        <w:spacing w:after="20"/>
      </w:pPr>
      <w:r>
        <w:rPr>
          <w:rFonts w:ascii="Aptos" w:hAnsi="Aptos"/>
          <w:b w:val="0"/>
          <w:i w:val="0"/>
          <w:sz w:val="18"/>
        </w:rPr>
        <w:t>The implementation SHALL state that the estimate concerns execution burden, not clinical benefit or eligibility.</w:t>
      </w:r>
    </w:p>
    <w:p>
      <w:pPr>
        <w:pStyle w:val="ListBullet"/>
        <w:spacing w:after="20"/>
      </w:pPr>
      <w:r>
        <w:rPr>
          <w:rFonts w:ascii="Aptos" w:hAnsi="Aptos"/>
          <w:b w:val="0"/>
          <w:i w:val="0"/>
          <w:sz w:val="18"/>
        </w:rPr>
        <w:t>The implementation SHALL state that the capability is limited to a contemplated HBOT course for a confirmed diabetes-related foot ulcer and SHALL reject or prevent use for another HBOT indication.</w:t>
      </w:r>
    </w:p>
    <w:p>
      <w:pPr>
        <w:pStyle w:val="ListBullet"/>
        <w:spacing w:after="20"/>
      </w:pPr>
      <w:r>
        <w:rPr>
          <w:rFonts w:ascii="Aptos" w:hAnsi="Aptos"/>
          <w:b w:val="0"/>
          <w:i w:val="0"/>
          <w:sz w:val="18"/>
        </w:rPr>
        <w:t>The implementation SHALL label the regimen as general knowledge, show the exact bound knowledge-package IRI and provenance, and state that the regimen was not computed for the patient.</w:t>
      </w:r>
    </w:p>
    <w:p>
      <w:pPr>
        <w:pStyle w:val="ListBullet"/>
        <w:spacing w:after="20"/>
      </w:pPr>
      <w:r>
        <w:rPr>
          <w:rFonts w:ascii="Aptos" w:hAnsi="Aptos"/>
          <w:b w:val="0"/>
          <w:i w:val="0"/>
          <w:sz w:val="18"/>
        </w:rPr>
        <w:t>The implementation SHALL NOT display the general regimen as an individualized prescription, recommendation, selected dose, or patient-specific course.</w:t>
      </w:r>
    </w:p>
    <w:p>
      <w:pPr>
        <w:pStyle w:val="ListBullet"/>
        <w:spacing w:after="20"/>
      </w:pPr>
      <w:r>
        <w:rPr>
          <w:rFonts w:ascii="Aptos" w:hAnsi="Aptos"/>
          <w:b w:val="0"/>
          <w:i w:val="0"/>
          <w:sz w:val="18"/>
        </w:rPr>
        <w:t>The implementation SHALL allow the user to inspect and confirm the selected hyperbaric oxygen therapy location and the reported one-way miles and minutes used.</w:t>
      </w:r>
    </w:p>
    <w:p>
      <w:pPr>
        <w:pStyle w:val="ListBullet"/>
        <w:spacing w:after="20"/>
      </w:pPr>
      <w:r>
        <w:rPr>
          <w:rFonts w:ascii="Aptos" w:hAnsi="Aptos"/>
          <w:b w:val="0"/>
          <w:i w:val="0"/>
          <w:sz w:val="18"/>
        </w:rPr>
        <w:t>The implementation SHALL NOT use Execution Burden Level to deny treatment, determine coverage, predict adherence, predict treatment failure or noncompletion, or imply patient unwillingness.</w:t>
      </w:r>
    </w:p>
    <w:p>
      <w:pPr>
        <w:pStyle w:val="ListBullet"/>
        <w:spacing w:after="20"/>
      </w:pPr>
      <w:r>
        <w:rPr>
          <w:rFonts w:ascii="Aptos" w:hAnsi="Aptos"/>
          <w:b w:val="0"/>
          <w:i w:val="0"/>
          <w:sz w:val="18"/>
        </w:rPr>
        <w:t>Extreme execution burden SHALL identify only the highest burden combinations in this model; it SHALL NOT assert futility, inability to complete treatment, a specific personal barrier, or a required support.</w:t>
      </w:r>
    </w:p>
    <w:p>
      <w:pPr>
        <w:pStyle w:val="ListBullet"/>
        <w:spacing w:after="20"/>
      </w:pPr>
      <w:r>
        <w:rPr>
          <w:rFonts w:ascii="Aptos" w:hAnsi="Aptos"/>
          <w:b w:val="0"/>
          <w:i w:val="0"/>
          <w:sz w:val="18"/>
        </w:rPr>
        <w:t>A user-facing implementation SHALL support correction of hyperbaric oxygen therapy location, one-way miles, one-way minutes, and attendance-difficulty inputs.</w:t>
      </w:r>
    </w:p>
    <w:p>
      <w:pPr>
        <w:pStyle w:val="ListBullet"/>
        <w:spacing w:after="20"/>
      </w:pPr>
      <w:r>
        <w:rPr>
          <w:rFonts w:ascii="Aptos" w:hAnsi="Aptos"/>
          <w:b w:val="0"/>
          <w:i w:val="0"/>
          <w:sz w:val="18"/>
        </w:rPr>
        <w:t>A production implementation SHALL apply appropriate privacy, security, retention, and audit controls to patient-reported travel data.</w:t>
      </w:r>
    </w:p>
    <w:p>
      <w:pPr>
        <w:pStyle w:val="ListBullet"/>
        <w:spacing w:after="20"/>
      </w:pPr>
      <w:r>
        <w:rPr>
          <w:rFonts w:ascii="Aptos" w:hAnsi="Aptos"/>
          <w:b w:val="0"/>
          <w:i w:val="0"/>
          <w:sz w:val="18"/>
        </w:rPr>
        <w:t>Input fingerprints and result-instance audit records SHALL be treated as potentially linkable sensitive metadata, protected under the same access, retention, disclosure, and deletion controls as the underlying analysis record. A hash SHALL NOT be treated as anonymization.</w:t>
      </w:r>
    </w:p>
    <w:p>
      <w:pPr>
        <w:pStyle w:val="Heading1"/>
      </w:pPr>
      <w:r>
        <w:t>11. Conformance</w:t>
      </w:r>
    </w:p>
    <w:p>
      <w:pPr>
        <w:pStyle w:val="Heading2"/>
      </w:pPr>
      <w:r>
        <w:t>11.1 Normative Language</w:t>
      </w:r>
    </w:p>
    <w:p>
      <w:r>
        <w:rPr>
          <w:rFonts w:ascii="Aptos" w:hAnsi="Aptos"/>
          <w:b w:val="0"/>
          <w:i w:val="0"/>
          <w:sz w:val="18"/>
        </w:rPr>
        <w:t>SHALL and SHALL NOT express mandatory requirements; SHOULD and SHOULD NOT express recommendations; MAY expresses permission. Examples are informative unless expressly labeled normative.</w:t>
      </w:r>
    </w:p>
    <w:p>
      <w:pPr>
        <w:pStyle w:val="Heading2"/>
      </w:pPr>
      <w:r>
        <w:t>11.2 Normative Precedence</w:t>
      </w:r>
    </w:p>
    <w:p>
      <w:pPr>
        <w:pStyle w:val="ListNumber"/>
        <w:numPr>
          <w:ilvl w:val="0"/>
          <w:numId w:val="21"/>
        </w:numPr>
        <w:spacing w:after="20"/>
      </w:pPr>
      <w:r>
        <w:rPr>
          <w:rFonts w:ascii="Aptos" w:hAnsi="Aptos"/>
          <w:b w:val="0"/>
          <w:i w:val="0"/>
          <w:sz w:val="18"/>
        </w:rPr>
        <w:t>Input, validation, derivation, and unified-result contracts.</w:t>
      </w:r>
    </w:p>
    <w:p>
      <w:pPr>
        <w:pStyle w:val="ListNumber"/>
        <w:numPr>
          <w:ilvl w:val="0"/>
          <w:numId w:val="21"/>
        </w:numPr>
        <w:spacing w:after="20"/>
      </w:pPr>
      <w:r>
        <w:rPr>
          <w:rFonts w:ascii="Aptos" w:hAnsi="Aptos"/>
          <w:b w:val="0"/>
          <w:i w:val="0"/>
          <w:sz w:val="18"/>
        </w:rPr>
        <w:t>Normative formulas and three-part output decision rules.</w:t>
      </w:r>
    </w:p>
    <w:p>
      <w:pPr>
        <w:pStyle w:val="ListNumber"/>
        <w:numPr>
          <w:ilvl w:val="0"/>
          <w:numId w:val="21"/>
        </w:numPr>
        <w:spacing w:after="20"/>
      </w:pPr>
      <w:r>
        <w:rPr>
          <w:rFonts w:ascii="Aptos" w:hAnsi="Aptos"/>
          <w:b w:val="0"/>
          <w:i w:val="0"/>
          <w:sz w:val="18"/>
        </w:rPr>
        <w:t>Error mappings.</w:t>
      </w:r>
    </w:p>
    <w:p>
      <w:pPr>
        <w:pStyle w:val="ListNumber"/>
        <w:numPr>
          <w:ilvl w:val="0"/>
          <w:numId w:val="21"/>
        </w:numPr>
        <w:spacing w:after="20"/>
      </w:pPr>
      <w:r>
        <w:rPr>
          <w:rFonts w:ascii="Aptos" w:hAnsi="Aptos"/>
          <w:b w:val="0"/>
          <w:i w:val="0"/>
          <w:sz w:val="18"/>
        </w:rPr>
        <w:t>Clinical and operational safeguards.</w:t>
      </w:r>
    </w:p>
    <w:p>
      <w:pPr>
        <w:pStyle w:val="ListNumber"/>
        <w:numPr>
          <w:ilvl w:val="0"/>
          <w:numId w:val="21"/>
        </w:numPr>
        <w:spacing w:after="20"/>
      </w:pPr>
      <w:r>
        <w:rPr>
          <w:rFonts w:ascii="Aptos" w:hAnsi="Aptos"/>
          <w:b w:val="0"/>
          <w:i w:val="0"/>
          <w:sz w:val="18"/>
        </w:rPr>
        <w:t>Canonical conformance tests.</w:t>
      </w:r>
    </w:p>
    <w:p>
      <w:pPr>
        <w:pStyle w:val="ListNumber"/>
        <w:numPr>
          <w:ilvl w:val="0"/>
          <w:numId w:val="21"/>
        </w:numPr>
        <w:spacing w:after="20"/>
      </w:pPr>
      <w:r>
        <w:rPr>
          <w:rFonts w:ascii="Aptos" w:hAnsi="Aptos"/>
          <w:b w:val="0"/>
          <w:i w:val="0"/>
          <w:sz w:val="18"/>
        </w:rPr>
        <w:t>Examples and explanatory prose.</w:t>
      </w:r>
    </w:p>
    <w:p>
      <w:pPr>
        <w:pStyle w:val="Heading2"/>
      </w:pPr>
      <w:r>
        <w:t>11.3 Minimum Requirements for a Version 1.0 Conformance Claim</w:t>
      </w:r>
    </w:p>
    <w:p>
      <w:pPr>
        <w:pStyle w:val="ListNumber"/>
        <w:numPr>
          <w:ilvl w:val="0"/>
          <w:numId w:val="22"/>
        </w:numPr>
        <w:spacing w:after="20"/>
      </w:pPr>
      <w:r>
        <w:rPr>
          <w:rFonts w:ascii="Aptos" w:hAnsi="Aptos"/>
          <w:b w:val="0"/>
          <w:i w:val="0"/>
          <w:sz w:val="18"/>
        </w:rPr>
        <w:t>Identify this exact Version 1.0 specification and state that conformance is not clinical validation, organizational endorsement, or authorization for clinical or production use.</w:t>
      </w:r>
    </w:p>
    <w:p>
      <w:pPr>
        <w:pStyle w:val="ListNumber"/>
        <w:numPr>
          <w:ilvl w:val="0"/>
          <w:numId w:val="22"/>
        </w:numPr>
        <w:spacing w:after="20"/>
      </w:pPr>
      <w:r>
        <w:rPr>
          <w:rFonts w:ascii="Aptos" w:hAnsi="Aptos"/>
          <w:b w:val="0"/>
          <w:i w:val="0"/>
          <w:sz w:val="18"/>
        </w:rPr>
        <w:t>Declare exactly one Section 11.5 conformance profile.</w:t>
      </w:r>
    </w:p>
    <w:p>
      <w:pPr>
        <w:pStyle w:val="ListNumber"/>
        <w:numPr>
          <w:ilvl w:val="0"/>
          <w:numId w:val="22"/>
        </w:numPr>
        <w:spacing w:after="20"/>
      </w:pPr>
      <w:r>
        <w:rPr>
          <w:rFonts w:ascii="Aptos" w:hAnsi="Aptos"/>
          <w:b w:val="0"/>
          <w:i w:val="0"/>
          <w:sz w:val="18"/>
        </w:rPr>
        <w:t>For Questionnaire Logic, implement Q01 through Q04, the normative state model, correction, abandonment, review, and confirmation behavior.</w:t>
      </w:r>
    </w:p>
    <w:p>
      <w:pPr>
        <w:pStyle w:val="ListNumber"/>
        <w:numPr>
          <w:ilvl w:val="0"/>
          <w:numId w:val="22"/>
        </w:numPr>
        <w:spacing w:after="20"/>
      </w:pPr>
      <w:r>
        <w:rPr>
          <w:rFonts w:ascii="Aptos" w:hAnsi="Aptos"/>
          <w:b w:val="0"/>
          <w:i w:val="0"/>
          <w:sz w:val="18"/>
        </w:rPr>
        <w:t>For Regimen Range, implement the exact Section 3 request, computationally complete Fixed Regimen Range Response, and all Section 3.3 invariants.</w:t>
      </w:r>
    </w:p>
    <w:p>
      <w:pPr>
        <w:pStyle w:val="ListNumber"/>
        <w:numPr>
          <w:ilvl w:val="0"/>
          <w:numId w:val="22"/>
        </w:numPr>
        <w:spacing w:after="20"/>
      </w:pPr>
      <w:r>
        <w:rPr>
          <w:rFonts w:ascii="Aptos" w:hAnsi="Aptos"/>
          <w:b w:val="0"/>
          <w:i w:val="0"/>
          <w:sz w:val="18"/>
        </w:rPr>
        <w:t>For Burden Response Analysis, implement the single Section 5.1 combined analysis request and preserve complete-object validation order.</w:t>
      </w:r>
    </w:p>
    <w:p>
      <w:pPr>
        <w:pStyle w:val="ListNumber"/>
        <w:numPr>
          <w:ilvl w:val="0"/>
          <w:numId w:val="22"/>
        </w:numPr>
        <w:spacing w:after="20"/>
      </w:pPr>
      <w:r>
        <w:rPr>
          <w:rFonts w:ascii="Aptos" w:hAnsi="Aptos"/>
          <w:b w:val="0"/>
          <w:i w:val="0"/>
          <w:sz w:val="18"/>
        </w:rPr>
        <w:t>Use exactly IN-01 through IN-04 as the sole registered response projection and analytical patient input model.</w:t>
      </w:r>
    </w:p>
    <w:p>
      <w:pPr>
        <w:pStyle w:val="ListNumber"/>
        <w:numPr>
          <w:ilvl w:val="0"/>
          <w:numId w:val="22"/>
        </w:numPr>
        <w:spacing w:after="20"/>
      </w:pPr>
      <w:r>
        <w:rPr>
          <w:rFonts w:ascii="Aptos" w:hAnsi="Aptos"/>
          <w:b w:val="0"/>
          <w:i w:val="0"/>
          <w:sz w:val="18"/>
        </w:rPr>
        <w:t>Validate the included General DFU Regimen Knowledge Package and its Fixed Regimen Range Response before analysis.</w:t>
      </w:r>
    </w:p>
    <w:p>
      <w:pPr>
        <w:pStyle w:val="ListNumber"/>
        <w:numPr>
          <w:ilvl w:val="0"/>
          <w:numId w:val="22"/>
        </w:numPr>
        <w:spacing w:after="20"/>
      </w:pPr>
      <w:r>
        <w:rPr>
          <w:rFonts w:ascii="Aptos" w:hAnsi="Aptos"/>
          <w:b w:val="0"/>
          <w:i w:val="0"/>
          <w:sz w:val="18"/>
        </w:rPr>
        <w:t>Demonstrate that patient inputs cannot enter duration, select a scenario, or calculate or modify any regimen value.</w:t>
      </w:r>
    </w:p>
    <w:p>
      <w:pPr>
        <w:pStyle w:val="ListNumber"/>
        <w:numPr>
          <w:ilvl w:val="0"/>
          <w:numId w:val="22"/>
        </w:numPr>
        <w:spacing w:after="20"/>
      </w:pPr>
      <w:r>
        <w:rPr>
          <w:rFonts w:ascii="Aptos" w:hAnsi="Aptos"/>
          <w:b w:val="0"/>
          <w:i w:val="0"/>
          <w:sz w:val="18"/>
        </w:rPr>
        <w:t>Resolve the selected hyperbaric oxygen therapy location only by exact provider IRI in the bound Appendix E roster version and reproduce the reported travel values.</w:t>
      </w:r>
    </w:p>
    <w:p>
      <w:pPr>
        <w:pStyle w:val="ListNumber"/>
        <w:numPr>
          <w:ilvl w:val="0"/>
          <w:numId w:val="22"/>
        </w:numPr>
        <w:spacing w:after="20"/>
      </w:pPr>
      <w:r>
        <w:rPr>
          <w:rFonts w:ascii="Aptos" w:hAnsi="Aptos"/>
          <w:b w:val="0"/>
          <w:i w:val="0"/>
          <w:sz w:val="18"/>
        </w:rPr>
        <w:t>Apply Section 6 arithmetic and construct the three Section 7 outputs exactly.</w:t>
      </w:r>
    </w:p>
    <w:p>
      <w:pPr>
        <w:pStyle w:val="ListNumber"/>
        <w:numPr>
          <w:ilvl w:val="0"/>
          <w:numId w:val="22"/>
        </w:numPr>
        <w:spacing w:after="20"/>
      </w:pPr>
      <w:r>
        <w:rPr>
          <w:rFonts w:ascii="Aptos" w:hAnsi="Aptos"/>
          <w:b w:val="0"/>
          <w:i w:val="0"/>
          <w:sz w:val="18"/>
        </w:rPr>
        <w:t>Return one complete Section 8 analysis-result object for every covered analytical invocation.</w:t>
      </w:r>
    </w:p>
    <w:p>
      <w:pPr>
        <w:pStyle w:val="ListNumber"/>
        <w:numPr>
          <w:ilvl w:val="0"/>
          <w:numId w:val="22"/>
        </w:numPr>
        <w:spacing w:after="20"/>
      </w:pPr>
      <w:r>
        <w:rPr>
          <w:rFonts w:ascii="Aptos" w:hAnsi="Aptos"/>
          <w:b w:val="0"/>
          <w:i w:val="0"/>
          <w:sz w:val="18"/>
        </w:rPr>
        <w:t>Satisfy PRES-01 through PRES-08 for every claimed human-readable presentation.</w:t>
      </w:r>
    </w:p>
    <w:p>
      <w:pPr>
        <w:pStyle w:val="ListNumber"/>
        <w:numPr>
          <w:ilvl w:val="0"/>
          <w:numId w:val="22"/>
        </w:numPr>
        <w:spacing w:after="20"/>
      </w:pPr>
      <w:r>
        <w:rPr>
          <w:rFonts w:ascii="Aptos" w:hAnsi="Aptos"/>
          <w:b w:val="0"/>
          <w:i w:val="0"/>
          <w:sz w:val="18"/>
        </w:rPr>
        <w:t>Pass every applicable Appendix C test.</w:t>
      </w:r>
    </w:p>
    <w:p>
      <w:pPr>
        <w:pStyle w:val="ListNumber"/>
        <w:numPr>
          <w:ilvl w:val="0"/>
          <w:numId w:val="22"/>
        </w:numPr>
        <w:spacing w:after="20"/>
      </w:pPr>
      <w:r>
        <w:rPr>
          <w:rFonts w:ascii="Aptos" w:hAnsi="Aptos"/>
          <w:b w:val="0"/>
          <w:i w:val="0"/>
          <w:sz w:val="18"/>
        </w:rPr>
        <w:t>Uphold Section 10 safeguards in observable user-facing behavior.</w:t>
      </w:r>
    </w:p>
    <w:p>
      <w:pPr>
        <w:pStyle w:val="Heading2"/>
      </w:pPr>
      <w:r>
        <w:t>11.4 Prohibited Transformations</w:t>
      </w:r>
    </w:p>
    <w:p>
      <w:pPr>
        <w:pStyle w:val="ListBullet"/>
        <w:spacing w:after="20"/>
      </w:pPr>
      <w:r>
        <w:rPr>
          <w:rFonts w:ascii="Aptos" w:hAnsi="Aptos"/>
          <w:b w:val="0"/>
          <w:i w:val="0"/>
          <w:sz w:val="18"/>
        </w:rPr>
        <w:t>Soliciting, accepting as meaningful, or scoring any patient input outside IN-01 through IN-04.</w:t>
      </w:r>
    </w:p>
    <w:p>
      <w:pPr>
        <w:pStyle w:val="ListBullet"/>
        <w:spacing w:after="20"/>
      </w:pPr>
      <w:r>
        <w:rPr>
          <w:rFonts w:ascii="Aptos" w:hAnsi="Aptos"/>
          <w:b w:val="0"/>
          <w:i w:val="0"/>
          <w:sz w:val="18"/>
        </w:rPr>
        <w:t>Accepting regimen values or regimen-selection clinical variables as patient inputs.</w:t>
      </w:r>
    </w:p>
    <w:p>
      <w:pPr>
        <w:pStyle w:val="ListBullet"/>
        <w:spacing w:after="20"/>
      </w:pPr>
      <w:r>
        <w:rPr>
          <w:rFonts w:ascii="Aptos" w:hAnsi="Aptos"/>
          <w:b w:val="0"/>
          <w:i w:val="0"/>
          <w:sz w:val="18"/>
        </w:rPr>
        <w:t>Changing any bound regimen value during or because of a patient invocation.</w:t>
      </w:r>
    </w:p>
    <w:p>
      <w:pPr>
        <w:pStyle w:val="ListBullet"/>
        <w:spacing w:after="20"/>
      </w:pPr>
      <w:r>
        <w:rPr>
          <w:rFonts w:ascii="Aptos" w:hAnsi="Aptos"/>
          <w:b w:val="0"/>
          <w:i w:val="0"/>
          <w:sz w:val="18"/>
        </w:rPr>
        <w:t>Accepting a patient-entered regimen duration, episode count, or shorter-versus-longer selection.</w:t>
      </w:r>
    </w:p>
    <w:p>
      <w:pPr>
        <w:pStyle w:val="ListBullet"/>
        <w:spacing w:after="20"/>
      </w:pPr>
      <w:r>
        <w:rPr>
          <w:rFonts w:ascii="Aptos" w:hAnsi="Aptos"/>
          <w:b w:val="0"/>
          <w:i w:val="0"/>
          <w:sz w:val="18"/>
        </w:rPr>
        <w:t>Returning only one regimen scenario or describing either scenario as selected or recommended for the patient.</w:t>
      </w:r>
    </w:p>
    <w:p>
      <w:pPr>
        <w:pStyle w:val="ListBullet"/>
        <w:spacing w:after="20"/>
      </w:pPr>
      <w:r>
        <w:rPr>
          <w:rFonts w:ascii="Aptos" w:hAnsi="Aptos"/>
          <w:b w:val="0"/>
          <w:i w:val="0"/>
          <w:sz w:val="18"/>
        </w:rPr>
        <w:t>Classifying travel using displayed rounded values rather than unrounded values.</w:t>
      </w:r>
    </w:p>
    <w:p>
      <w:pPr>
        <w:pStyle w:val="ListBullet"/>
        <w:spacing w:after="20"/>
      </w:pPr>
      <w:r>
        <w:rPr>
          <w:rFonts w:ascii="Aptos" w:hAnsi="Aptos"/>
          <w:b w:val="0"/>
          <w:i w:val="0"/>
          <w:sz w:val="18"/>
        </w:rPr>
        <w:t>Inferring miles from minutes, minutes from miles, or either value from a speed assumption.</w:t>
      </w:r>
    </w:p>
    <w:p>
      <w:pPr>
        <w:pStyle w:val="ListBullet"/>
        <w:spacing w:after="20"/>
      </w:pPr>
      <w:r>
        <w:rPr>
          <w:rFonts w:ascii="Aptos" w:hAnsi="Aptos"/>
          <w:b w:val="0"/>
          <w:i w:val="0"/>
          <w:sz w:val="18"/>
        </w:rPr>
        <w:t>Calling a geocoding, mapping, or routing service as part of the conformant engine.</w:t>
      </w:r>
    </w:p>
    <w:p>
      <w:pPr>
        <w:pStyle w:val="ListBullet"/>
        <w:spacing w:after="20"/>
      </w:pPr>
      <w:r>
        <w:rPr>
          <w:rFonts w:ascii="Aptos" w:hAnsi="Aptos"/>
          <w:b w:val="0"/>
          <w:i w:val="0"/>
          <w:sz w:val="18"/>
        </w:rPr>
        <w:t>Registering or analyzing a questionnaire response before explicit end-user confirmation.</w:t>
      </w:r>
    </w:p>
    <w:p>
      <w:pPr>
        <w:pStyle w:val="ListBullet"/>
        <w:spacing w:after="20"/>
      </w:pPr>
      <w:r>
        <w:rPr>
          <w:rFonts w:ascii="Aptos" w:hAnsi="Aptos"/>
          <w:b w:val="0"/>
          <w:i w:val="0"/>
          <w:sz w:val="18"/>
        </w:rPr>
        <w:t>Adding state/jurisdiction filtering, entered-by role, timestamps, or other workflow metadata to the four-field patient response projection.</w:t>
      </w:r>
    </w:p>
    <w:p>
      <w:pPr>
        <w:pStyle w:val="ListBullet"/>
        <w:spacing w:after="20"/>
      </w:pPr>
      <w:r>
        <w:rPr>
          <w:rFonts w:ascii="Aptos" w:hAnsi="Aptos"/>
          <w:b w:val="0"/>
          <w:i w:val="0"/>
          <w:sz w:val="18"/>
        </w:rPr>
        <w:t>Using execution_burden_level as a clinical recommendation, treatment-failure or noncompletion prediction, adherence prediction, or coverage decision.</w:t>
      </w:r>
    </w:p>
    <w:p>
      <w:pPr>
        <w:pStyle w:val="ListBullet"/>
        <w:spacing w:after="20"/>
      </w:pPr>
      <w:r>
        <w:rPr>
          <w:rFonts w:ascii="Aptos" w:hAnsi="Aptos"/>
          <w:b w:val="0"/>
          <w:i w:val="0"/>
          <w:sz w:val="18"/>
        </w:rPr>
        <w:t>Presenting reported weekday-attendance feasibility as inferred personal barriers.</w:t>
      </w:r>
    </w:p>
    <w:p>
      <w:pPr>
        <w:pStyle w:val="ListBullet"/>
        <w:spacing w:after="20"/>
      </w:pPr>
      <w:r>
        <w:rPr>
          <w:rFonts w:ascii="Aptos" w:hAnsi="Aptos"/>
          <w:b w:val="0"/>
          <w:i w:val="0"/>
          <w:sz w:val="18"/>
        </w:rPr>
        <w:t>Hiding a regimen endpoint, unit, scope qualifier, or required disclaimer through presentation transformation.</w:t>
      </w:r>
    </w:p>
    <w:p>
      <w:pPr>
        <w:pStyle w:val="ListBullet"/>
        <w:spacing w:after="20"/>
      </w:pPr>
      <w:r>
        <w:rPr>
          <w:rFonts w:ascii="Aptos" w:hAnsi="Aptos"/>
          <w:b w:val="0"/>
          <w:i w:val="0"/>
          <w:sz w:val="18"/>
        </w:rPr>
        <w:t>Recalculating or rerounding serialized burden values for display.</w:t>
      </w:r>
    </w:p>
    <w:p>
      <w:pPr>
        <w:pStyle w:val="ListBullet"/>
        <w:spacing w:after="20"/>
      </w:pPr>
      <w:r>
        <w:rPr>
          <w:rFonts w:ascii="Aptos" w:hAnsi="Aptos"/>
          <w:b w:val="0"/>
          <w:i w:val="0"/>
          <w:sz w:val="18"/>
        </w:rPr>
        <w:t>Adding financial, wage, caregiver, or outcome estimates to the conformance claim.</w:t>
      </w:r>
    </w:p>
    <w:p>
      <w:pPr>
        <w:pStyle w:val="Heading2"/>
      </w:pPr>
      <w:r>
        <w:t>11.5 Conformance Profiles</w:t>
      </w:r>
    </w:p>
    <w:tbl>
      <w:tblPr>
        <w:tblW w:type="dxa" w:w="9360"/>
        <w:tblLayout w:type="fixed"/>
        <w:tblLook w:firstColumn="1" w:firstRow="1" w:lastColumn="0" w:lastRow="0" w:noHBand="0" w:noVBand="1" w:val="04A0"/>
        <w:tblInd w:w="120" w:type="dxa"/>
      </w:tblPr>
      <w:tblGrid>
        <w:gridCol w:w="3200"/>
        <w:gridCol w:w="6160"/>
      </w:tblGrid>
      <w:tr>
        <w:trPr>
          <w:cantSplit w:val="true"/>
          <w:tblHeader w:val="true"/>
        </w:trPr>
        <w:tc>
          <w:tcPr>
            <w:tcW w:type="dxa" w:w="320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PROFILE</w:t>
            </w:r>
          </w:p>
        </w:tc>
        <w:tc>
          <w:tcPr>
            <w:tcW w:type="dxa" w:w="6160"/>
            <w:tcMar>
              <w:top w:w="100" w:type="dxa"/>
              <w:start w:w="120" w:type="dxa"/>
              <w:bottom w:w="100" w:type="dxa"/>
              <w:end w:w="120" w:type="dxa"/>
            </w:tcMar>
            <w:vAlign w:val="center"/>
            <w:shd w:fill="174F78"/>
          </w:tcPr>
          <w:p>
            <w:pPr>
              <w:spacing w:after="0" w:line="240" w:lineRule="auto"/>
            </w:pPr>
            <w:r>
              <w:rPr>
                <w:rFonts w:ascii="Aptos" w:hAnsi="Aptos"/>
                <w:b/>
                <w:i w:val="0"/>
                <w:color w:val="FFFFFF"/>
                <w:sz w:val="14"/>
              </w:rPr>
              <w:t>REQUIRED SCOPE</w:t>
            </w:r>
          </w:p>
        </w:tc>
      </w:tr>
      <w:tr>
        <w:trPr>
          <w:cantSplit w:val="true"/>
        </w:trPr>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4"/>
              </w:rPr>
              <w:t>Regimen Range IR</w:t>
            </w:r>
          </w:p>
        </w:tc>
        <w:tc>
          <w:tcPr>
            <w:tcW w:type="dxa" w:w="6160"/>
            <w:tcMar>
              <w:top w:w="100" w:type="dxa"/>
              <w:start w:w="120" w:type="dxa"/>
              <w:bottom w:w="100" w:type="dxa"/>
              <w:end w:w="120" w:type="dxa"/>
            </w:tcMar>
            <w:vAlign w:val="center"/>
          </w:tcPr>
          <w:p>
            <w:pPr>
              <w:spacing w:after="0" w:line="240" w:lineRule="auto"/>
            </w:pPr>
            <w:r>
              <w:rPr>
                <w:rFonts w:ascii="Aptos" w:hAnsi="Aptos"/>
                <w:b w:val="0"/>
                <w:i w:val="0"/>
                <w:color w:val="000000"/>
                <w:sz w:val="14"/>
              </w:rPr>
              <w:t>Sections 2–3 knowledge validation, exact request, computationally complete fixed response, facility-time assumption, invariants, Section 8.6 presentation, and non-tailoring rules</w:t>
            </w:r>
          </w:p>
        </w:tc>
      </w:tr>
      <w:tr>
        <w:trPr>
          <w:cantSplit w:val="true"/>
        </w:trPr>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Burden Questionnaire Logic IR</w:t>
            </w:r>
          </w:p>
        </w:tc>
        <w:tc>
          <w:tcPr>
            <w:tcW w:type="dxa" w:w="61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Section 4 questions, controls, coding, state transitions, review, revision, abandonment, confirmation, Completed Burden Questionnaire Response, and applicable Section 8.6 review presentation</w:t>
            </w:r>
          </w:p>
        </w:tc>
      </w:tr>
      <w:tr>
        <w:trPr>
          <w:cantSplit w:val="true"/>
        </w:trPr>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4"/>
              </w:rPr>
              <w:t>Burden Response Analysis IR</w:t>
            </w:r>
          </w:p>
        </w:tc>
        <w:tc>
          <w:tcPr>
            <w:tcW w:type="dxa" w:w="6160"/>
            <w:tcMar>
              <w:top w:w="100" w:type="dxa"/>
              <w:start w:w="120" w:type="dxa"/>
              <w:bottom w:w="100" w:type="dxa"/>
              <w:end w:w="120" w:type="dxa"/>
            </w:tcMar>
            <w:vAlign w:val="center"/>
          </w:tcPr>
          <w:p>
            <w:pPr>
              <w:spacing w:after="0" w:line="240" w:lineRule="auto"/>
            </w:pPr>
            <w:r>
              <w:rPr>
                <w:rFonts w:ascii="Aptos" w:hAnsi="Aptos"/>
                <w:b w:val="0"/>
                <w:i w:val="0"/>
                <w:color w:val="000000"/>
                <w:sz w:val="14"/>
              </w:rPr>
              <w:t>Sections 5–9 exact combined request, validation, bound Appendix E dependency, location lookup, both-scenario burden computation, output, errors, and Section 8.6 presentation</w:t>
            </w:r>
          </w:p>
        </w:tc>
      </w:tr>
      <w:tr>
        <w:trPr>
          <w:cantSplit w:val="true"/>
        </w:trPr>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Complete DFU HBOT Burden CKS IR</w:t>
            </w:r>
          </w:p>
        </w:tc>
        <w:tc>
          <w:tcPr>
            <w:tcW w:type="dxa" w:w="61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4"/>
              </w:rPr>
              <w:t>All three capabilities, the exact questionnaire-to-analysis handoff, and the exact regimen-range-to-analysis handoff</w:t>
            </w:r>
          </w:p>
        </w:tc>
      </w:tr>
    </w:tbl>
    <w:p>
      <w:pPr>
        <w:spacing w:after="20"/>
      </w:pPr>
    </w:p>
    <w:p>
      <w:r>
        <w:rPr>
          <w:rFonts w:ascii="Aptos" w:hAnsi="Aptos"/>
          <w:b w:val="0"/>
          <w:i w:val="0"/>
          <w:sz w:val="18"/>
        </w:rPr>
        <w:t>A conformance claim SHALL identify this exact Version 1.0 specification and exactly one profile. Requirements outside the selected profile remain informative context unless they define an explicit dependency of that profile. A Complete profile SHALL demonstrate the single Section 5.1 request: only a confirmed Completed Burden Questionnaire Response supplies patient data, and the accompanying valid patient-independent Fixed Regimen Range Response supplies every regimen and facility-time parameter.</w:t>
      </w:r>
    </w:p>
    <w:p>
      <w:pPr>
        <w:pStyle w:val="Heading2"/>
      </w:pPr>
      <w:r>
        <w:t>11.6 Normative Rule-coverage Contract</w:t>
      </w:r>
    </w:p>
    <w:p>
      <w:r>
        <w:rPr>
          <w:rFonts w:ascii="Aptos" w:hAnsi="Aptos"/>
          <w:b w:val="0"/>
          <w:i w:val="0"/>
          <w:sz w:val="18"/>
        </w:rPr>
        <w:t>Every normative requirement in this CKS SHALL be assigned to exactly one primary coverage record below. A coverage record may cite several complementary verification mechanisms, but it does not replace or weaken the underlying SHALL, SHALL NOT, or closed-value rule. A Complete conformance claim SHALL address COV-01 through COV-24. A profile claim SHALL address every coverage record whose cited section is within that profile or is an explicit dependency of it. ‘Inspection’ means documented comparison against the exact normative text; it is a specification-verification method, not an implementation task or discretionary waiver.</w:t>
      </w:r>
    </w:p>
    <w:tbl>
      <w:tblPr>
        <w:tblW w:type="dxa" w:w="9360"/>
        <w:tblLayout w:type="fixed"/>
        <w:tblLook w:firstColumn="1" w:firstRow="1" w:lastColumn="0" w:lastRow="0" w:noHBand="0" w:noVBand="1" w:val="04A0"/>
        <w:tblInd w:w="120" w:type="dxa"/>
      </w:tblPr>
      <w:tblGrid>
        <w:gridCol w:w="1000"/>
        <w:gridCol w:w="4550"/>
        <w:gridCol w:w="1750"/>
        <w:gridCol w:w="2060"/>
      </w:tblGrid>
      <w:tr>
        <w:trPr>
          <w:cantSplit w:val="true"/>
          <w:tblHeader w:val="true"/>
        </w:trPr>
        <w:tc>
          <w:tcPr>
            <w:tcW w:type="dxa" w:w="10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ID</w:t>
            </w:r>
          </w:p>
        </w:tc>
        <w:tc>
          <w:tcPr>
            <w:tcW w:type="dxa" w:w="455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NORMATIVE RULE FAMILY</w:t>
            </w:r>
          </w:p>
        </w:tc>
        <w:tc>
          <w:tcPr>
            <w:tcW w:type="dxa" w:w="175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SECTIONS</w:t>
            </w:r>
          </w:p>
        </w:tc>
        <w:tc>
          <w:tcPr>
            <w:tcW w:type="dxa" w:w="206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PRIMARY VERIFICATION</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COV-01</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Scope, DFU-only use, U.S.-only use, and nonprescription boundaries</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1.1–1.6</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document inspection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COV-02</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Versioned KGrid IRIs, compact aliases, and capability-boundary identity</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1.2; Appendix A.3</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and manifest</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COV-03</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General DFU regimen knowledge, evidence stack, and package validation</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2.1–2.4; Appendices D–F</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document and dependency validation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COV-04</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Closed Regimen Range request and fixed response</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3.1–3.2</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COV-05</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Regimen invariants, facility-time value, and non-tailoring</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3.3–3.4</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executable fixtures and presentation checks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COV-06</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Sparse Q01–Q04 wording, coding, ranges, and question order</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4.1–4.2</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COV-07</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Questionnaire states, review, revision, abandonment, and provider changes</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4.3–4.4</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executable fixtures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COV-08</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Completed sparse response and exact questionnaire-to-analysis handoff</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4.5–5.2</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COV-09</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Closed analytical input, type/value rules, and unknown-property behavior</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5.2–5.3; 9.1–9.3</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COV-10</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Roster-version compatibility, dependency loading, and provider lookup</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5.4; 9.4</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executable fixtures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COV-11</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Burden arithmetic, exact decimals, exclusive IN-03-derived hour uses, endpoint rounding, and invariants</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6.1–6.5; 7.1; 7.5</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executable fixtures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COV-12</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Objective burden and travel-band classification</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7.1</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COV-13</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Reported attendance feasibility, five-level execution burden, and driver precedence</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7.2–7.5; 8.3</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COV-14</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Fixed-shape completed/error results and substantive null behavior</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8.1–8.2; 9</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COV-15</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Result identity, provenance, timestamps, fingerprints, and replay</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8.2.1–8.2.6</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schema executable fixtures and audit</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COV-16</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Human-readable output presentation and noncompletion display</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8.6</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presentation conformance inspection</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COV-17</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Total analysis-error precedence and exact error mapping</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9.1–9.5</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executable fixtures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COV-18</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Safety, privacy, clinical-use, and planning-only safeguards</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10</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document and presentation inspection</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COV-19</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Conformance claims, profiles, required demonstrations, and prohibited transformations</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conformance dossier inspection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COV-20</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Executable fixture identity, bundle integrity, and exact comparison</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Appendix C</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bundle validator</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COV-21</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Clinical evidence values, qualifications, strength ratings, and source roles</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Appendices D–F</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source table inspection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COV-22</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Provider-roster snapshot identity, versioning, records, and selectability</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Appendix E.1–E.3; Appendix G</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and executable fixtures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COV-23</w:t>
            </w:r>
          </w:p>
        </w:tc>
        <w:tc>
          <w:tcPr>
            <w:tcW w:type="dxa" w:w="4550"/>
            <w:tcMar>
              <w:top w:w="100" w:type="dxa"/>
              <w:start w:w="120" w:type="dxa"/>
              <w:bottom w:w="100" w:type="dxa"/>
              <w:end w:w="120" w:type="dxa"/>
            </w:tcMar>
            <w:vAlign w:val="center"/>
          </w:tcPr>
          <w:p>
            <w:pPr>
              <w:spacing w:after="0" w:line="240" w:lineRule="auto"/>
            </w:pPr>
            <w:r>
              <w:rPr>
                <w:rFonts w:ascii="Aptos" w:hAnsi="Aptos"/>
                <w:b w:val="0"/>
                <w:i w:val="0"/>
                <w:color w:val="000000"/>
                <w:sz w:val="12"/>
              </w:rPr>
              <w:t>U.S. provider directory content, addresses, organization, and noncomputational vetting markers</w:t>
            </w:r>
          </w:p>
        </w:tc>
        <w:tc>
          <w:tcPr>
            <w:tcW w:type="dxa" w:w="1750"/>
            <w:tcMar>
              <w:top w:w="100" w:type="dxa"/>
              <w:start w:w="120" w:type="dxa"/>
              <w:bottom w:w="100" w:type="dxa"/>
              <w:end w:w="120" w:type="dxa"/>
            </w:tcMar>
            <w:vAlign w:val="center"/>
          </w:tcPr>
          <w:p>
            <w:pPr>
              <w:spacing w:after="0" w:line="240" w:lineRule="auto"/>
            </w:pPr>
            <w:r>
              <w:rPr>
                <w:rFonts w:ascii="Aptos" w:hAnsi="Aptos"/>
                <w:b w:val="0"/>
                <w:i w:val="0"/>
                <w:color w:val="000000"/>
                <w:sz w:val="12"/>
              </w:rPr>
              <w:t>Appendix E.4</w:t>
            </w:r>
          </w:p>
        </w:tc>
        <w:tc>
          <w:tcPr>
            <w:tcW w:type="dxa" w:w="2060"/>
            <w:tcMar>
              <w:top w:w="100" w:type="dxa"/>
              <w:start w:w="120" w:type="dxa"/>
              <w:bottom w:w="100" w:type="dxa"/>
              <w:end w:w="120" w:type="dxa"/>
            </w:tcMar>
            <w:vAlign w:val="center"/>
          </w:tcPr>
          <w:p>
            <w:pPr>
              <w:spacing w:after="0" w:line="240" w:lineRule="auto"/>
            </w:pPr>
            <w:r>
              <w:rPr>
                <w:rFonts w:ascii="Aptos" w:hAnsi="Aptos"/>
                <w:b w:val="0"/>
                <w:i w:val="0"/>
                <w:color w:val="000000"/>
                <w:sz w:val="12"/>
              </w:rPr>
              <w:t>roster snapshot and document inspection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COV-24</w:t>
            </w:r>
          </w:p>
        </w:tc>
        <w:tc>
          <w:tcPr>
            <w:tcW w:type="dxa" w:w="45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JSON Schemas, cardinality, closed objects, cross-field rules, and dependency manifest</w:t>
            </w:r>
          </w:p>
        </w:tc>
        <w:tc>
          <w:tcPr>
            <w:tcW w:type="dxa" w:w="17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Appendix G; Appendix A.3–A.4</w:t>
            </w:r>
          </w:p>
        </w:tc>
        <w:tc>
          <w:tcPr>
            <w:tcW w:type="dxa" w:w="20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schema validation and manifest inspection</w:t>
            </w:r>
          </w:p>
        </w:tc>
      </w:tr>
    </w:tbl>
    <w:p>
      <w:pPr>
        <w:spacing w:after="20"/>
      </w:pPr>
    </w:p>
    <w:p>
      <w:pPr>
        <w:pStyle w:val="ListBullet"/>
        <w:spacing w:after="20"/>
      </w:pPr>
      <w:r>
        <w:rPr>
          <w:rFonts w:ascii="Aptos" w:hAnsi="Aptos"/>
          <w:b w:val="0"/>
          <w:i w:val="0"/>
          <w:sz w:val="18"/>
        </w:rPr>
        <w:t>Schema validation is sufficient only for lexical, structural, cardinality, constant-value, and encoded conditional constraints represented in Appendix G.</w:t>
      </w:r>
    </w:p>
    <w:p>
      <w:pPr>
        <w:pStyle w:val="ListBullet"/>
        <w:spacing w:after="20"/>
      </w:pPr>
      <w:r>
        <w:rPr>
          <w:rFonts w:ascii="Aptos" w:hAnsi="Aptos"/>
          <w:b w:val="0"/>
          <w:i w:val="0"/>
          <w:sz w:val="18"/>
        </w:rPr>
        <w:t>Executable-fixture coverage requires exact comparison of the entire applicable expected object under Appendix C; a cited fixture identifier is governed by the bound fixture-bundle version.</w:t>
      </w:r>
    </w:p>
    <w:p>
      <w:pPr>
        <w:pStyle w:val="ListBullet"/>
        <w:spacing w:after="20"/>
      </w:pPr>
      <w:r>
        <w:rPr>
          <w:rFonts w:ascii="Aptos" w:hAnsi="Aptos"/>
          <w:b w:val="0"/>
          <w:i w:val="0"/>
          <w:sz w:val="18"/>
        </w:rPr>
        <w:t>Presentation checks PRES-01 through PRES-08 verify observable human-readable semantics and never alter a machine-readable result.</w:t>
      </w:r>
    </w:p>
    <w:p>
      <w:pPr>
        <w:pStyle w:val="ListBullet"/>
        <w:spacing w:after="20"/>
      </w:pPr>
      <w:r>
        <w:rPr>
          <w:rFonts w:ascii="Aptos" w:hAnsi="Aptos"/>
          <w:b w:val="0"/>
          <w:i w:val="0"/>
          <w:sz w:val="18"/>
        </w:rPr>
        <w:t>Document, evidence-table, conformance-dossier, or source-table inspection SHALL record pass/fail and the exact CKS version. An unrecorded assertion is not coverage evidence.</w:t>
      </w:r>
    </w:p>
    <w:p>
      <w:pPr>
        <w:pStyle w:val="ListBullet"/>
        <w:spacing w:after="20"/>
      </w:pPr>
      <w:r>
        <w:rPr>
          <w:rFonts w:ascii="Aptos" w:hAnsi="Aptos"/>
          <w:b w:val="0"/>
          <w:i w:val="0"/>
          <w:sz w:val="18"/>
        </w:rPr>
        <w:t>No requirement may be declared covered solely because another requirement in the same section passed. If an atomic obligation fails, its entire coverage record fails for that conformance claim.</w:t>
      </w:r>
    </w:p>
    <w:p>
      <w:r>
        <w:rPr>
          <w:rFonts w:ascii="Aptos" w:hAnsi="Aptos"/>
          <w:b w:val="0"/>
          <w:i w:val="0"/>
          <w:sz w:val="18"/>
        </w:rPr>
        <w:t>The normative machine-readable coverage manifest is identified by https://kgrid.org/cks/dfu-hbot-burden/normative-rule-coverage/versions/1.0 and is delivered as DFU_HBOT_CKS_Normative_Rule_Coverage_1_0.json. It contains the exact record order, evidence identifiers, and completeness invariants. COV-01 through COV-24 are compact identifiers governed by that manifest version. They have no individual IRI; when scope is not otherwise explicit, the governing manifest IRI SHALL accompany the compact identifier.</w:t>
      </w:r>
    </w:p>
    <w:p>
      <w:pPr>
        <w:sectPr>
          <w:headerReference w:type="default" r:id="rId11"/>
          <w:footerReference w:type="default" r:id="rId12"/>
          <w:pgSz w:w="12240" w:h="15840"/>
          <w:pgMar w:top="1224" w:right="1440" w:bottom="1152" w:left="1440" w:header="461" w:footer="461" w:gutter="0"/>
          <w:cols w:space="720"/>
          <w:docGrid w:linePitch="360"/>
        </w:sectPr>
      </w:pPr>
    </w:p>
    <w:p>
      <w:pPr>
        <w:pStyle w:val="Heading1"/>
      </w:pPr>
      <w:r>
        <w:t>Appendix A. Complete Data Dictionary</w:t>
      </w:r>
    </w:p>
    <w:p>
      <w:pPr>
        <w:pStyle w:val="Heading2"/>
      </w:pPr>
      <w:r>
        <w:t>Appendix A.1 Questionnaire Components</w:t>
      </w:r>
    </w:p>
    <w:tbl>
      <w:tblPr>
        <w:tblW w:type="dxa" w:w="13968"/>
        <w:tblLayout w:type="fixed"/>
        <w:tblLook w:firstColumn="1" w:firstRow="1" w:lastColumn="0" w:lastRow="0" w:noHBand="0" w:noVBand="1" w:val="04A0"/>
        <w:tblInd w:w="120" w:type="dxa"/>
      </w:tblPr>
      <w:tblGrid>
        <w:gridCol w:w="1200"/>
        <w:gridCol w:w="1500"/>
        <w:gridCol w:w="6500"/>
        <w:gridCol w:w="4768"/>
      </w:tblGrid>
      <w:tr>
        <w:trPr>
          <w:cantSplit w:val="true"/>
          <w:tblHeader w:val="true"/>
        </w:trPr>
        <w:tc>
          <w:tcPr>
            <w:tcW w:type="dxa" w:w="12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ID</w:t>
            </w:r>
          </w:p>
        </w:tc>
        <w:tc>
          <w:tcPr>
            <w:tcW w:type="dxa" w:w="15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STATE</w:t>
            </w:r>
          </w:p>
        </w:tc>
        <w:tc>
          <w:tcPr>
            <w:tcW w:type="dxa" w:w="65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QUESTION / INTERACTION</w:t>
            </w:r>
          </w:p>
        </w:tc>
        <w:tc>
          <w:tcPr>
            <w:tcW w:type="dxa" w:w="4768"/>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REGISTERED VALUE</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3"/>
              </w:rPr>
              <w:t>Q01</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3"/>
              </w:rPr>
              <w:t>QNTS-00</w:t>
            </w:r>
          </w:p>
        </w:tc>
        <w:tc>
          <w:tcPr>
            <w:tcW w:type="dxa" w:w="6500"/>
            <w:tcMar>
              <w:top w:w="100" w:type="dxa"/>
              <w:start w:w="120" w:type="dxa"/>
              <w:bottom w:w="100" w:type="dxa"/>
              <w:end w:w="120" w:type="dxa"/>
            </w:tcMar>
            <w:vAlign w:val="center"/>
          </w:tcPr>
          <w:p>
            <w:pPr>
              <w:spacing w:after="0" w:line="240" w:lineRule="auto"/>
            </w:pPr>
            <w:r>
              <w:rPr>
                <w:rFonts w:ascii="Aptos" w:hAnsi="Aptos"/>
                <w:b w:val="0"/>
                <w:i w:val="0"/>
                <w:color w:val="000000"/>
                <w:sz w:val="13"/>
              </w:rPr>
              <w:t>Select and confirm one Appendix E hyperbaric oxygen therapy location; state/jurisdiction is a search filter only</w:t>
            </w:r>
          </w:p>
        </w:tc>
        <w:tc>
          <w:tcPr>
            <w:tcW w:type="dxa" w:w="4768"/>
            <w:tcMar>
              <w:top w:w="100" w:type="dxa"/>
              <w:start w:w="120" w:type="dxa"/>
              <w:bottom w:w="100" w:type="dxa"/>
              <w:end w:w="120" w:type="dxa"/>
            </w:tcMar>
            <w:vAlign w:val="center"/>
          </w:tcPr>
          <w:p>
            <w:pPr>
              <w:spacing w:after="0" w:line="240" w:lineRule="auto"/>
            </w:pPr>
            <w:r>
              <w:rPr>
                <w:rFonts w:ascii="Aptos" w:hAnsi="Aptos"/>
                <w:b w:val="0"/>
                <w:i w:val="0"/>
                <w:color w:val="000000"/>
                <w:sz w:val="13"/>
              </w:rPr>
              <w:t>hyperbaric_oxygen_therapy_location</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Q02</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QNTS-01</w:t>
            </w:r>
          </w:p>
        </w:tc>
        <w:tc>
          <w:tcPr>
            <w:tcW w:type="dxa" w:w="6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Report usual one-way miles</w:t>
            </w:r>
          </w:p>
        </w:tc>
        <w:tc>
          <w:tcPr>
            <w:tcW w:type="dxa" w:w="4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one_way_miles</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3"/>
              </w:rPr>
              <w:t>Q03</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3"/>
              </w:rPr>
              <w:t>QNTS-02</w:t>
            </w:r>
          </w:p>
        </w:tc>
        <w:tc>
          <w:tcPr>
            <w:tcW w:type="dxa" w:w="6500"/>
            <w:tcMar>
              <w:top w:w="100" w:type="dxa"/>
              <w:start w:w="120" w:type="dxa"/>
              <w:bottom w:w="100" w:type="dxa"/>
              <w:end w:w="120" w:type="dxa"/>
            </w:tcMar>
            <w:vAlign w:val="center"/>
          </w:tcPr>
          <w:p>
            <w:pPr>
              <w:spacing w:after="0" w:line="240" w:lineRule="auto"/>
            </w:pPr>
            <w:r>
              <w:rPr>
                <w:rFonts w:ascii="Aptos" w:hAnsi="Aptos"/>
                <w:b w:val="0"/>
                <w:i w:val="0"/>
                <w:color w:val="000000"/>
                <w:sz w:val="13"/>
              </w:rPr>
              <w:t>Report usual one-way hours/minutes; normalize to total minutes</w:t>
            </w:r>
          </w:p>
        </w:tc>
        <w:tc>
          <w:tcPr>
            <w:tcW w:type="dxa" w:w="4768"/>
            <w:tcMar>
              <w:top w:w="100" w:type="dxa"/>
              <w:start w:w="120" w:type="dxa"/>
              <w:bottom w:w="100" w:type="dxa"/>
              <w:end w:w="120" w:type="dxa"/>
            </w:tcMar>
            <w:vAlign w:val="center"/>
          </w:tcPr>
          <w:p>
            <w:pPr>
              <w:spacing w:after="0" w:line="240" w:lineRule="auto"/>
            </w:pPr>
            <w:r>
              <w:rPr>
                <w:rFonts w:ascii="Aptos" w:hAnsi="Aptos"/>
                <w:b w:val="0"/>
                <w:i w:val="0"/>
                <w:color w:val="000000"/>
                <w:sz w:val="13"/>
              </w:rPr>
              <w:t>one_way_travel_minutes</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Q04</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QNTS-03</w:t>
            </w:r>
          </w:p>
        </w:tc>
        <w:tc>
          <w:tcPr>
            <w:tcW w:type="dxa" w:w="6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For the confirmed location, report expected non-travel difficulty attending five weekdays/week for approximately 6–8 weeks</w:t>
            </w:r>
          </w:p>
        </w:tc>
        <w:tc>
          <w:tcPr>
            <w:tcW w:type="dxa" w:w="4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weekday_attendance_difficulty</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3"/>
              </w:rPr>
              <w:t>REVIEW</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3"/>
              </w:rPr>
              <w:t>QTS-REVIEW</w:t>
            </w:r>
          </w:p>
        </w:tc>
        <w:tc>
          <w:tcPr>
            <w:tcW w:type="dxa" w:w="6500"/>
            <w:tcMar>
              <w:top w:w="100" w:type="dxa"/>
              <w:start w:w="120" w:type="dxa"/>
              <w:bottom w:w="100" w:type="dxa"/>
              <w:end w:w="120" w:type="dxa"/>
            </w:tcMar>
            <w:vAlign w:val="center"/>
          </w:tcPr>
          <w:p>
            <w:pPr>
              <w:spacing w:after="0" w:line="240" w:lineRule="auto"/>
            </w:pPr>
            <w:r>
              <w:rPr>
                <w:rFonts w:ascii="Aptos" w:hAnsi="Aptos"/>
                <w:b w:val="0"/>
                <w:i w:val="0"/>
                <w:color w:val="000000"/>
                <w:sz w:val="13"/>
              </w:rPr>
              <w:t>Inspect hyperbaric oxygen therapy location name/address and all four values; confirm or return to edit</w:t>
            </w:r>
          </w:p>
        </w:tc>
        <w:tc>
          <w:tcPr>
            <w:tcW w:type="dxa" w:w="4768"/>
            <w:tcMar>
              <w:top w:w="100" w:type="dxa"/>
              <w:start w:w="120" w:type="dxa"/>
              <w:bottom w:w="100" w:type="dxa"/>
              <w:end w:w="120" w:type="dxa"/>
            </w:tcMar>
            <w:vAlign w:val="center"/>
          </w:tcPr>
          <w:p>
            <w:pPr>
              <w:spacing w:after="0" w:line="240" w:lineRule="auto"/>
            </w:pPr>
            <w:r>
              <w:rPr>
                <w:rFonts w:ascii="Aptos" w:hAnsi="Aptos"/>
                <w:b w:val="0"/>
                <w:i w:val="0"/>
                <w:color w:val="000000"/>
                <w:sz w:val="13"/>
              </w:rPr>
              <w:t>No new patient field</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COMPLETE</w:t>
            </w:r>
          </w:p>
        </w:tc>
        <w:tc>
          <w:tcPr>
            <w:tcW w:type="dxa" w:w="1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QTS-COMPLETED</w:t>
            </w:r>
          </w:p>
        </w:tc>
        <w:tc>
          <w:tcPr>
            <w:tcW w:type="dxa" w:w="6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Immutable completed response within this CKS</w:t>
            </w:r>
          </w:p>
        </w:tc>
        <w:tc>
          <w:tcPr>
            <w:tcW w:type="dxa" w:w="4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Confirmed four-field response projection</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3"/>
              </w:rPr>
              <w:t>ABANDON</w:t>
            </w:r>
          </w:p>
        </w:tc>
        <w:tc>
          <w:tcPr>
            <w:tcW w:type="dxa" w:w="1500"/>
            <w:tcMar>
              <w:top w:w="100" w:type="dxa"/>
              <w:start w:w="120" w:type="dxa"/>
              <w:bottom w:w="100" w:type="dxa"/>
              <w:end w:w="120" w:type="dxa"/>
            </w:tcMar>
            <w:vAlign w:val="center"/>
          </w:tcPr>
          <w:p>
            <w:pPr>
              <w:spacing w:after="0" w:line="240" w:lineRule="auto"/>
            </w:pPr>
            <w:r>
              <w:rPr>
                <w:rFonts w:ascii="Aptos" w:hAnsi="Aptos"/>
                <w:b w:val="0"/>
                <w:i w:val="0"/>
                <w:color w:val="000000"/>
                <w:sz w:val="13"/>
              </w:rPr>
              <w:t>QTS-ABANDONED</w:t>
            </w:r>
          </w:p>
        </w:tc>
        <w:tc>
          <w:tcPr>
            <w:tcW w:type="dxa" w:w="6500"/>
            <w:tcMar>
              <w:top w:w="100" w:type="dxa"/>
              <w:start w:w="120" w:type="dxa"/>
              <w:bottom w:w="100" w:type="dxa"/>
              <w:end w:w="120" w:type="dxa"/>
            </w:tcMar>
            <w:vAlign w:val="center"/>
          </w:tcPr>
          <w:p>
            <w:pPr>
              <w:spacing w:after="0" w:line="240" w:lineRule="auto"/>
            </w:pPr>
            <w:r>
              <w:rPr>
                <w:rFonts w:ascii="Aptos" w:hAnsi="Aptos"/>
                <w:b w:val="0"/>
                <w:i w:val="0"/>
                <w:color w:val="000000"/>
                <w:sz w:val="13"/>
              </w:rPr>
              <w:t>Terminal noncompletion; discard provisional answers</w:t>
            </w:r>
          </w:p>
        </w:tc>
        <w:tc>
          <w:tcPr>
            <w:tcW w:type="dxa" w:w="4768"/>
            <w:tcMar>
              <w:top w:w="100" w:type="dxa"/>
              <w:start w:w="120" w:type="dxa"/>
              <w:bottom w:w="100" w:type="dxa"/>
              <w:end w:w="120" w:type="dxa"/>
            </w:tcMar>
            <w:vAlign w:val="center"/>
          </w:tcPr>
          <w:p>
            <w:pPr>
              <w:spacing w:after="0" w:line="240" w:lineRule="auto"/>
            </w:pPr>
            <w:r>
              <w:rPr>
                <w:rFonts w:ascii="Aptos" w:hAnsi="Aptos"/>
                <w:b w:val="0"/>
                <w:i w:val="0"/>
                <w:color w:val="000000"/>
                <w:sz w:val="13"/>
              </w:rPr>
              <w:t>No response projection</w:t>
            </w:r>
          </w:p>
        </w:tc>
      </w:tr>
    </w:tbl>
    <w:p>
      <w:pPr>
        <w:spacing w:after="20"/>
      </w:pPr>
    </w:p>
    <w:p>
      <w:pPr>
        <w:pStyle w:val="Heading2"/>
      </w:pPr>
      <w:r>
        <w:t>Appendix A.2 Sparse Response Projection</w:t>
      </w:r>
    </w:p>
    <w:tbl>
      <w:tblPr>
        <w:tblW w:type="dxa" w:w="13968"/>
        <w:tblLayout w:type="fixed"/>
        <w:tblLook w:firstColumn="1" w:firstRow="1" w:lastColumn="0" w:lastRow="0" w:noHBand="0" w:noVBand="1" w:val="04A0"/>
        <w:tblInd w:w="120" w:type="dxa"/>
      </w:tblPr>
      <w:tblGrid>
        <w:gridCol w:w="900"/>
        <w:gridCol w:w="2400"/>
        <w:gridCol w:w="700"/>
        <w:gridCol w:w="1200"/>
        <w:gridCol w:w="3600"/>
        <w:gridCol w:w="5168"/>
      </w:tblGrid>
      <w:tr>
        <w:trPr>
          <w:cantSplit w:val="true"/>
          <w:tblHeader w:val="true"/>
        </w:trPr>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ID</w:t>
            </w:r>
          </w:p>
        </w:tc>
        <w:tc>
          <w:tcPr>
            <w:tcW w:type="dxa" w:w="24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FIELD</w:t>
            </w:r>
          </w:p>
        </w:tc>
        <w:tc>
          <w:tcPr>
            <w:tcW w:type="dxa" w:w="7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REQ.</w:t>
            </w:r>
          </w:p>
        </w:tc>
        <w:tc>
          <w:tcPr>
            <w:tcW w:type="dxa" w:w="12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TYPE</w:t>
            </w:r>
          </w:p>
        </w:tc>
        <w:tc>
          <w:tcPr>
            <w:tcW w:type="dxa" w:w="36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VALUE / CONSTRAINT</w:t>
            </w:r>
          </w:p>
        </w:tc>
        <w:tc>
          <w:tcPr>
            <w:tcW w:type="dxa" w:w="5168"/>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SEMANTIC NOTES</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IN-01</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3"/>
              </w:rPr>
              <w:t>hyperbaric_oxygen_therapy_location</w:t>
            </w:r>
          </w:p>
        </w:tc>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3"/>
              </w:rPr>
              <w:t>Yes</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3"/>
              </w:rPr>
              <w:t>absolute HTTPS IRI</w:t>
            </w:r>
          </w:p>
        </w:tc>
        <w:tc>
          <w:tcPr>
            <w:tcW w:type="dxa" w:w="360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https://kgrid.org/cks/dfu-hbot-burden/providers/e-nnn</w:t>
            </w:r>
          </w:p>
        </w:tc>
        <w:tc>
          <w:tcPr>
            <w:tcW w:type="dxa" w:w="5168"/>
            <w:tcMar>
              <w:top w:w="100" w:type="dxa"/>
              <w:start w:w="120" w:type="dxa"/>
              <w:bottom w:w="100" w:type="dxa"/>
              <w:end w:w="120" w:type="dxa"/>
            </w:tcMar>
            <w:vAlign w:val="center"/>
          </w:tcPr>
          <w:p>
            <w:pPr>
              <w:spacing w:after="0" w:line="240" w:lineRule="auto"/>
            </w:pPr>
            <w:r>
              <w:rPr>
                <w:rFonts w:ascii="Aptos" w:hAnsi="Aptos"/>
                <w:b w:val="0"/>
                <w:i w:val="0"/>
                <w:color w:val="000000"/>
                <w:sz w:val="13"/>
              </w:rPr>
              <w:t>Exact selectable provider_iri lookup in questionnaire-bound roster version; compact E-### is not accepted</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IN-02</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one_way_miles</w:t>
            </w:r>
          </w:p>
        </w:tc>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Yes</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number</w:t>
            </w:r>
          </w:p>
        </w:tc>
        <w:tc>
          <w:tcPr>
            <w:tcW w:type="dxa" w:w="3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Finite; 0–1000</w:t>
            </w:r>
          </w:p>
        </w:tc>
        <w:tc>
          <w:tcPr>
            <w:tcW w:type="dxa" w:w="5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Patient- or helper-reported usual one-way distance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3"/>
              </w:rPr>
              <w:t>IN-03</w:t>
            </w:r>
          </w:p>
        </w:tc>
        <w:tc>
          <w:tcPr>
            <w:tcW w:type="dxa" w:w="2400"/>
            <w:tcMar>
              <w:top w:w="100" w:type="dxa"/>
              <w:start w:w="120" w:type="dxa"/>
              <w:bottom w:w="100" w:type="dxa"/>
              <w:end w:w="120" w:type="dxa"/>
            </w:tcMar>
            <w:vAlign w:val="center"/>
          </w:tcPr>
          <w:p>
            <w:pPr>
              <w:spacing w:after="0" w:line="240" w:lineRule="auto"/>
            </w:pPr>
            <w:r>
              <w:rPr>
                <w:rFonts w:ascii="Aptos" w:hAnsi="Aptos"/>
                <w:b w:val="0"/>
                <w:i w:val="0"/>
                <w:color w:val="000000"/>
                <w:sz w:val="13"/>
              </w:rPr>
              <w:t>one_way_travel_minutes</w:t>
            </w:r>
          </w:p>
        </w:tc>
        <w:tc>
          <w:tcPr>
            <w:tcW w:type="dxa" w:w="700"/>
            <w:tcMar>
              <w:top w:w="100" w:type="dxa"/>
              <w:start w:w="120" w:type="dxa"/>
              <w:bottom w:w="100" w:type="dxa"/>
              <w:end w:w="120" w:type="dxa"/>
            </w:tcMar>
            <w:vAlign w:val="center"/>
          </w:tcPr>
          <w:p>
            <w:pPr>
              <w:spacing w:after="0" w:line="240" w:lineRule="auto"/>
            </w:pPr>
            <w:r>
              <w:rPr>
                <w:rFonts w:ascii="Aptos" w:hAnsi="Aptos"/>
                <w:b w:val="0"/>
                <w:i w:val="0"/>
                <w:color w:val="000000"/>
                <w:sz w:val="13"/>
              </w:rPr>
              <w:t>Yes</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3"/>
              </w:rPr>
              <w:t>number</w:t>
            </w:r>
          </w:p>
        </w:tc>
        <w:tc>
          <w:tcPr>
            <w:tcW w:type="dxa" w:w="3600"/>
            <w:tcMar>
              <w:top w:w="100" w:type="dxa"/>
              <w:start w:w="120" w:type="dxa"/>
              <w:bottom w:w="100" w:type="dxa"/>
              <w:end w:w="120" w:type="dxa"/>
            </w:tcMar>
            <w:vAlign w:val="center"/>
          </w:tcPr>
          <w:p>
            <w:pPr>
              <w:spacing w:after="0" w:line="240" w:lineRule="auto"/>
            </w:pPr>
            <w:r>
              <w:rPr>
                <w:rFonts w:ascii="Aptos" w:hAnsi="Aptos"/>
                <w:b w:val="0"/>
                <w:i w:val="0"/>
                <w:color w:val="000000"/>
                <w:sz w:val="13"/>
              </w:rPr>
              <w:t>Finite; 0–1440</w:t>
            </w:r>
          </w:p>
        </w:tc>
        <w:tc>
          <w:tcPr>
            <w:tcW w:type="dxa" w:w="5168"/>
            <w:tcMar>
              <w:top w:w="100" w:type="dxa"/>
              <w:start w:w="120" w:type="dxa"/>
              <w:bottom w:w="100" w:type="dxa"/>
              <w:end w:w="120" w:type="dxa"/>
            </w:tcMar>
            <w:vAlign w:val="center"/>
          </w:tcPr>
          <w:p>
            <w:pPr>
              <w:spacing w:after="0" w:line="240" w:lineRule="auto"/>
            </w:pPr>
            <w:r>
              <w:rPr>
                <w:rFonts w:ascii="Aptos" w:hAnsi="Aptos"/>
                <w:b w:val="0"/>
                <w:i w:val="0"/>
                <w:color w:val="000000"/>
                <w:sz w:val="13"/>
              </w:rPr>
              <w:t>Patient- or helper-reported usual one-way duration</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IN-04</w:t>
            </w:r>
          </w:p>
        </w:tc>
        <w:tc>
          <w:tcPr>
            <w:tcW w:type="dxa" w:w="2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weekday_attendance_difficulty</w:t>
            </w:r>
          </w:p>
        </w:tc>
        <w:tc>
          <w:tcPr>
            <w:tcW w:type="dxa" w:w="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Yes</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string</w:t>
            </w:r>
          </w:p>
        </w:tc>
        <w:tc>
          <w:tcPr>
            <w:tcW w:type="dxa" w:w="3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none | some | major</w:t>
            </w:r>
          </w:p>
        </w:tc>
        <w:tc>
          <w:tcPr>
            <w:tcW w:type="dxa" w:w="5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Provider-specific, subjective ordinal report of non-travel attendance difficulty; not a predicted missed-episode count</w:t>
            </w:r>
          </w:p>
        </w:tc>
      </w:tr>
    </w:tbl>
    <w:p>
      <w:pPr>
        <w:spacing w:after="20"/>
      </w:pPr>
    </w:p>
    <w:p>
      <w:pPr>
        <w:pStyle w:val="Heading2"/>
      </w:pPr>
      <w:r>
        <w:t>Appendix A.3 Normative Identifier and Alias Manifest</w:t>
      </w:r>
    </w:p>
    <w:p>
      <w:r>
        <w:rPr>
          <w:rFonts w:ascii="Aptos" w:hAnsi="Aptos"/>
          <w:b w:val="0"/>
          <w:i w:val="0"/>
          <w:sz w:val="18"/>
        </w:rPr>
        <w:t>IRIs are required only for independently versioned artifacts, persistent provider entities, version-specific roster records, dependencies, and result instances. Questions, states, knowledge elements, inputs, errors, audit outcomes, presentation checks, coverage records, assumptions, schema rules, dependency IDs, and fixture IDs are scoped compact identifiers. They have no individual canonical IRI and SHALL NOT be expanded into one. Their meaning is fixed by the governing-scope IRI shown below.</w:t>
      </w:r>
    </w:p>
    <w:tbl>
      <w:tblPr>
        <w:tblW w:type="dxa" w:w="14968"/>
        <w:tblLayout w:type="fixed"/>
        <w:tblLook w:firstColumn="1" w:firstRow="1" w:lastColumn="0" w:lastRow="0" w:noHBand="0" w:noVBand="1" w:val="04A0"/>
        <w:tblInd w:w="120" w:type="dxa"/>
      </w:tblPr>
      <w:tblGrid>
        <w:gridCol w:w="1900"/>
        <w:gridCol w:w="1900"/>
        <w:gridCol w:w="5400"/>
        <w:gridCol w:w="3000"/>
        <w:gridCol w:w="2768"/>
      </w:tblGrid>
      <w:tr>
        <w:trPr>
          <w:cantSplit w:val="true"/>
          <w:tblHeader w:val="true"/>
        </w:trPr>
        <w:tc>
          <w:tcPr>
            <w:tcW w:type="dxa" w:w="19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FAMILY</w:t>
            </w:r>
          </w:p>
        </w:tc>
        <w:tc>
          <w:tcPr>
            <w:tcW w:type="dxa" w:w="19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KIND</w:t>
            </w:r>
          </w:p>
        </w:tc>
        <w:tc>
          <w:tcPr>
            <w:tcW w:type="dxa" w:w="54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GOVERNING SCOPE</w:t>
            </w:r>
          </w:p>
        </w:tc>
        <w:tc>
          <w:tcPr>
            <w:tcW w:type="dxa" w:w="30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LOCAL PATTERN</w:t>
            </w:r>
          </w:p>
        </w:tc>
        <w:tc>
          <w:tcPr>
            <w:tcW w:type="dxa" w:w="2768"/>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ITEM-IRI POLICY</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questions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https://kgrid.org/cks/dfu-hbot-burden/question-sets/burden-questionnaire/versions/1.0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Q01–Q04</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questionnaire_states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https://kgrid.org/cks/dfu-hbot-burden/versions/cks-1.0</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QNTS-* | QTS-*</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knowledge_elements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https://kgrid.org/cks/dfu-hbot-burden/knowledge-packages/general-dfu-regimen/versions/1.0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RK-01–RK-14</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analytical_inputs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https://kgrid.org/cks/dfu-hbot-burden/response-models/1.0</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IN-01–IN-04</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analysis_errors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https://kgrid.org/cks/dfu-hbot-burden/output-models/1.0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ERR-01–ERR-10</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audit_outcomes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https://kgrid.org/cks/dfu-hbot-burden/output-models/1.0</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AUDIT-01–AUDIT-07</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presentation_checks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https://kgrid.org/cks/dfu-hbot-burden/normative-rule-coverage/versions/1.0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PRES-01–PRES-08</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coverage_records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https://kgrid.org/cks/dfu-hbot-burden/normative-rule-coverage/versions/1.0</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COV-01–COV-24</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conformance_fixtures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https://kgrid.org/cks/dfu-hbot-burden/conformance-fixtures/versions/1.0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RR-## | QT-## | TC-## | RT-##</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dependencies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https://kgrid.org/cks/dfu-hbot-burden/identifier-dependency-manifests/versions/1.0</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DEP-01–DEP-11</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assumptions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https://kgrid.org/cks/dfu-hbot-burden/output-models/1.0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ASM-01–ASM-04</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schema_rules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https://kgrid.org/cks/dfu-hbot-burden/schema-bundles/versions/1.0</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G-01–G-23</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no_item_iri</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provider_aliases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scoped_compact</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https://kgrid.org/cks/dfu-hbot-burden/provider-rosters/appendix-e/versions/1.0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E-001–E-141</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maps_to_provider_and_roster_record_iris_in_snapshot</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providers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global_iri</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https://kgrid.org/cks/dfu-hbot-burden/provider-rosters/appendix-e</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https://kgrid.org/cks/dfu-hbot-burden/providers/e-nnn</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required_item_iri</w:t>
            </w:r>
          </w:p>
        </w:tc>
      </w:tr>
      <w:tr>
        <w:trPr>
          <w:cantSplit w:val="true"/>
        </w:trPr>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roster_records</w:t>
            </w:r>
          </w:p>
        </w:tc>
        <w:tc>
          <w:tcPr>
            <w:tcW w:type="dxa" w:w="1900"/>
            <w:tcMar>
              <w:top w:w="100" w:type="dxa"/>
              <w:start w:w="120" w:type="dxa"/>
              <w:bottom w:w="100" w:type="dxa"/>
              <w:end w:w="120" w:type="dxa"/>
            </w:tcMar>
            <w:vAlign w:val="center"/>
          </w:tcPr>
          <w:p>
            <w:pPr>
              <w:spacing w:after="0" w:line="240" w:lineRule="auto"/>
            </w:pPr>
            <w:r>
              <w:rPr>
                <w:rFonts w:ascii="Aptos" w:hAnsi="Aptos"/>
                <w:b w:val="0"/>
                <w:i w:val="0"/>
                <w:color w:val="000000"/>
                <w:sz w:val="11"/>
              </w:rPr>
              <w:t>versioned_item_iri</w:t>
            </w:r>
          </w:p>
        </w:tc>
        <w:tc>
          <w:tcPr>
            <w:tcW w:type="dxa" w:w="54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https://kgrid.org/cks/dfu-hbot-burden/provider-rosters/appendix-e/versions/1.0</w:t>
            </w:r>
          </w:p>
        </w:tc>
        <w:tc>
          <w:tcPr>
            <w:tcW w:type="dxa" w:w="3000"/>
            <w:tcMar>
              <w:top w:w="100" w:type="dxa"/>
              <w:start w:w="120" w:type="dxa"/>
              <w:bottom w:w="100" w:type="dxa"/>
              <w:end w:w="120" w:type="dxa"/>
            </w:tcMar>
            <w:vAlign w:val="center"/>
          </w:tcPr>
          <w:p>
            <w:pPr>
              <w:spacing w:after="0" w:line="240" w:lineRule="auto"/>
            </w:pPr>
            <w:r>
              <w:rPr>
                <w:rFonts w:ascii="Aptos" w:hAnsi="Aptos"/>
                <w:b w:val="0"/>
                <w:i w:val="0"/>
                <w:color w:val="000000"/>
                <w:sz w:val="11"/>
              </w:rPr>
              <w:t>https://kgrid.org/cks/dfu-hbot-burden/provider-rosters/appendix-e/versions/1.0/records/e-nnn</w:t>
            </w:r>
          </w:p>
        </w:tc>
        <w:tc>
          <w:tcPr>
            <w:tcW w:type="dxa" w:w="2768"/>
            <w:tcMar>
              <w:top w:w="100" w:type="dxa"/>
              <w:start w:w="120" w:type="dxa"/>
              <w:bottom w:w="100" w:type="dxa"/>
              <w:end w:w="120" w:type="dxa"/>
            </w:tcMar>
            <w:vAlign w:val="center"/>
          </w:tcPr>
          <w:p>
            <w:pPr>
              <w:spacing w:after="0" w:line="240" w:lineRule="auto"/>
            </w:pPr>
            <w:r>
              <w:rPr>
                <w:rFonts w:ascii="Aptos" w:hAnsi="Aptos"/>
                <w:b w:val="0"/>
                <w:i w:val="0"/>
                <w:color w:val="000000"/>
                <w:sz w:val="11"/>
              </w:rPr>
              <w:t>required_item_iri</w:t>
            </w:r>
          </w:p>
        </w:tc>
      </w:tr>
      <w:tr>
        <w:trPr>
          <w:cantSplit w:val="true"/>
        </w:trPr>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result_instances</w:t>
            </w:r>
          </w:p>
        </w:tc>
        <w:tc>
          <w:tcPr>
            <w:tcW w:type="dxa" w:w="1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global_iri</w:t>
            </w:r>
          </w:p>
        </w:tc>
        <w:tc>
          <w:tcPr>
            <w:tcW w:type="dxa" w:w="5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https://kgrid.org/cks/dfu-hbot-burden/output-models/1.0</w:t>
            </w:r>
          </w:p>
        </w:tc>
        <w:tc>
          <w:tcPr>
            <w:tcW w:type="dxa" w:w="3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https://kgrid.org/cks/dfu-hbot-burden/result-instances/{lowercase UUIDv4}</w:t>
            </w:r>
          </w:p>
        </w:tc>
        <w:tc>
          <w:tcPr>
            <w:tcW w:type="dxa" w:w="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required_item_iri</w:t>
            </w:r>
          </w:p>
        </w:tc>
      </w:tr>
    </w:tbl>
    <w:p>
      <w:pPr>
        <w:spacing w:after="20"/>
      </w:pPr>
    </w:p>
    <w:p>
      <w:r>
        <w:rPr>
          <w:rFonts w:ascii="Aptos" w:hAnsi="Aptos"/>
          <w:b w:val="0"/>
          <w:i w:val="0"/>
          <w:sz w:val="18"/>
        </w:rPr>
        <w:t>Example: Q04 is identified by the pair (question_set_iri, Q04), not by a constructed question IRI. ERR-04 is identified by the pair (result_model_iri, ERR-04). By contrast, IN-01 contains the stable provider IRI itself. E-001 is only a roster-local alias; the corresponding provider_iri and roster_record_iri are carried in the canonical snapshot.</w:t>
      </w:r>
    </w:p>
    <w:tbl>
      <w:tblPr>
        <w:tblW w:type="dxa" w:w="13968"/>
        <w:tblLayout w:type="fixed"/>
        <w:tblLook w:firstColumn="1" w:firstRow="1" w:lastColumn="0" w:lastRow="0" w:noHBand="0" w:noVBand="1" w:val="04A0"/>
        <w:tblInd w:w="120" w:type="dxa"/>
      </w:tblPr>
      <w:tblGrid>
        <w:gridCol w:w="3100"/>
        <w:gridCol w:w="10868"/>
      </w:tblGrid>
      <w:tr>
        <w:trPr>
          <w:cantSplit w:val="true"/>
          <w:tblHeader w:val="true"/>
        </w:trPr>
        <w:tc>
          <w:tcPr>
            <w:tcW w:type="dxa" w:w="31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MANIFEST PROPERTY</w:t>
            </w:r>
          </w:p>
        </w:tc>
        <w:tc>
          <w:tcPr>
            <w:tcW w:type="dxa" w:w="108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NORMATIVE VALUE</w:t>
            </w:r>
          </w:p>
        </w:tc>
      </w:tr>
      <w:tr>
        <w:trPr>
          <w:cantSplit w:val="true"/>
        </w:trPr>
        <w:tc>
          <w:tcPr>
            <w:tcW w:type="dxa" w:w="3100"/>
            <w:tcMar>
              <w:top w:w="100" w:type="dxa"/>
              <w:start w:w="120" w:type="dxa"/>
              <w:bottom w:w="100" w:type="dxa"/>
              <w:end w:w="120" w:type="dxa"/>
            </w:tcMar>
            <w:vAlign w:val="center"/>
          </w:tcPr>
          <w:p>
            <w:pPr>
              <w:spacing w:after="0" w:line="240" w:lineRule="auto"/>
            </w:pPr>
            <w:r>
              <w:rPr>
                <w:rFonts w:ascii="Aptos" w:hAnsi="Aptos"/>
                <w:b w:val="0"/>
                <w:i w:val="0"/>
                <w:color w:val="000000"/>
                <w:sz w:val="12"/>
              </w:rPr>
              <w:t>Manifest IRI</w:t>
            </w:r>
          </w:p>
        </w:tc>
        <w:tc>
          <w:tcPr>
            <w:tcW w:type="dxa" w:w="108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https://kgrid.org/cks/dfu-hbot-burden/identifier-dependency-manifests/versions/1.0</w:t>
            </w:r>
          </w:p>
        </w:tc>
      </w:tr>
      <w:tr>
        <w:trPr>
          <w:cantSplit w:val="true"/>
        </w:trPr>
        <w:tc>
          <w:tcPr>
            <w:tcW w:type="dxa" w:w="3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Rule-coverage manifest IRI</w:t>
            </w:r>
          </w:p>
        </w:tc>
        <w:tc>
          <w:tcPr>
            <w:tcW w:type="dxa" w:w="108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https://kgrid.org/cks/dfu-hbot-burden/normative-rule-coverage/versions/1.0</w:t>
            </w:r>
          </w:p>
        </w:tc>
      </w:tr>
      <w:tr>
        <w:trPr>
          <w:cantSplit w:val="true"/>
        </w:trPr>
        <w:tc>
          <w:tcPr>
            <w:tcW w:type="dxa" w:w="3100"/>
            <w:tcMar>
              <w:top w:w="100" w:type="dxa"/>
              <w:start w:w="120" w:type="dxa"/>
              <w:bottom w:w="100" w:type="dxa"/>
              <w:end w:w="120" w:type="dxa"/>
            </w:tcMar>
            <w:vAlign w:val="center"/>
          </w:tcPr>
          <w:p>
            <w:pPr>
              <w:spacing w:after="0" w:line="240" w:lineRule="auto"/>
            </w:pPr>
            <w:r>
              <w:rPr>
                <w:rFonts w:ascii="Aptos" w:hAnsi="Aptos"/>
                <w:b w:val="0"/>
                <w:i w:val="0"/>
                <w:color w:val="000000"/>
                <w:sz w:val="12"/>
              </w:rPr>
              <w:t>Artifact name</w:t>
            </w:r>
          </w:p>
        </w:tc>
        <w:tc>
          <w:tcPr>
            <w:tcW w:type="dxa" w:w="10868"/>
            <w:tcMar>
              <w:top w:w="100" w:type="dxa"/>
              <w:start w:w="120" w:type="dxa"/>
              <w:bottom w:w="100" w:type="dxa"/>
              <w:end w:w="120" w:type="dxa"/>
            </w:tcMar>
            <w:vAlign w:val="center"/>
          </w:tcPr>
          <w:p>
            <w:pPr>
              <w:spacing w:after="0" w:line="240" w:lineRule="auto"/>
            </w:pPr>
            <w:r>
              <w:rPr>
                <w:rFonts w:ascii="Aptos" w:hAnsi="Aptos"/>
                <w:b w:val="0"/>
                <w:i w:val="0"/>
                <w:color w:val="000000"/>
                <w:sz w:val="12"/>
              </w:rPr>
              <w:t>DFU_HBOT_CKS_Identifier_and_Dependency_Manifest_1_0.json</w:t>
            </w:r>
          </w:p>
        </w:tc>
      </w:tr>
      <w:tr>
        <w:trPr>
          <w:cantSplit w:val="true"/>
        </w:trPr>
        <w:tc>
          <w:tcPr>
            <w:tcW w:type="dxa" w:w="3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Identifier-family count</w:t>
            </w:r>
          </w:p>
        </w:tc>
        <w:tc>
          <w:tcPr>
            <w:tcW w:type="dxa" w:w="108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16</w:t>
            </w:r>
          </w:p>
        </w:tc>
      </w:tr>
      <w:tr>
        <w:trPr>
          <w:cantSplit w:val="true"/>
        </w:trPr>
        <w:tc>
          <w:tcPr>
            <w:tcW w:type="dxa" w:w="3100"/>
            <w:tcMar>
              <w:top w:w="100" w:type="dxa"/>
              <w:start w:w="120" w:type="dxa"/>
              <w:bottom w:w="100" w:type="dxa"/>
              <w:end w:w="120" w:type="dxa"/>
            </w:tcMar>
            <w:vAlign w:val="center"/>
          </w:tcPr>
          <w:p>
            <w:pPr>
              <w:spacing w:after="0" w:line="240" w:lineRule="auto"/>
            </w:pPr>
            <w:r>
              <w:rPr>
                <w:rFonts w:ascii="Aptos" w:hAnsi="Aptos"/>
                <w:b w:val="0"/>
                <w:i w:val="0"/>
                <w:color w:val="000000"/>
                <w:sz w:val="12"/>
              </w:rPr>
              <w:t>Closed populations</w:t>
            </w:r>
          </w:p>
        </w:tc>
        <w:tc>
          <w:tcPr>
            <w:tcW w:type="dxa" w:w="10868"/>
            <w:tcMar>
              <w:top w:w="100" w:type="dxa"/>
              <w:start w:w="120" w:type="dxa"/>
              <w:bottom w:w="100" w:type="dxa"/>
              <w:end w:w="120" w:type="dxa"/>
            </w:tcMar>
            <w:vAlign w:val="center"/>
          </w:tcPr>
          <w:p>
            <w:pPr>
              <w:spacing w:after="0" w:line="240" w:lineRule="auto"/>
            </w:pPr>
            <w:r>
              <w:rPr>
                <w:rFonts w:ascii="Aptos" w:hAnsi="Aptos"/>
                <w:b w:val="0"/>
                <w:i w:val="0"/>
                <w:color w:val="000000"/>
                <w:sz w:val="12"/>
              </w:rPr>
              <w:t>4 questions; 7 questionnaire states; 14 knowledge elements; 4 analytical inputs; 10 errors; 7 audit outcomes; 8 presentation checks; 24 coverage records; 108 fixtures; 141 U.S. providers/roster records</w:t>
            </w:r>
          </w:p>
        </w:tc>
      </w:tr>
      <w:tr>
        <w:trPr>
          <w:cantSplit w:val="true"/>
        </w:trPr>
        <w:tc>
          <w:tcPr>
            <w:tcW w:type="dxa" w:w="3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Identity rule</w:t>
            </w:r>
          </w:p>
        </w:tc>
        <w:tc>
          <w:tcPr>
            <w:tcW w:type="dxa" w:w="108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Scoped compact identity is governing_scope_iri plus local identifier; no item IRI is minted unless item_iri_policy requires one</w:t>
            </w:r>
          </w:p>
        </w:tc>
      </w:tr>
      <w:tr>
        <w:trPr>
          <w:cantSplit w:val="true"/>
        </w:trPr>
        <w:tc>
          <w:tcPr>
            <w:tcW w:type="dxa" w:w="3100"/>
            <w:tcMar>
              <w:top w:w="100" w:type="dxa"/>
              <w:start w:w="120" w:type="dxa"/>
              <w:bottom w:w="100" w:type="dxa"/>
              <w:end w:w="120" w:type="dxa"/>
            </w:tcMar>
            <w:vAlign w:val="center"/>
          </w:tcPr>
          <w:p>
            <w:pPr>
              <w:spacing w:after="0" w:line="240" w:lineRule="auto"/>
            </w:pPr>
            <w:r>
              <w:rPr>
                <w:rFonts w:ascii="Aptos" w:hAnsi="Aptos"/>
                <w:b w:val="0"/>
                <w:i w:val="0"/>
                <w:color w:val="000000"/>
                <w:sz w:val="12"/>
              </w:rPr>
              <w:t>Persistent item IRIs</w:t>
            </w:r>
          </w:p>
        </w:tc>
        <w:tc>
          <w:tcPr>
            <w:tcW w:type="dxa" w:w="10868"/>
            <w:tcMar>
              <w:top w:w="100" w:type="dxa"/>
              <w:start w:w="120" w:type="dxa"/>
              <w:bottom w:w="100" w:type="dxa"/>
              <w:end w:w="120" w:type="dxa"/>
            </w:tcMar>
            <w:vAlign w:val="center"/>
          </w:tcPr>
          <w:p>
            <w:pPr>
              <w:spacing w:after="0" w:line="240" w:lineRule="auto"/>
            </w:pPr>
            <w:r>
              <w:rPr>
                <w:rFonts w:ascii="Aptos" w:hAnsi="Aptos"/>
                <w:b w:val="0"/>
                <w:i w:val="0"/>
                <w:color w:val="000000"/>
                <w:sz w:val="12"/>
              </w:rPr>
              <w:t>Stable provider IRIs, version-specific roster-record IRIs, and result-instance IRIs only</w:t>
            </w:r>
          </w:p>
        </w:tc>
      </w:tr>
    </w:tbl>
    <w:p>
      <w:pPr>
        <w:spacing w:after="20"/>
      </w:pPr>
    </w:p>
    <w:p>
      <w:pPr>
        <w:pStyle w:val="Heading2"/>
      </w:pPr>
      <w:r>
        <w:t>Appendix A.4 Normative Dependency Manifest</w:t>
      </w:r>
    </w:p>
    <w:p>
      <w:r>
        <w:rPr>
          <w:rFonts w:ascii="Aptos" w:hAnsi="Aptos"/>
          <w:b w:val="0"/>
          <w:i w:val="0"/>
          <w:sz w:val="18"/>
        </w:rPr>
        <w:t>The following dependency bindings are closed. An implementation SHALL NOT substitute a family IRI, latest alias, later version, locally cached successor, network-discovered resource, or semantically claimed equivalent for an exact dependency. DEP-10 is deliberately runtime-bound: its exact engine IRI and version are supplied by the executing implementation and captured in result provenance. The machine-readable manifest is the normative full form.</w:t>
      </w:r>
    </w:p>
    <w:tbl>
      <w:tblPr>
        <w:tblW w:type="dxa" w:w="13968"/>
        <w:tblLayout w:type="fixed"/>
        <w:tblLook w:firstColumn="1" w:firstRow="1" w:lastColumn="0" w:lastRow="0" w:noHBand="0" w:noVBand="1" w:val="04A0"/>
        <w:tblInd w:w="120" w:type="dxa"/>
      </w:tblPr>
      <w:tblGrid>
        <w:gridCol w:w="900"/>
        <w:gridCol w:w="2500"/>
        <w:gridCol w:w="4900"/>
        <w:gridCol w:w="1400"/>
        <w:gridCol w:w="2700"/>
        <w:gridCol w:w="1568"/>
      </w:tblGrid>
      <w:tr>
        <w:trPr>
          <w:cantSplit w:val="true"/>
          <w:tblHeader w:val="true"/>
        </w:trPr>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2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TYPE</w:t>
            </w:r>
          </w:p>
        </w:tc>
        <w:tc>
          <w:tcPr>
            <w:tcW w:type="dxa" w:w="49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DEPENDENCY IRI</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BINDING</w:t>
            </w:r>
          </w:p>
        </w:tc>
        <w:tc>
          <w:tcPr>
            <w:tcW w:type="dxa" w:w="27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REQUIRED PHASE</w:t>
            </w:r>
          </w:p>
        </w:tc>
        <w:tc>
          <w:tcPr>
            <w:tcW w:type="dxa" w:w="15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FAILURE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0"/>
              </w:rPr>
              <w:t>DEP-01</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0"/>
              </w:rPr>
              <w:t>governing_identifier_policy</w:t>
            </w:r>
          </w:p>
        </w:tc>
        <w:tc>
          <w:tcPr>
            <w:tcW w:type="dxa" w:w="4900"/>
            <w:tcMar>
              <w:top w:w="100" w:type="dxa"/>
              <w:start w:w="120" w:type="dxa"/>
              <w:bottom w:w="100" w:type="dxa"/>
              <w:end w:w="120" w:type="dxa"/>
            </w:tcMar>
            <w:vAlign w:val="center"/>
          </w:tcPr>
          <w:p>
            <w:pPr>
              <w:spacing w:after="0" w:line="240" w:lineRule="auto"/>
            </w:pPr>
            <w:r>
              <w:rPr>
                <w:rFonts w:ascii="Aptos" w:hAnsi="Aptos"/>
                <w:b w:val="0"/>
                <w:i w:val="0"/>
                <w:color w:val="000000"/>
                <w:sz w:val="10"/>
              </w:rPr>
              <w:t>https://kgrid.org/standards/cks-iri/versions/0.1</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0"/>
              </w:rPr>
              <w:t>authoring_and_publication</w:t>
            </w:r>
          </w:p>
        </w:tc>
        <w:tc>
          <w:tcPr>
            <w:tcW w:type="dxa" w:w="1568"/>
            <w:tcMar>
              <w:top w:w="100" w:type="dxa"/>
              <w:start w:w="120" w:type="dxa"/>
              <w:bottom w:w="100" w:type="dxa"/>
              <w:end w:w="120" w:type="dxa"/>
            </w:tcMar>
            <w:vAlign w:val="center"/>
          </w:tcPr>
          <w:p>
            <w:pPr>
              <w:spacing w:after="0" w:line="240" w:lineRule="auto"/>
            </w:pPr>
            <w:r>
              <w:rPr>
                <w:rFonts w:ascii="Aptos" w:hAnsi="Aptos"/>
                <w:b w:val="0"/>
                <w:i w:val="0"/>
                <w:color w:val="000000"/>
                <w:sz w:val="10"/>
              </w:rPr>
              <w:t>conformance_claim_prohibited</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DEP-02</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governing_response_model</w:t>
            </w:r>
          </w:p>
        </w:tc>
        <w:tc>
          <w:tcPr>
            <w:tcW w:type="dxa" w:w="4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https://kgrid.org/cks/dfu-hbot-burden/response-models/1.0</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questionnaire_and_analysis</w:t>
            </w:r>
          </w:p>
        </w:tc>
        <w:tc>
          <w:tcPr>
            <w:tcW w:type="dxa" w:w="15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ERR-05</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0"/>
              </w:rPr>
              <w:t>DEP-03</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0"/>
              </w:rPr>
              <w:t>named_output_model</w:t>
            </w:r>
          </w:p>
        </w:tc>
        <w:tc>
          <w:tcPr>
            <w:tcW w:type="dxa" w:w="4900"/>
            <w:tcMar>
              <w:top w:w="100" w:type="dxa"/>
              <w:start w:w="120" w:type="dxa"/>
              <w:bottom w:w="100" w:type="dxa"/>
              <w:end w:w="120" w:type="dxa"/>
            </w:tcMar>
            <w:vAlign w:val="center"/>
          </w:tcPr>
          <w:p>
            <w:pPr>
              <w:spacing w:after="0" w:line="240" w:lineRule="auto"/>
            </w:pPr>
            <w:r>
              <w:rPr>
                <w:rFonts w:ascii="Aptos" w:hAnsi="Aptos"/>
                <w:b w:val="0"/>
                <w:i w:val="0"/>
                <w:color w:val="000000"/>
                <w:sz w:val="10"/>
              </w:rPr>
              <w:t>https://kgrid.org/cks/dfu-hbot-burden/output-models/1.0</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0"/>
              </w:rPr>
              <w:t>analysis_and_audit</w:t>
            </w:r>
          </w:p>
        </w:tc>
        <w:tc>
          <w:tcPr>
            <w:tcW w:type="dxa" w:w="1568"/>
            <w:tcMar>
              <w:top w:w="100" w:type="dxa"/>
              <w:start w:w="120" w:type="dxa"/>
              <w:bottom w:w="100" w:type="dxa"/>
              <w:end w:w="120" w:type="dxa"/>
            </w:tcMar>
            <w:vAlign w:val="center"/>
          </w:tcPr>
          <w:p>
            <w:pPr>
              <w:spacing w:after="0" w:line="240" w:lineRule="auto"/>
            </w:pPr>
            <w:r>
              <w:rPr>
                <w:rFonts w:ascii="Aptos" w:hAnsi="Aptos"/>
                <w:b w:val="0"/>
                <w:i w:val="0"/>
                <w:color w:val="000000"/>
                <w:sz w:val="10"/>
              </w:rPr>
              <w:t>AUDIT-03</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DEP-04</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question_set</w:t>
            </w:r>
          </w:p>
        </w:tc>
        <w:tc>
          <w:tcPr>
            <w:tcW w:type="dxa" w:w="4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https://kgrid.org/cks/dfu-hbot-burden/question-sets/burden-questionnaire/versions/1.0</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questionnaire</w:t>
            </w:r>
          </w:p>
        </w:tc>
        <w:tc>
          <w:tcPr>
            <w:tcW w:type="dxa" w:w="15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questionnaire_completion_prohibited</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0"/>
              </w:rPr>
              <w:t>DEP-05</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0"/>
              </w:rPr>
              <w:t>general_regimen_knowledge_package</w:t>
            </w:r>
          </w:p>
        </w:tc>
        <w:tc>
          <w:tcPr>
            <w:tcW w:type="dxa" w:w="4900"/>
            <w:tcMar>
              <w:top w:w="100" w:type="dxa"/>
              <w:start w:w="120" w:type="dxa"/>
              <w:bottom w:w="100" w:type="dxa"/>
              <w:end w:w="120" w:type="dxa"/>
            </w:tcMar>
            <w:vAlign w:val="center"/>
          </w:tcPr>
          <w:p>
            <w:pPr>
              <w:spacing w:after="0" w:line="240" w:lineRule="auto"/>
            </w:pPr>
            <w:r>
              <w:rPr>
                <w:rFonts w:ascii="Aptos" w:hAnsi="Aptos"/>
                <w:b w:val="0"/>
                <w:i w:val="0"/>
                <w:color w:val="000000"/>
                <w:sz w:val="10"/>
              </w:rPr>
              <w:t>https://kgrid.org/cks/dfu-hbot-burden/knowledge-packages/general-dfu-regimen/versions/1.0</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0"/>
              </w:rPr>
              <w:t>regimen_range_and_analysis</w:t>
            </w:r>
          </w:p>
        </w:tc>
        <w:tc>
          <w:tcPr>
            <w:tcW w:type="dxa" w:w="1568"/>
            <w:tcMar>
              <w:top w:w="100" w:type="dxa"/>
              <w:start w:w="120" w:type="dxa"/>
              <w:bottom w:w="100" w:type="dxa"/>
              <w:end w:w="120" w:type="dxa"/>
            </w:tcMar>
            <w:vAlign w:val="center"/>
          </w:tcPr>
          <w:p>
            <w:pPr>
              <w:spacing w:after="0" w:line="240" w:lineRule="auto"/>
            </w:pPr>
            <w:r>
              <w:rPr>
                <w:rFonts w:ascii="Aptos" w:hAnsi="Aptos"/>
                <w:b w:val="0"/>
                <w:i w:val="0"/>
                <w:color w:val="000000"/>
                <w:sz w:val="10"/>
              </w:rPr>
              <w:t>ERR-05</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DEP-06</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provider_roster_snapshot</w:t>
            </w:r>
          </w:p>
        </w:tc>
        <w:tc>
          <w:tcPr>
            <w:tcW w:type="dxa" w:w="4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https://kgrid.org/cks/dfu-hbot-burden/provider-rosters/appendix-e/versions/1.0</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questionnaire_analysis_and_replay</w:t>
            </w:r>
          </w:p>
        </w:tc>
        <w:tc>
          <w:tcPr>
            <w:tcW w:type="dxa" w:w="15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ERR-05_or_ERR-10_per_stage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0"/>
              </w:rPr>
              <w:t>DEP-07</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0"/>
              </w:rPr>
              <w:t>normative_schema_bundle</w:t>
            </w:r>
          </w:p>
        </w:tc>
        <w:tc>
          <w:tcPr>
            <w:tcW w:type="dxa" w:w="4900"/>
            <w:tcMar>
              <w:top w:w="100" w:type="dxa"/>
              <w:start w:w="120" w:type="dxa"/>
              <w:bottom w:w="100" w:type="dxa"/>
              <w:end w:w="120" w:type="dxa"/>
            </w:tcMar>
            <w:vAlign w:val="center"/>
          </w:tcPr>
          <w:p>
            <w:pPr>
              <w:spacing w:after="0" w:line="240" w:lineRule="auto"/>
            </w:pPr>
            <w:r>
              <w:rPr>
                <w:rFonts w:ascii="Aptos" w:hAnsi="Aptos"/>
                <w:b w:val="0"/>
                <w:i w:val="0"/>
                <w:color w:val="000000"/>
                <w:sz w:val="10"/>
              </w:rPr>
              <w:t>https://kgrid.org/cks/dfu-hbot-burden/schema-bundles/versions/1.0</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0"/>
              </w:rPr>
              <w:t>validation_and_replay</w:t>
            </w:r>
          </w:p>
        </w:tc>
        <w:tc>
          <w:tcPr>
            <w:tcW w:type="dxa" w:w="1568"/>
            <w:tcMar>
              <w:top w:w="100" w:type="dxa"/>
              <w:start w:w="120" w:type="dxa"/>
              <w:bottom w:w="100" w:type="dxa"/>
              <w:end w:w="120" w:type="dxa"/>
            </w:tcMar>
            <w:vAlign w:val="center"/>
          </w:tcPr>
          <w:p>
            <w:pPr>
              <w:spacing w:after="0" w:line="240" w:lineRule="auto"/>
            </w:pPr>
            <w:r>
              <w:rPr>
                <w:rFonts w:ascii="Aptos" w:hAnsi="Aptos"/>
                <w:b w:val="0"/>
                <w:i w:val="0"/>
                <w:color w:val="000000"/>
                <w:sz w:val="10"/>
              </w:rPr>
              <w:t>conformance_or_replay_prohibited</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DEP-08</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executable_fixture_bundle</w:t>
            </w:r>
          </w:p>
        </w:tc>
        <w:tc>
          <w:tcPr>
            <w:tcW w:type="dxa" w:w="4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https://kgrid.org/cks/dfu-hbot-burden/conformance-fixtures/versions/1.0</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conformance_testing</w:t>
            </w:r>
          </w:p>
        </w:tc>
        <w:tc>
          <w:tcPr>
            <w:tcW w:type="dxa" w:w="15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conformance_claim_prohibited</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0"/>
              </w:rPr>
              <w:t>DEP-09</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0"/>
              </w:rPr>
              <w:t>identifier_and_dependency_manifest</w:t>
            </w:r>
          </w:p>
        </w:tc>
        <w:tc>
          <w:tcPr>
            <w:tcW w:type="dxa" w:w="4900"/>
            <w:tcMar>
              <w:top w:w="100" w:type="dxa"/>
              <w:start w:w="120" w:type="dxa"/>
              <w:bottom w:w="100" w:type="dxa"/>
              <w:end w:w="120" w:type="dxa"/>
            </w:tcMar>
            <w:vAlign w:val="center"/>
          </w:tcPr>
          <w:p>
            <w:pPr>
              <w:spacing w:after="0" w:line="240" w:lineRule="auto"/>
            </w:pPr>
            <w:r>
              <w:rPr>
                <w:rFonts w:ascii="Aptos" w:hAnsi="Aptos"/>
                <w:b w:val="0"/>
                <w:i w:val="0"/>
                <w:color w:val="000000"/>
                <w:sz w:val="10"/>
              </w:rPr>
              <w:t>https://kgrid.org/cks/dfu-hbot-burden/identifier-dependency-manifests/versions/1.0</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0"/>
              </w:rPr>
              <w:t>implementation_validation_and_replay</w:t>
            </w:r>
          </w:p>
        </w:tc>
        <w:tc>
          <w:tcPr>
            <w:tcW w:type="dxa" w:w="1568"/>
            <w:tcMar>
              <w:top w:w="100" w:type="dxa"/>
              <w:start w:w="120" w:type="dxa"/>
              <w:bottom w:w="100" w:type="dxa"/>
              <w:end w:w="120" w:type="dxa"/>
            </w:tcMar>
            <w:vAlign w:val="center"/>
          </w:tcPr>
          <w:p>
            <w:pPr>
              <w:spacing w:after="0" w:line="240" w:lineRule="auto"/>
            </w:pPr>
            <w:r>
              <w:rPr>
                <w:rFonts w:ascii="Aptos" w:hAnsi="Aptos"/>
                <w:b w:val="0"/>
                <w:i w:val="0"/>
                <w:color w:val="000000"/>
                <w:sz w:val="10"/>
              </w:rPr>
              <w:t>identifier_or_dependency_conformance_prohibited</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DEP-10</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engine_implementation</w:t>
            </w:r>
          </w:p>
        </w:tc>
        <w:tc>
          <w:tcPr>
            <w:tcW w:type="dxa" w:w="4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Runtime-supplied; no CKS-fixed IRI</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runtime_exact</w:t>
            </w:r>
          </w:p>
        </w:tc>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analysis_and_replay</w:t>
            </w:r>
          </w:p>
        </w:tc>
        <w:tc>
          <w:tcPr>
            <w:tcW w:type="dxa" w:w="15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AUDIT-03_or_AUDIT-07</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0"/>
              </w:rPr>
              <w:t>DEP-11</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0"/>
              </w:rPr>
              <w:t>normative_rule_coverage_manifest</w:t>
            </w:r>
          </w:p>
        </w:tc>
        <w:tc>
          <w:tcPr>
            <w:tcW w:type="dxa" w:w="4900"/>
            <w:tcMar>
              <w:top w:w="100" w:type="dxa"/>
              <w:start w:w="120" w:type="dxa"/>
              <w:bottom w:w="100" w:type="dxa"/>
              <w:end w:w="120" w:type="dxa"/>
            </w:tcMar>
            <w:vAlign w:val="center"/>
          </w:tcPr>
          <w:p>
            <w:pPr>
              <w:spacing w:after="0" w:line="240" w:lineRule="auto"/>
            </w:pPr>
            <w:r>
              <w:rPr>
                <w:rFonts w:ascii="Aptos" w:hAnsi="Aptos"/>
                <w:b w:val="0"/>
                <w:i w:val="0"/>
                <w:color w:val="000000"/>
                <w:sz w:val="10"/>
              </w:rPr>
              <w:t>https://kgrid.org/cks/dfu-hbot-burden/normative-rule-coverage/versions/1.0</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exact</w:t>
            </w:r>
          </w:p>
        </w:tc>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0"/>
              </w:rPr>
              <w:t>conformance_claim</w:t>
            </w:r>
          </w:p>
        </w:tc>
        <w:tc>
          <w:tcPr>
            <w:tcW w:type="dxa" w:w="1568"/>
            <w:tcMar>
              <w:top w:w="100" w:type="dxa"/>
              <w:start w:w="120" w:type="dxa"/>
              <w:bottom w:w="100" w:type="dxa"/>
              <w:end w:w="120" w:type="dxa"/>
            </w:tcMar>
            <w:vAlign w:val="center"/>
          </w:tcPr>
          <w:p>
            <w:pPr>
              <w:spacing w:after="0" w:line="240" w:lineRule="auto"/>
            </w:pPr>
            <w:r>
              <w:rPr>
                <w:rFonts w:ascii="Aptos" w:hAnsi="Aptos"/>
                <w:b w:val="0"/>
                <w:i w:val="0"/>
                <w:color w:val="000000"/>
                <w:sz w:val="10"/>
              </w:rPr>
              <w:t>conformance_claim_prohibited</w:t>
            </w:r>
          </w:p>
        </w:tc>
      </w:tr>
    </w:tbl>
    <w:p>
      <w:pPr>
        <w:spacing w:after="20"/>
      </w:pPr>
    </w:p>
    <w:p>
      <w:pPr>
        <w:pStyle w:val="Heading1"/>
      </w:pPr>
      <w:r>
        <w:t>Appendix B. Complete Execution-burden Decision Matrix</w:t>
      </w:r>
    </w:p>
    <w:tbl>
      <w:tblPr>
        <w:tblW w:type="dxa" w:w="13968"/>
        <w:tblLayout w:type="fixed"/>
        <w:tblLook w:firstColumn="1" w:firstRow="1" w:lastColumn="0" w:lastRow="0" w:noHBand="0" w:noVBand="1" w:val="04A0"/>
        <w:tblInd w:w="120" w:type="dxa"/>
      </w:tblPr>
      <w:tblGrid>
        <w:gridCol w:w="3500"/>
        <w:gridCol w:w="3200"/>
        <w:gridCol w:w="1200"/>
        <w:gridCol w:w="6068"/>
      </w:tblGrid>
      <w:tr>
        <w:trPr>
          <w:cantSplit w:val="true"/>
          <w:tblHeader w:val="true"/>
        </w:trPr>
        <w:tc>
          <w:tcPr>
            <w:tcW w:type="dxa" w:w="35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REPORTED TRAVEL BAND</w:t>
            </w:r>
          </w:p>
        </w:tc>
        <w:tc>
          <w:tcPr>
            <w:tcW w:type="dxa" w:w="3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WEEKDAY ATTENDANCE</w:t>
            </w:r>
          </w:p>
        </w:tc>
        <w:tc>
          <w:tcPr>
            <w:tcW w:type="dxa" w:w="1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SCORE</w:t>
            </w:r>
          </w:p>
        </w:tc>
        <w:tc>
          <w:tcPr>
            <w:tcW w:type="dxa" w:w="60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EXECUTION-BURDEN CATEGORY</w:t>
            </w:r>
          </w:p>
        </w:tc>
      </w:tr>
      <w:tr>
        <w:trPr>
          <w:cantSplit w:val="true"/>
        </w:trPr>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low</w:t>
            </w:r>
          </w:p>
        </w:tc>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2"/>
              </w:rPr>
              <w:t>none</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6068"/>
            <w:tcMar>
              <w:top w:w="100" w:type="dxa"/>
              <w:start w:w="120" w:type="dxa"/>
              <w:bottom w:w="100" w:type="dxa"/>
              <w:end w:w="120" w:type="dxa"/>
            </w:tcMar>
            <w:vAlign w:val="center"/>
          </w:tcPr>
          <w:p>
            <w:pPr>
              <w:spacing w:after="0" w:line="240" w:lineRule="auto"/>
            </w:pPr>
            <w:r>
              <w:rPr>
                <w:rFonts w:ascii="Aptos" w:hAnsi="Aptos"/>
                <w:b w:val="0"/>
                <w:i w:val="0"/>
                <w:color w:val="000000"/>
                <w:sz w:val="12"/>
              </w:rPr>
              <w:t>low_execution_burden</w:t>
            </w:r>
          </w:p>
        </w:tc>
      </w:tr>
      <w:tr>
        <w:trPr>
          <w:cantSplit w:val="true"/>
        </w:trPr>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low</w:t>
            </w:r>
          </w:p>
        </w:tc>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some</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2</w:t>
            </w:r>
          </w:p>
        </w:tc>
        <w:tc>
          <w:tcPr>
            <w:tcW w:type="dxa" w:w="60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moderate_execution_burden</w:t>
            </w:r>
          </w:p>
        </w:tc>
      </w:tr>
      <w:tr>
        <w:trPr>
          <w:cantSplit w:val="true"/>
        </w:trPr>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low</w:t>
            </w:r>
          </w:p>
        </w:tc>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2"/>
              </w:rPr>
              <w:t>major</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4</w:t>
            </w:r>
          </w:p>
        </w:tc>
        <w:tc>
          <w:tcPr>
            <w:tcW w:type="dxa" w:w="6068"/>
            <w:tcMar>
              <w:top w:w="100" w:type="dxa"/>
              <w:start w:w="120" w:type="dxa"/>
              <w:bottom w:w="100" w:type="dxa"/>
              <w:end w:w="120" w:type="dxa"/>
            </w:tcMar>
            <w:vAlign w:val="center"/>
          </w:tcPr>
          <w:p>
            <w:pPr>
              <w:spacing w:after="0" w:line="240" w:lineRule="auto"/>
            </w:pPr>
            <w:r>
              <w:rPr>
                <w:rFonts w:ascii="Aptos" w:hAnsi="Aptos"/>
                <w:b w:val="0"/>
                <w:i w:val="0"/>
                <w:color w:val="000000"/>
                <w:sz w:val="12"/>
              </w:rPr>
              <w:t>very_high_execution_burden</w:t>
            </w:r>
          </w:p>
        </w:tc>
      </w:tr>
      <w:tr>
        <w:trPr>
          <w:cantSplit w:val="true"/>
        </w:trPr>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moderate</w:t>
            </w:r>
          </w:p>
        </w:tc>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none</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2</w:t>
            </w:r>
          </w:p>
        </w:tc>
        <w:tc>
          <w:tcPr>
            <w:tcW w:type="dxa" w:w="60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moderate_execution_burden</w:t>
            </w:r>
          </w:p>
        </w:tc>
      </w:tr>
      <w:tr>
        <w:trPr>
          <w:cantSplit w:val="true"/>
        </w:trPr>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moderate</w:t>
            </w:r>
          </w:p>
        </w:tc>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2"/>
              </w:rPr>
              <w:t>some</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3</w:t>
            </w:r>
          </w:p>
        </w:tc>
        <w:tc>
          <w:tcPr>
            <w:tcW w:type="dxa" w:w="6068"/>
            <w:tcMar>
              <w:top w:w="100" w:type="dxa"/>
              <w:start w:w="120" w:type="dxa"/>
              <w:bottom w:w="100" w:type="dxa"/>
              <w:end w:w="120" w:type="dxa"/>
            </w:tcMar>
            <w:vAlign w:val="center"/>
          </w:tcPr>
          <w:p>
            <w:pPr>
              <w:spacing w:after="0" w:line="240" w:lineRule="auto"/>
            </w:pPr>
            <w:r>
              <w:rPr>
                <w:rFonts w:ascii="Aptos" w:hAnsi="Aptos"/>
                <w:b w:val="0"/>
                <w:i w:val="0"/>
                <w:color w:val="000000"/>
                <w:sz w:val="12"/>
              </w:rPr>
              <w:t>high_execution_burden</w:t>
            </w:r>
          </w:p>
        </w:tc>
      </w:tr>
      <w:tr>
        <w:trPr>
          <w:cantSplit w:val="true"/>
        </w:trPr>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moderate</w:t>
            </w:r>
          </w:p>
        </w:tc>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major</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w:t>
            </w:r>
          </w:p>
        </w:tc>
        <w:tc>
          <w:tcPr>
            <w:tcW w:type="dxa" w:w="60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very_high_execution_burden</w:t>
            </w:r>
          </w:p>
        </w:tc>
      </w:tr>
      <w:tr>
        <w:trPr>
          <w:cantSplit w:val="true"/>
        </w:trPr>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high</w:t>
            </w:r>
          </w:p>
        </w:tc>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2"/>
              </w:rPr>
              <w:t>none</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3</w:t>
            </w:r>
          </w:p>
        </w:tc>
        <w:tc>
          <w:tcPr>
            <w:tcW w:type="dxa" w:w="6068"/>
            <w:tcMar>
              <w:top w:w="100" w:type="dxa"/>
              <w:start w:w="120" w:type="dxa"/>
              <w:bottom w:w="100" w:type="dxa"/>
              <w:end w:w="120" w:type="dxa"/>
            </w:tcMar>
            <w:vAlign w:val="center"/>
          </w:tcPr>
          <w:p>
            <w:pPr>
              <w:spacing w:after="0" w:line="240" w:lineRule="auto"/>
            </w:pPr>
            <w:r>
              <w:rPr>
                <w:rFonts w:ascii="Aptos" w:hAnsi="Aptos"/>
                <w:b w:val="0"/>
                <w:i w:val="0"/>
                <w:color w:val="000000"/>
                <w:sz w:val="12"/>
              </w:rPr>
              <w:t>high_execution_burden</w:t>
            </w:r>
          </w:p>
        </w:tc>
      </w:tr>
      <w:tr>
        <w:trPr>
          <w:cantSplit w:val="true"/>
        </w:trPr>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high</w:t>
            </w:r>
          </w:p>
        </w:tc>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some</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w:t>
            </w:r>
          </w:p>
        </w:tc>
        <w:tc>
          <w:tcPr>
            <w:tcW w:type="dxa" w:w="60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very_high_execution_burden</w:t>
            </w:r>
          </w:p>
        </w:tc>
      </w:tr>
      <w:tr>
        <w:trPr>
          <w:cantSplit w:val="true"/>
        </w:trPr>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high</w:t>
            </w:r>
          </w:p>
        </w:tc>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2"/>
              </w:rPr>
              <w:t>major</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5</w:t>
            </w:r>
          </w:p>
        </w:tc>
        <w:tc>
          <w:tcPr>
            <w:tcW w:type="dxa" w:w="6068"/>
            <w:tcMar>
              <w:top w:w="100" w:type="dxa"/>
              <w:start w:w="120" w:type="dxa"/>
              <w:bottom w:w="100" w:type="dxa"/>
              <w:end w:w="120" w:type="dxa"/>
            </w:tcMar>
            <w:vAlign w:val="center"/>
          </w:tcPr>
          <w:p>
            <w:pPr>
              <w:spacing w:after="0" w:line="240" w:lineRule="auto"/>
            </w:pPr>
            <w:r>
              <w:rPr>
                <w:rFonts w:ascii="Aptos" w:hAnsi="Aptos"/>
                <w:b w:val="0"/>
                <w:i w:val="0"/>
                <w:color w:val="000000"/>
                <w:sz w:val="12"/>
              </w:rPr>
              <w:t>extreme_execution_burden</w:t>
            </w:r>
          </w:p>
        </w:tc>
      </w:tr>
      <w:tr>
        <w:trPr>
          <w:cantSplit w:val="true"/>
        </w:trPr>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very_high</w:t>
            </w:r>
          </w:p>
        </w:tc>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none</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w:t>
            </w:r>
          </w:p>
        </w:tc>
        <w:tc>
          <w:tcPr>
            <w:tcW w:type="dxa" w:w="60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very_high_execution_burden</w:t>
            </w:r>
          </w:p>
        </w:tc>
      </w:tr>
      <w:tr>
        <w:trPr>
          <w:cantSplit w:val="true"/>
        </w:trPr>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2"/>
              </w:rPr>
              <w:t>very_high</w:t>
            </w:r>
          </w:p>
        </w:tc>
        <w:tc>
          <w:tcPr>
            <w:tcW w:type="dxa" w:w="3200"/>
            <w:tcMar>
              <w:top w:w="100" w:type="dxa"/>
              <w:start w:w="120" w:type="dxa"/>
              <w:bottom w:w="100" w:type="dxa"/>
              <w:end w:w="120" w:type="dxa"/>
            </w:tcMar>
            <w:vAlign w:val="center"/>
          </w:tcPr>
          <w:p>
            <w:pPr>
              <w:spacing w:after="0" w:line="240" w:lineRule="auto"/>
            </w:pPr>
            <w:r>
              <w:rPr>
                <w:rFonts w:ascii="Aptos" w:hAnsi="Aptos"/>
                <w:b w:val="0"/>
                <w:i w:val="0"/>
                <w:color w:val="000000"/>
                <w:sz w:val="12"/>
              </w:rPr>
              <w:t>some</w:t>
            </w:r>
          </w:p>
        </w:tc>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5</w:t>
            </w:r>
          </w:p>
        </w:tc>
        <w:tc>
          <w:tcPr>
            <w:tcW w:type="dxa" w:w="6068"/>
            <w:tcMar>
              <w:top w:w="100" w:type="dxa"/>
              <w:start w:w="120" w:type="dxa"/>
              <w:bottom w:w="100" w:type="dxa"/>
              <w:end w:w="120" w:type="dxa"/>
            </w:tcMar>
            <w:vAlign w:val="center"/>
          </w:tcPr>
          <w:p>
            <w:pPr>
              <w:spacing w:after="0" w:line="240" w:lineRule="auto"/>
            </w:pPr>
            <w:r>
              <w:rPr>
                <w:rFonts w:ascii="Aptos" w:hAnsi="Aptos"/>
                <w:b w:val="0"/>
                <w:i w:val="0"/>
                <w:color w:val="000000"/>
                <w:sz w:val="12"/>
              </w:rPr>
              <w:t>extreme_execution_burden</w:t>
            </w:r>
          </w:p>
        </w:tc>
      </w:tr>
      <w:tr>
        <w:trPr>
          <w:cantSplit w:val="true"/>
        </w:trPr>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very_high</w:t>
            </w:r>
          </w:p>
        </w:tc>
        <w:tc>
          <w:tcPr>
            <w:tcW w:type="dxa" w:w="3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major</w:t>
            </w:r>
          </w:p>
        </w:tc>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5</w:t>
            </w:r>
          </w:p>
        </w:tc>
        <w:tc>
          <w:tcPr>
            <w:tcW w:type="dxa" w:w="60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extreme_execution_burden</w:t>
            </w:r>
          </w:p>
        </w:tc>
      </w:tr>
    </w:tbl>
    <w:p>
      <w:pPr>
        <w:spacing w:after="20"/>
      </w:pPr>
    </w:p>
    <w:p>
      <w:pPr>
        <w:pStyle w:val="Heading1"/>
      </w:pPr>
      <w:r>
        <w:t>Appendix C. Canonical Conformance Test Cases</w:t>
      </w:r>
    </w:p>
    <w:p>
      <w:r>
        <w:rPr>
          <w:rFonts w:ascii="Aptos" w:hAnsi="Aptos"/>
          <w:b w:val="0"/>
          <w:i w:val="0"/>
          <w:sz w:val="18"/>
        </w:rPr>
        <w:t>RR cases apply to Regimen Range, QT cases to Burden Questionnaire Logic, and TC cases to Burden Response Analysis. RT cases apply to the provider-roster dependency. A Complete realization SHALL pass all sets and demonstrate both exact handoffs.</w:t>
      </w:r>
    </w:p>
    <w:p>
      <w:pPr>
        <w:pStyle w:val="Heading2"/>
      </w:pPr>
      <w:r>
        <w:t>Appendix C.1 Normative Executable Fixture Bundle</w:t>
      </w:r>
    </w:p>
    <w:p>
      <w:r>
        <w:rPr>
          <w:rFonts w:ascii="Aptos" w:hAnsi="Aptos"/>
          <w:b w:val="0"/>
          <w:i w:val="0"/>
          <w:sz w:val="18"/>
        </w:rPr>
        <w:t>The narrative rows below are a human-readable index only. Normative test inputs, dependency states, expected responses, expected questionnaire states, complete analysis results, error objects, roster-validation outcomes, and duplicate-member raw JSON are supplied in the immutable executable fixture bundle identified below. Implementers SHALL NOT construct expected values from the abbreviated narrative rows.</w:t>
      </w:r>
    </w:p>
    <w:tbl>
      <w:tblPr>
        <w:tblW w:type="dxa" w:w="9360"/>
        <w:tblLayout w:type="fixed"/>
        <w:tblLook w:firstColumn="1" w:firstRow="1" w:lastColumn="0" w:lastRow="0" w:noHBand="0" w:noVBand="1" w:val="04A0"/>
        <w:tblInd w:w="120" w:type="dxa"/>
      </w:tblPr>
      <w:tblGrid>
        <w:gridCol w:w="2700"/>
        <w:gridCol w:w="6660"/>
      </w:tblGrid>
      <w:tr>
        <w:trPr>
          <w:cantSplit w:val="true"/>
          <w:tblHeader w:val="true"/>
        </w:trPr>
        <w:tc>
          <w:tcPr>
            <w:tcW w:type="dxa" w:w="270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PROPERTY</w:t>
            </w:r>
          </w:p>
        </w:tc>
        <w:tc>
          <w:tcPr>
            <w:tcW w:type="dxa" w:w="6660"/>
            <w:tcMar>
              <w:top w:w="100" w:type="dxa"/>
              <w:start w:w="120" w:type="dxa"/>
              <w:bottom w:w="100" w:type="dxa"/>
              <w:end w:w="120" w:type="dxa"/>
            </w:tcMar>
            <w:vAlign w:val="center"/>
            <w:shd w:fill="174F78"/>
          </w:tcPr>
          <w:p>
            <w:pPr>
              <w:spacing w:after="0" w:line="240" w:lineRule="auto"/>
            </w:pPr>
            <w:r>
              <w:rPr>
                <w:rFonts w:ascii="Aptos" w:hAnsi="Aptos"/>
                <w:b/>
                <w:i w:val="0"/>
                <w:color w:val="FFFFFF"/>
                <w:sz w:val="13"/>
              </w:rPr>
              <w:t>NORMATIVE VALUE</w:t>
            </w:r>
          </w:p>
        </w:tc>
      </w:tr>
      <w:tr>
        <w:trPr>
          <w:cantSplit w:val="true"/>
        </w:trPr>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3"/>
              </w:rPr>
              <w:t>Fixture-bundle IRI</w:t>
            </w:r>
          </w:p>
        </w:tc>
        <w:tc>
          <w:tcPr>
            <w:tcW w:type="dxa" w:w="66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https://kgrid.org/cks/dfu-hbot-burden/conformance-fixtures/versions/1.0</w:t>
            </w:r>
          </w:p>
        </w:tc>
      </w:tr>
      <w:tr>
        <w:trPr>
          <w:cantSplit w:val="true"/>
        </w:trPr>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Archive name</w:t>
            </w:r>
          </w:p>
        </w:tc>
        <w:tc>
          <w:tcPr>
            <w:tcW w:type="dxa" w:w="6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DFU_HBOT_CKS_Conformance_Fixtures_1_0.zip</w:t>
            </w:r>
          </w:p>
        </w:tc>
      </w:tr>
      <w:tr>
        <w:trPr>
          <w:cantSplit w:val="true"/>
        </w:trPr>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3"/>
              </w:rPr>
              <w:t>Identifier/dependency manifest</w:t>
            </w:r>
          </w:p>
        </w:tc>
        <w:tc>
          <w:tcPr>
            <w:tcW w:type="dxa" w:w="66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https://kgrid.org/cks/dfu-hbot-burden/identifier-dependency-manifests/versions/1.0; bundled as identifier-dependency-manifest.json</w:t>
            </w:r>
          </w:p>
        </w:tc>
      </w:tr>
      <w:tr>
        <w:trPr>
          <w:cantSplit w:val="true"/>
        </w:trPr>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Normative rule coverage</w:t>
            </w:r>
          </w:p>
        </w:tc>
        <w:tc>
          <w:tcPr>
            <w:tcW w:type="dxa" w:w="6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https://kgrid.org/cks/dfu-hbot-burden/normative-rule-coverage/versions/1.0; bundled as normative-rule-coverage-manifest.json</w:t>
            </w:r>
          </w:p>
        </w:tc>
      </w:tr>
      <w:tr>
        <w:trPr>
          <w:cantSplit w:val="true"/>
        </w:trPr>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3"/>
              </w:rPr>
              <w:t>Fixture population</w:t>
            </w:r>
          </w:p>
        </w:tc>
        <w:tc>
          <w:tcPr>
            <w:tcW w:type="dxa" w:w="6660"/>
            <w:tcMar>
              <w:top w:w="100" w:type="dxa"/>
              <w:start w:w="120" w:type="dxa"/>
              <w:bottom w:w="100" w:type="dxa"/>
              <w:end w:w="120" w:type="dxa"/>
            </w:tcMar>
            <w:vAlign w:val="center"/>
          </w:tcPr>
          <w:p>
            <w:pPr>
              <w:spacing w:after="0" w:line="240" w:lineRule="auto"/>
            </w:pPr>
            <w:r>
              <w:rPr>
                <w:rFonts w:ascii="Aptos" w:hAnsi="Aptos"/>
                <w:b w:val="0"/>
                <w:i w:val="0"/>
                <w:color w:val="000000"/>
                <w:sz w:val="13"/>
              </w:rPr>
              <w:t>108 total: 8 Regimen Range; 20 Questionnaire; 62 Analysis/Audit; 18 Provider Roster</w:t>
            </w:r>
          </w:p>
        </w:tc>
      </w:tr>
      <w:tr>
        <w:trPr>
          <w:cantSplit w:val="true"/>
        </w:trPr>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Fixture identity</w:t>
            </w:r>
          </w:p>
        </w:tc>
        <w:tc>
          <w:tcPr>
            <w:tcW w:type="dxa" w:w="6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Pair of fixture_bundle_iri and compact fixture_id; no individual fixture IRI</w:t>
            </w:r>
          </w:p>
        </w:tc>
      </w:tr>
      <w:tr>
        <w:trPr>
          <w:cantSplit w:val="true"/>
        </w:trPr>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3"/>
              </w:rPr>
              <w:t>Fixture-envelope schema</w:t>
            </w:r>
          </w:p>
        </w:tc>
        <w:tc>
          <w:tcPr>
            <w:tcW w:type="dxa" w:w="6660"/>
            <w:tcMar>
              <w:top w:w="100" w:type="dxa"/>
              <w:start w:w="120" w:type="dxa"/>
              <w:bottom w:w="100" w:type="dxa"/>
              <w:end w:w="120" w:type="dxa"/>
            </w:tcMar>
            <w:vAlign w:val="center"/>
          </w:tcPr>
          <w:p>
            <w:pPr>
              <w:spacing w:after="0" w:line="240" w:lineRule="auto"/>
            </w:pPr>
            <w:r>
              <w:rPr>
                <w:rFonts w:ascii="Aptos" w:hAnsi="Aptos"/>
                <w:b w:val="0"/>
                <w:i w:val="0"/>
                <w:color w:val="000000"/>
                <w:sz w:val="13"/>
              </w:rPr>
              <w:t>https://kgrid.org/cks/dfu-hbot-burden/conformance-fixtures/versions/1.0/schema</w:t>
            </w:r>
          </w:p>
        </w:tc>
      </w:tr>
      <w:tr>
        <w:trPr>
          <w:cantSplit w:val="true"/>
        </w:trPr>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Comparison</w:t>
            </w:r>
          </w:p>
        </w:tc>
        <w:tc>
          <w:tcPr>
            <w:tcW w:type="dxa" w:w="6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Exact structural JSON equality; object-member order ignored; array order significant; no numeric tolerance, omitted fields, added fields, aliases, defaults, or substitutions</w:t>
            </w:r>
          </w:p>
        </w:tc>
      </w:tr>
      <w:tr>
        <w:trPr>
          <w:cantSplit w:val="true"/>
        </w:trPr>
        <w:tc>
          <w:tcPr>
            <w:tcW w:type="dxa" w:w="2700"/>
            <w:tcMar>
              <w:top w:w="100" w:type="dxa"/>
              <w:start w:w="120" w:type="dxa"/>
              <w:bottom w:w="100" w:type="dxa"/>
              <w:end w:w="120" w:type="dxa"/>
            </w:tcMar>
            <w:vAlign w:val="center"/>
          </w:tcPr>
          <w:p>
            <w:pPr>
              <w:spacing w:after="0" w:line="240" w:lineRule="auto"/>
            </w:pPr>
            <w:r>
              <w:rPr>
                <w:rFonts w:ascii="Aptos" w:hAnsi="Aptos"/>
                <w:b w:val="0"/>
                <w:i w:val="0"/>
                <w:color w:val="000000"/>
                <w:sz w:val="13"/>
              </w:rPr>
              <w:t>Adapter protocol</w:t>
            </w:r>
          </w:p>
        </w:tc>
        <w:tc>
          <w:tcPr>
            <w:tcW w:type="dxa" w:w="6660"/>
            <w:tcMar>
              <w:top w:w="100" w:type="dxa"/>
              <w:start w:w="120" w:type="dxa"/>
              <w:bottom w:w="100" w:type="dxa"/>
              <w:end w:w="120" w:type="dxa"/>
            </w:tcMar>
            <w:vAlign w:val="center"/>
          </w:tcPr>
          <w:p>
            <w:pPr>
              <w:spacing w:after="0" w:line="240" w:lineRule="auto"/>
            </w:pPr>
            <w:r>
              <w:rPr>
                <w:rFonts w:ascii="Aptos" w:hAnsi="Aptos"/>
                <w:b w:val="0"/>
                <w:i w:val="0"/>
                <w:color w:val="000000"/>
                <w:sz w:val="13"/>
              </w:rPr>
              <w:t>One fixture-without-expected JSON object per input line; exactly one JSON result per output line</w:t>
            </w:r>
          </w:p>
        </w:tc>
      </w:tr>
      <w:tr>
        <w:trPr>
          <w:cantSplit w:val="true"/>
        </w:trPr>
        <w:tc>
          <w:tcPr>
            <w:tcW w:type="dxa" w:w="2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Integrity</w:t>
            </w:r>
          </w:p>
        </w:tc>
        <w:tc>
          <w:tcPr>
            <w:tcW w:type="dxa" w:w="666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3"/>
              </w:rPr>
              <w:t>manifest.json gives the SHA-256 digest and byte length of every bundled file</w:t>
            </w:r>
          </w:p>
        </w:tc>
      </w:tr>
    </w:tbl>
    <w:p>
      <w:pPr>
        <w:spacing w:after="20"/>
      </w:pPr>
    </w:p>
    <w:p>
      <w:pPr>
        <w:pStyle w:val="ListBullet"/>
        <w:spacing w:after="20"/>
      </w:pPr>
      <w:r>
        <w:rPr>
          <w:rFonts w:ascii="Aptos" w:hAnsi="Aptos"/>
          <w:b w:val="0"/>
          <w:i w:val="0"/>
          <w:sz w:val="18"/>
        </w:rPr>
        <w:t>Every RR-01 through RR-08, QT-01 through QT-20, TC-01 through TC-62, and RT-01 through RT-18 fixture is required. Fixture identifiers are not optional examples.</w:t>
      </w:r>
    </w:p>
    <w:p>
      <w:pPr>
        <w:pStyle w:val="ListBullet"/>
        <w:spacing w:after="20"/>
      </w:pPr>
      <w:r>
        <w:rPr>
          <w:rFonts w:ascii="Aptos" w:hAnsi="Aptos"/>
          <w:b w:val="0"/>
          <w:i w:val="0"/>
          <w:sz w:val="18"/>
        </w:rPr>
        <w:t>The runner SHALL compare the complete expected object. Checking only a status, category, error code, selected fields, rendered text, or arithmetic subset is nonconformant.</w:t>
      </w:r>
    </w:p>
    <w:p>
      <w:pPr>
        <w:pStyle w:val="ListBullet"/>
        <w:spacing w:after="20"/>
      </w:pPr>
      <w:r>
        <w:rPr>
          <w:rFonts w:ascii="Aptos" w:hAnsi="Aptos"/>
          <w:b w:val="0"/>
          <w:i w:val="0"/>
          <w:sz w:val="18"/>
        </w:rPr>
        <w:t>For input_json fixtures, the adapter SHALL parse with duplicate-member detection before ordinary object materialization. The parsed input property is null because preserving the raw duplicate-bearing representation is mandatory.</w:t>
      </w:r>
    </w:p>
    <w:p>
      <w:pPr>
        <w:pStyle w:val="ListBullet"/>
        <w:spacing w:after="20"/>
      </w:pPr>
      <w:r>
        <w:rPr>
          <w:rFonts w:ascii="Aptos" w:hAnsi="Aptos"/>
          <w:b w:val="0"/>
          <w:i w:val="0"/>
          <w:sz w:val="18"/>
        </w:rPr>
        <w:t>dependency_state is part of the executable precondition. An adapter SHALL create that exact roster condition and SHALL NOT replace it with its default or currently deployed roster.</w:t>
      </w:r>
    </w:p>
    <w:p>
      <w:pPr>
        <w:pStyle w:val="ListBullet"/>
        <w:spacing w:after="20"/>
      </w:pPr>
      <w:r>
        <w:rPr>
          <w:rFonts w:ascii="Aptos" w:hAnsi="Aptos"/>
          <w:b w:val="0"/>
          <w:i w:val="0"/>
          <w:sz w:val="18"/>
        </w:rPr>
        <w:t>For Analysis fixtures, execution_context supplies the exact engine identity, result-instance IRI, input-received timestamp, and issued timestamp. The adapter SHALL inject those values so occurrence fields can be compared exactly; production invocations SHALL mint and capture their own conformant values.</w:t>
      </w:r>
    </w:p>
    <w:p>
      <w:pPr>
        <w:pStyle w:val="ListBullet"/>
        <w:spacing w:after="20"/>
      </w:pPr>
      <w:r>
        <w:rPr>
          <w:rFonts w:ascii="Aptos" w:hAnsi="Aptos"/>
          <w:b w:val="0"/>
          <w:i w:val="0"/>
          <w:sz w:val="18"/>
        </w:rPr>
        <w:t>The bundle runner supports integrity validation, capability filtering, line-oriented adapter execution, deterministic exact comparison, and a nonzero process exit on any mismatch.</w:t>
      </w:r>
    </w:p>
    <w:p>
      <w:pPr>
        <w:pStyle w:val="Heading2"/>
      </w:pPr>
      <w:r>
        <w:t>Appendix C.2 Human-readable Fixture Index</w:t>
      </w:r>
    </w:p>
    <w:tbl>
      <w:tblPr>
        <w:tblW w:type="dxa" w:w="13968"/>
        <w:tblLayout w:type="fixed"/>
        <w:tblLook w:firstColumn="1" w:firstRow="1" w:lastColumn="0" w:lastRow="0" w:noHBand="0" w:noVBand="1" w:val="04A0"/>
        <w:tblInd w:w="120" w:type="dxa"/>
      </w:tblPr>
      <w:tblGrid>
        <w:gridCol w:w="1000"/>
        <w:gridCol w:w="2800"/>
        <w:gridCol w:w="4700"/>
        <w:gridCol w:w="5468"/>
      </w:tblGrid>
      <w:tr>
        <w:trPr>
          <w:cantSplit w:val="true"/>
          <w:tblHeader w:val="true"/>
        </w:trPr>
        <w:tc>
          <w:tcPr>
            <w:tcW w:type="dxa" w:w="10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TEST</w:t>
            </w:r>
          </w:p>
        </w:tc>
        <w:tc>
          <w:tcPr>
            <w:tcW w:type="dxa" w:w="2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SCENARIO</w:t>
            </w:r>
          </w:p>
        </w:tc>
        <w:tc>
          <w:tcPr>
            <w:tcW w:type="dxa" w:w="4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REQUEST / CONDITION</w:t>
            </w:r>
          </w:p>
        </w:tc>
        <w:tc>
          <w:tcPr>
            <w:tcW w:type="dxa" w:w="54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EXPECTED OBSERVABLE RESULT</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RR-01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Canonical range request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{"request_type":"show_regimen_range"}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Complete fixed response with exact type/model/package IDs, indication, both scenarios, combined range, single 3 h facility assumption, and tailored_to_patient=false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RR-02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Equivalent user intent</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User action “Give me the regimen range”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Canonical request generated; response identical to RR-01</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RR-03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Patient property supplied</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Valid request plus patient_age and desired_weeks</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ERR-04; error_field=desired_weeks by Unicode ordering; no Fixed Regimen Range Response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RR-04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Invalid request type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{"request_type":"choose_regimen"}</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Rejected as outside the closed request vocabulary; no scenario selected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RR-05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Invalid or mismatched response</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Wrong knowledge-package version</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ERR-05; analysis does not run and no Burden Response Analysis fields are emitted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RR-06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Derived-value inconsistency</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Shorter scenario has 30 episodes, 5/week, and course_weeks=7.0</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Dependency validation fails before arithmetic; no Burden Response Analysis result</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RR-07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Facility-value mismatch</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value=2.0, unit=h</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Dependency validation fails before arithmetic; no Burden Response Analysis result</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RR-08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Facility-unit mismatch</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value=3.0, unit=min</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Dependency validation fails; no unit conversion and no Burden Response Analysis result</w:t>
            </w:r>
          </w:p>
        </w:tc>
      </w:tr>
    </w:tbl>
    <w:p>
      <w:pPr>
        <w:spacing w:after="20"/>
      </w:pPr>
    </w:p>
    <w:tbl>
      <w:tblPr>
        <w:tblW w:type="dxa" w:w="13968"/>
        <w:tblLayout w:type="fixed"/>
        <w:tblLook w:firstColumn="1" w:firstRow="1" w:lastColumn="0" w:lastRow="0" w:noHBand="0" w:noVBand="1" w:val="04A0"/>
        <w:tblInd w:w="120" w:type="dxa"/>
      </w:tblPr>
      <w:tblGrid>
        <w:gridCol w:w="1000"/>
        <w:gridCol w:w="2800"/>
        <w:gridCol w:w="4700"/>
        <w:gridCol w:w="5468"/>
      </w:tblGrid>
      <w:tr>
        <w:trPr>
          <w:cantSplit w:val="true"/>
          <w:tblHeader w:val="true"/>
        </w:trPr>
        <w:tc>
          <w:tcPr>
            <w:tcW w:type="dxa" w:w="10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TEST</w:t>
            </w:r>
          </w:p>
        </w:tc>
        <w:tc>
          <w:tcPr>
            <w:tcW w:type="dxa" w:w="2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SCENARIO</w:t>
            </w:r>
          </w:p>
        </w:tc>
        <w:tc>
          <w:tcPr>
            <w:tcW w:type="dxa" w:w="4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INTERACTION</w:t>
            </w:r>
          </w:p>
        </w:tc>
        <w:tc>
          <w:tcPr>
            <w:tcW w:type="dxa" w:w="54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EXPECTED OBSERVABLE RESULT</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QT-01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Canonical completion</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Valid Q01→Q04 responses; review confirmed</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One QTS-COMPLETED response; exactly four projection fields; confirmed=true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QT-02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Abandon before confirmation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Valid provisional answers; leave from QTS-REVIEW</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 Completed Burden Questionnaire Response and no analysis invocation</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QT-03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Location filtering</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Select state, then hyperbaric oxygen therapy location</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State and E-### alias are not registered; only the confirmed full provider IRI is projected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QT-04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Revision from review</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Change Q02, revalidate, return to review, confirm</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Only corrected miles appear in the completed projection</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QT-05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Zero confirmation gate</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Enter zero for Q02 in QNTS-01 without accepting confirmation</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State remains QNTS-01; Q02 remains unanswered; zero-confirmation guidance is displayed; no additional QNTS/QTS state is created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QT-06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Incomplete review</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One of Q01–Q04 absent or invalid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QTS-REVIEW cannot be confirmed; no completed response</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QT-07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Q04 travel exclusion</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User answers Q04 after valid Q01–Q03</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Question names confirmed location, states five weekdays/week for 6–8 weeks, and tells user to exclude reported miles and travel time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QT-08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 change before review</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After Q01–Q03, confirm a different provider IRI</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Q01 is replaced; Q02–Q04 are cleared; state becomes QNTS-01; all three dependent answers must be re-entered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QT-09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Same provider reselected</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Reselect the same stable provider IRI</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Q02–Q04 remain unchanged; location name/address are redisplayed; no forced re-entry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QT-10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 change after completion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Intended provider changes after QTS-COMPLETED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Completed response remains immutable; a new questionnaire instance and new confirmation are required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QT-11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Provider becomes unresolved</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Confirmed provisional provider IRI no longer resolves to exactly one selectable bound-version row</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Q01 becomes invalid; Q02–Q04 are cleared; state returns to QNTS-00</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QT-12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Unknown roster record</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Attempt to confirm a provider IRI absent from the bound roster</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Confirmation is blocked; no Q01 value is registered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QT-13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Out-of-order answer</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Submit Q03 while Q02 is current</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Answer rejected; state and provisional answers unchanged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QT-14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Q02 below bound</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Submit -0.1 miles</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Answer rejected; state remains QNTS-01</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QT-15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Q03 above bound</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Submit 1440.1 minutes</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Answer rejected; state remains QNTS-02</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QT-16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Q04 invalid code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Submit difficult</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Answer rejected; state remains QNTS-03</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QT-17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Numeric-string noncoercion</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Submit Q02 as string 12.5</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Answer rejected without coercion; state remains QNTS-01</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QT-18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Zero travel-time confirmation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Submit numeric zero for Q03, then explicitly confirm zero</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Zero retained; state advances to QNTS-03</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QT-19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Invalid review revision</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From QTS-REVIEW revise Q02 to -1</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Prior valid Q02 retained; state remains QTS-REVIEW with guidance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QT-20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Abandon from first question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Abandon in QNTS-00</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QTS-ABANDONED; no response or analysis invocation</w:t>
            </w:r>
          </w:p>
        </w:tc>
      </w:tr>
    </w:tbl>
    <w:p>
      <w:pPr>
        <w:spacing w:after="20"/>
      </w:pPr>
    </w:p>
    <w:p>
      <w:r>
        <w:rPr>
          <w:rFonts w:ascii="Aptos" w:hAnsi="Aptos"/>
          <w:b w:val="0"/>
          <w:i w:val="0"/>
          <w:sz w:val="18"/>
        </w:rPr>
        <w:t>For TC cases, a conforming runner SHALL compare the complete Section 8 analysis-result object, not only the displayed category. Values not shown are valid canonical defaults. Travel times shown below are the calculated round trip obtained by doubling the required reported one-way minutes.</w:t>
      </w:r>
    </w:p>
    <w:tbl>
      <w:tblPr>
        <w:tblW w:type="dxa" w:w="13968"/>
        <w:tblLayout w:type="fixed"/>
        <w:tblLook w:firstColumn="1" w:firstRow="1" w:lastColumn="0" w:lastRow="0" w:noHBand="0" w:noVBand="1" w:val="04A0"/>
        <w:tblInd w:w="120" w:type="dxa"/>
      </w:tblPr>
      <w:tblGrid>
        <w:gridCol w:w="1000"/>
        <w:gridCol w:w="2800"/>
        <w:gridCol w:w="4700"/>
        <w:gridCol w:w="5468"/>
      </w:tblGrid>
      <w:tr>
        <w:trPr>
          <w:cantSplit w:val="true"/>
          <w:tblHeader w:val="true"/>
        </w:trPr>
        <w:tc>
          <w:tcPr>
            <w:tcW w:type="dxa" w:w="10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TEST</w:t>
            </w:r>
          </w:p>
        </w:tc>
        <w:tc>
          <w:tcPr>
            <w:tcW w:type="dxa" w:w="2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SCENARIO</w:t>
            </w:r>
          </w:p>
        </w:tc>
        <w:tc>
          <w:tcPr>
            <w:tcW w:type="dxa" w:w="4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INPUT HIGHLIGHTS</w:t>
            </w:r>
          </w:p>
        </w:tc>
        <w:tc>
          <w:tcPr>
            <w:tcW w:type="dxa" w:w="54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EXPECTED OBSERVABLE RESULT</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TC-01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Nearby; easy attendance</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30–40; 0.5 h RT; 3 h facility; none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score 1 low_execution_burden; reported none; 15–20 travel h; 90–120 facility h; 105–140 total h</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TC-02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Moderate travel; some difficulty</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30–40; 1.4 h RT; some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score 3 high_execution_burden by combined signals; reported some; 42–56 travel h; 132–176 total h</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TC-03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Long rural travel</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30–40; 2.5 h RT; none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score 3 high_execution_burden; travel driver primary; reported none; 75–100 travel h</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TC-04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Very long + major attendance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30–40; 3.0 h RT; major</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score 5 extreme_execution_burden; reported major; attendance then travel drivers; no failure prediction</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TC-05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Nearby center; major attendance difficulty</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0.5 h RT; attendance major</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score 4 very_high_execution_burden; reported major; attendance driver primary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TC-06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Complete sparse input model; low burden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0.5 h RT; attendance none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score 1 low_execution_burden; three-part output from exactly IN-01 through IN-04</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TC-07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Longer-minus-shorter difference</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1.4 h RT; 3 h facility</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+10 episodes; +14 travel h; +30 facility h; +44 total h; +2 weeks</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TC-08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Zero travel confirmed</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0 miles and 0 minutes one way; attendance none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score 1 low_execution_burden; zero is preserved, not treated as missing</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TC-09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Unknown provider IRI</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hyperbaric_oxygen_therapy_location ends /providers/e-999</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ERR-09, error_field=IN-01; no location substitution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TC-10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Invalid reported miles</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one_way_miles=-1</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ERR-09, error_field=IN-02</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TC-11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Regimen duration supplied as patient input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Patient object contains regimen_weeks=4 and selected_scenario='shorter'</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ERR-04; no burden arithmetic</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TC-12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Missing IN-04</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weekday field absent</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ERR-07, error_field=IN-04</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TC-13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Null IN-03</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one_way_travel_minutes null</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ERR-08, error_field=IN-03</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TC-14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Invalid IN-04</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weekday_attendance_difficulty=difficult</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ERR-09, error_field=IN-04</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TC-15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Duplicate property</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decoded duplicate hyperbaric_oxygen_therapy_location</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ERR-06 before presence/type validation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TC-16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Unknown property</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extra child_care_cost</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ERR-04; error_field=child_care_cost; no burden result</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TC-17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Patient regimen override attempt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Patient object contains sessions_per_week='3' and maximum_episodes=10</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ERR-04; error_field=maximum_episodes by Unicode ordering; no regimen override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TC-18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Boundary 60 min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1.0 h RT; attendance none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score 2 moderate_execution_burden; moderate travel band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TC-19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Boundary 120 min</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2.0 h RT; attendance none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score 3 high_execution_burden; high travel band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TC-20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Boundary 180 min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3.0 h RT; attendance none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score 4 very_high_execution_burden; very_high travel driver; reported none</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TC-21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Same knowledge across patients</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Two valid sparse-model invocations with different hyperbaric oxygen therapy locations, reported miles/minutes, and attendance values</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Identical objective_burden.fixed_regimen_range_response and knowledge-package IRI; only location, computed burden, reported feasibility, and execution burden level may differ</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TC-22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External reassessment cannot mutate engine knowledge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Bound knowledge package remains unchanged before and after an external 30-day reassessment event</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Engine does not stop, continue, or revise 30–40 episode bound; external reassessment caveat remains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TC-23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Exact combined handoff</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Complete Section 5.1 request containing the exact roster-version IRI, confirmed questionnaire response, and matching fixed_regimen_range_response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Analysis runs using the outputs of the other two capabilities plus the exact bound Appendix E snapshot; no hidden regimen or roster-version choice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TC-24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Questionnaire projection passed alone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response_projection supplied without its completed questionnaire envelope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Analysis request rejected; no burden result</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TC-25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Facility-time assumption absent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Fixed Regimen Range Response omits scheduled_facility_hours_per_episode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ERR-07 for scheduled_facility_hours_per_episode; analysis does not run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TC-26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Unknown beats missing</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response_projection has extra zzz and omits IN-04</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ERR-04 for zzz; missing-field validation is not reached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TC-27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Missing beats null</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IN-02 absent and IN-03 null</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ERR-07 for IN-02; null-field validation is not reached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TC-28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Envelope precedes patient fields</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Wrong questionnaire response_model_iri and IN-02=-1</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ERR-05 for response_model_iri; sparse-field validation is not reached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TC-29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Fixed knowledge precedes patient fields</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Wrong fixed knowledge_package_iri and IN-02=-1</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ERR-05 for knowledge_package_iri; sparse-field validation is not reached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TC-30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Host provider cannot override response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Host UI selects provider e-002 but submitted completed response contains provider e-001</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Analysis uses the submitted e-001 provider IRI; host selection is ignored; a provider change requires a new completed response</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TC-31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Cross-artifact roster mismatch</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Request carries the bound version but questionnaire carries a different provider_roster_version_iri</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ERR-05, error_field=questionnaire_response.provider_roster_version_iri; dependency loading is not attempted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TC-32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Compact alias supplied as IN-01</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hyperbaric_oxygen_therapy_location=E-001</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ERR-09, error_field=IN-01; compact aliases are not analytical identifiers</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TC-33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Nonselectable provider</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Valid provider IRI maps to incomplete, unavailable, retired, or unresolved record</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ERR-09, error_field=IN-01; no burden arithmetic</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TC-34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Successor substitution prohibited</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IN-01 identifies retired provider with successor_provider_iris populated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ERR-09, error_field=IN-01; successor is not substituted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TC-35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Unsupported requested roster</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Request-level provider_roster_version_iri identifies a different, older, newer, or family roster IRI</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ERR-05, error_field=provider_roster_version_iri; questionnaire compatibility and dependency loading are not attempted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TC-36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Compatible roster unavailable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Both submitted versions equal the bound version, but the exact snapshot cannot be loaded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error_field=provider_roster_dependency; no provider lookup or burden arithmetic</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TC-37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Loaded roster self-identifies differently</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Both submitted versions are compatible, but loaded roster_version_iri differs</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ERR-10, error_field=provider_roster_dependency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TC-38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Roster integrity failure precedes provider validity</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Compatible snapshot has duplicate provider mapping and IN-01 would otherwise be unknown</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error_field=provider_roster_dependency; ERR-09 is not returned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TC-39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Input defect precedes dependency outage</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IN-02=-1 and the compatible roster snapshot is unavailable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ERR-09, error_field=IN-02; dependency loading is not attempted</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TC-40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Invalid result-instance IRI</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Otherwise valid result with non-UUID terminal segment</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AUDIT-01; result is not repaired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TC-41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Noncanonical timestamp</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issued_at uses numeric UTC offset instead of .sssZ</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AUDIT-02</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TC-42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Provenance identity mismatch</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provenance specification_iri differs from result and CKS</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AUDIT-03</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TC-43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Input fingerprint mismatch</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Retained request does not hash to stored value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AUDIT-04</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TC-44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Roster fingerprint mismatch</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Retained roster snapshot does not hash to stored value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AUDIT-05</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TC-45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Deterministic payload mismatch</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Stored result fingerprint differs from recalculated payload fingerprint</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AUDIT-06</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TC-46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Exact deterministic replay</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Same input and dependencies; new instance IRI and timestamps</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audit_valid; deterministic fingerprints equal; instance IRIs and timestamps differ</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TC-47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No input representation</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Analysis invocation contains no input representation</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ERR-01; error_field=null; input_fingerprint canonicalization=none and value=null</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TC-48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Top-level value is not an object</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Decoded top-level input is an array</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ERR-02; error_field=null; object-property validation is not attempted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TC-49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Invalid input data type</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IN-02 one_way_miles is the string '12.5'</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ERR-03; error_field=IN-02; no numeric coercion</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TC-50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Invalid type precedes invalid closed value</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IN-02 is string '12.5' and IN-04 is difficult</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ERR-03 for IN-02; ERR-09 value validation is not reached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TC-51–TC-62</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Complete Execution Burden matrix</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Every travel band crossed with none, some, and major weekday-attendance difficulty</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All 12 cells return the exact score, category, display label, drivers, and quantitative burden object</w:t>
            </w:r>
          </w:p>
        </w:tc>
      </w:tr>
    </w:tbl>
    <w:p>
      <w:pPr>
        <w:spacing w:after="20"/>
      </w:pPr>
    </w:p>
    <w:tbl>
      <w:tblPr>
        <w:tblW w:type="dxa" w:w="13968"/>
        <w:tblLayout w:type="fixed"/>
        <w:tblLook w:firstColumn="1" w:firstRow="1" w:lastColumn="0" w:lastRow="0" w:noHBand="0" w:noVBand="1" w:val="04A0"/>
        <w:tblInd w:w="120" w:type="dxa"/>
      </w:tblPr>
      <w:tblGrid>
        <w:gridCol w:w="1000"/>
        <w:gridCol w:w="2800"/>
        <w:gridCol w:w="4700"/>
        <w:gridCol w:w="5468"/>
      </w:tblGrid>
      <w:tr>
        <w:trPr>
          <w:cantSplit w:val="true"/>
          <w:tblHeader w:val="true"/>
        </w:trPr>
        <w:tc>
          <w:tcPr>
            <w:tcW w:type="dxa" w:w="10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TEST</w:t>
            </w:r>
          </w:p>
        </w:tc>
        <w:tc>
          <w:tcPr>
            <w:tcW w:type="dxa" w:w="28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ROSTER CASE</w:t>
            </w:r>
          </w:p>
        </w:tc>
        <w:tc>
          <w:tcPr>
            <w:tcW w:type="dxa" w:w="4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EXACT MUTATION</w:t>
            </w:r>
          </w:p>
        </w:tc>
        <w:tc>
          <w:tcPr>
            <w:tcW w:type="dxa" w:w="54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EXPECTED OUTCOME</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RT-01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Canonical selectable record</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All required fields and identity/selectability predicates pass</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valid=true; selectable=true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RT-02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Wrong roster version</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record roster_version_iri differs from bound version</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RT-03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Record-IRI suffix mismatch</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record IRI ends e-002 while compact_id is E-001</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RT-04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Provider-IRI suffix mismatch</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 IRI ends e-002 while compact_id is E-001</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RT-05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Retired record</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record_status=retired; selectable=false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valid=true; selectable=false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RT-06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Address verification required</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address_verification_required=true; selectable=false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valid=true; selectable=false</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RT-07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Incomplete address</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address_status=incomplete; selectable=false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valid=true; selectable=false</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RT-08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False stored selectability</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All predicates pass but selectable=false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RT-09</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Duplicate provider mapping</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Two records contain the same provider IRI</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RT-10</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Retired record with successor</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successor_provider_iris populated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valid=true; nonselectable; substitution prohibited</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RT-11</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Cross-field compact/provider mismatch</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Lexically valid compact_id and provider_iri carry different n values</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RT-12</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Selectable retired record</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record_status=retired and selectable=true</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RT-13</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Candidate placeholder address</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address_status=candidate but address is the unavailable literal</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RT-14</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Self successor</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successor_provider_iris contains the record's provider_iri</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RT-15</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Listed record with successor</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record_status=listed and successor_provider_iris is nonempty</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RT-16</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Noncanonical text</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facility_listing has leading whitespace or a control character</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tcPr>
          <w:p>
            <w:pPr>
              <w:spacing w:after="0" w:line="240" w:lineRule="auto"/>
            </w:pPr>
            <w:r>
              <w:rPr>
                <w:rFonts w:ascii="Aptos" w:hAnsi="Aptos"/>
                <w:b w:val="0"/>
                <w:i w:val="0"/>
                <w:color w:val="000000"/>
                <w:sz w:val="12"/>
              </w:rPr>
              <w:t>RT-17</w:t>
            </w:r>
          </w:p>
        </w:tc>
        <w:tc>
          <w:tcPr>
            <w:tcW w:type="dxa" w:w="2800"/>
            <w:tcMar>
              <w:top w:w="100" w:type="dxa"/>
              <w:start w:w="120" w:type="dxa"/>
              <w:bottom w:w="100" w:type="dxa"/>
              <w:end w:w="120" w:type="dxa"/>
            </w:tcMar>
            <w:vAlign w:val="center"/>
          </w:tcPr>
          <w:p>
            <w:pPr>
              <w:spacing w:after="0" w:line="240" w:lineRule="auto"/>
            </w:pPr>
            <w:r>
              <w:rPr>
                <w:rFonts w:ascii="Aptos" w:hAnsi="Aptos"/>
                <w:b w:val="0"/>
                <w:i w:val="0"/>
                <w:color w:val="000000"/>
                <w:sz w:val="12"/>
              </w:rPr>
              <w:t>Insecure address source</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2"/>
              </w:rPr>
              <w:t>address_source uses HTTP rather than HTTPS</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ERR-10 provider_roster_dependency</w:t>
            </w:r>
          </w:p>
        </w:tc>
      </w:tr>
      <w:tr>
        <w:trPr>
          <w:cantSplit w:val="true"/>
        </w:trPr>
        <w:tc>
          <w:tcPr>
            <w:tcW w:type="dxa" w:w="10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RT-18</w:t>
            </w:r>
          </w:p>
        </w:tc>
        <w:tc>
          <w:tcPr>
            <w:tcW w:type="dxa" w:w="2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Gap or wrong order</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Complete snapshot omits, duplicates, or reorders a compact_id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ERR-10 provider_roster_dependency</w:t>
            </w:r>
          </w:p>
        </w:tc>
      </w:tr>
    </w:tbl>
    <w:p>
      <w:pPr>
        <w:spacing w:after="20"/>
      </w:pPr>
    </w:p>
    <w:p>
      <w:pPr>
        <w:pStyle w:val="Heading1"/>
      </w:pPr>
      <w:r>
        <w:t>Appendix D. Verified Regimen and Facility-time Evidence Table</w:t>
      </w:r>
    </w:p>
    <w:p>
      <w:r>
        <w:rPr>
          <w:rFonts w:ascii="Aptos" w:hAnsi="Aptos"/>
          <w:b w:val="0"/>
          <w:i w:val="0"/>
          <w:sz w:val="18"/>
        </w:rPr>
        <w:t>This table verifies the provenance of every regimen-dependent value and qualification used by this CKS. Its ratings classify the kind and directness of support for a parameter; they do not grade HBOT efficacy and do not imply that an observed protocol is optimal, interchangeable, or appropriate for an individual patient. Guideline certainty and recommendation strength are reproduced only when the guideline reports them. Policy authority and CKS modeling decisions are deliberately not converted into clinical-evidence grades.</w:t>
      </w:r>
    </w:p>
    <w:tbl>
      <w:tblPr>
        <w:tblW w:type="dxa" w:w="13968"/>
        <w:tblLayout w:type="fixed"/>
        <w:tblLook w:firstColumn="1" w:firstRow="1" w:lastColumn="0" w:lastRow="0" w:noHBand="0" w:noVBand="1" w:val="04A0"/>
        <w:tblInd w:w="120" w:type="dxa"/>
      </w:tblPr>
      <w:tblGrid>
        <w:gridCol w:w="1400"/>
        <w:gridCol w:w="6200"/>
        <w:gridCol w:w="6368"/>
      </w:tblGrid>
      <w:tr>
        <w:trPr>
          <w:cantSplit w:val="true"/>
          <w:tblHeader w:val="true"/>
        </w:trPr>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RATING</w:t>
            </w:r>
          </w:p>
        </w:tc>
        <w:tc>
          <w:tcPr>
            <w:tcW w:type="dxa" w:w="6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MEANING</w:t>
            </w:r>
          </w:p>
        </w:tc>
        <w:tc>
          <w:tcPr>
            <w:tcW w:type="dxa" w:w="63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INTERPRETATION LIMIT</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2"/>
              </w:rPr>
              <w:t>T1</w:t>
            </w:r>
          </w:p>
        </w:tc>
        <w:tc>
          <w:tcPr>
            <w:tcW w:type="dxa" w:w="6200"/>
            <w:tcMar>
              <w:top w:w="100" w:type="dxa"/>
              <w:start w:w="120" w:type="dxa"/>
              <w:bottom w:w="100" w:type="dxa"/>
              <w:end w:w="120" w:type="dxa"/>
            </w:tcMar>
            <w:vAlign w:val="center"/>
          </w:tcPr>
          <w:p>
            <w:pPr>
              <w:spacing w:after="0" w:line="240" w:lineRule="auto"/>
            </w:pPr>
            <w:r>
              <w:rPr>
                <w:rFonts w:ascii="Aptos" w:hAnsi="Aptos"/>
                <w:b w:val="0"/>
                <w:i w:val="0"/>
                <w:color w:val="000000"/>
                <w:sz w:val="12"/>
              </w:rPr>
              <w:t>Value is stated directly in one randomized controlled-trial protocol.</w:t>
            </w:r>
          </w:p>
        </w:tc>
        <w:tc>
          <w:tcPr>
            <w:tcW w:type="dxa" w:w="6368"/>
            <w:tcMar>
              <w:top w:w="100" w:type="dxa"/>
              <w:start w:w="120" w:type="dxa"/>
              <w:bottom w:w="100" w:type="dxa"/>
              <w:end w:w="120" w:type="dxa"/>
            </w:tcMar>
            <w:vAlign w:val="center"/>
          </w:tcPr>
          <w:p>
            <w:pPr>
              <w:spacing w:after="0" w:line="240" w:lineRule="auto"/>
            </w:pPr>
            <w:r>
              <w:rPr>
                <w:rFonts w:ascii="Aptos" w:hAnsi="Aptos"/>
                <w:b w:val="0"/>
                <w:i w:val="0"/>
                <w:color w:val="000000"/>
                <w:sz w:val="12"/>
              </w:rPr>
              <w:t>Protocol observation only; no optimal-dose or generalizability inference.</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T2</w:t>
            </w:r>
          </w:p>
        </w:tc>
        <w:tc>
          <w:tcPr>
            <w:tcW w:type="dxa" w:w="6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The same planning value is stated directly in two independent randomized controlled-trial protocols.</w:t>
            </w:r>
          </w:p>
        </w:tc>
        <w:tc>
          <w:tcPr>
            <w:tcW w:type="dxa" w:w="6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Repeated protocol practice only; not a clinical recommendation.</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2"/>
              </w:rPr>
              <w:t>G–Low</w:t>
            </w:r>
          </w:p>
        </w:tc>
        <w:tc>
          <w:tcPr>
            <w:tcW w:type="dxa" w:w="6200"/>
            <w:tcMar>
              <w:top w:w="100" w:type="dxa"/>
              <w:start w:w="120" w:type="dxa"/>
              <w:bottom w:w="100" w:type="dxa"/>
              <w:end w:w="120" w:type="dxa"/>
            </w:tcMar>
            <w:vAlign w:val="center"/>
          </w:tcPr>
          <w:p>
            <w:pPr>
              <w:spacing w:after="0" w:line="240" w:lineRule="auto"/>
            </w:pPr>
            <w:r>
              <w:rPr>
                <w:rFonts w:ascii="Aptos" w:hAnsi="Aptos"/>
                <w:b w:val="0"/>
                <w:i w:val="0"/>
                <w:color w:val="000000"/>
                <w:sz w:val="12"/>
              </w:rPr>
              <w:t>Authoritative guideline recommendation with the guideline's own Conditional strength and Low certainty.</w:t>
            </w:r>
          </w:p>
        </w:tc>
        <w:tc>
          <w:tcPr>
            <w:tcW w:type="dxa" w:w="6368"/>
            <w:tcMar>
              <w:top w:w="100" w:type="dxa"/>
              <w:start w:w="120" w:type="dxa"/>
              <w:bottom w:w="100" w:type="dxa"/>
              <w:end w:w="120" w:type="dxa"/>
            </w:tcMar>
            <w:vAlign w:val="center"/>
          </w:tcPr>
          <w:p>
            <w:pPr>
              <w:spacing w:after="0" w:line="240" w:lineRule="auto"/>
            </w:pPr>
            <w:r>
              <w:rPr>
                <w:rFonts w:ascii="Aptos" w:hAnsi="Aptos"/>
                <w:b w:val="0"/>
                <w:i w:val="0"/>
                <w:color w:val="000000"/>
                <w:sz w:val="12"/>
              </w:rPr>
              <w:t>Applies to treatment-selection context, not numeric regimen selection.</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G–Context</w:t>
            </w:r>
          </w:p>
        </w:tc>
        <w:tc>
          <w:tcPr>
            <w:tcW w:type="dxa" w:w="6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Authoritative general HBOT definition or context; not DFU-regimen-specific.</w:t>
            </w:r>
          </w:p>
        </w:tc>
        <w:tc>
          <w:tcPr>
            <w:tcW w:type="dxa" w:w="6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May qualify the regimen display but does not set the two episode anchors.</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2"/>
              </w:rPr>
              <w:t>POL–US</w:t>
            </w:r>
          </w:p>
        </w:tc>
        <w:tc>
          <w:tcPr>
            <w:tcW w:type="dxa" w:w="6200"/>
            <w:tcMar>
              <w:top w:w="100" w:type="dxa"/>
              <w:start w:w="120" w:type="dxa"/>
              <w:bottom w:w="100" w:type="dxa"/>
              <w:end w:w="120" w:type="dxa"/>
            </w:tcMar>
            <w:vAlign w:val="center"/>
          </w:tcPr>
          <w:p>
            <w:pPr>
              <w:spacing w:after="0" w:line="240" w:lineRule="auto"/>
            </w:pPr>
            <w:r>
              <w:rPr>
                <w:rFonts w:ascii="Aptos" w:hAnsi="Aptos"/>
                <w:b w:val="0"/>
                <w:i w:val="0"/>
                <w:color w:val="000000"/>
                <w:sz w:val="12"/>
              </w:rPr>
              <w:t>Exact U.S. national Medicare coverage rule.</w:t>
            </w:r>
          </w:p>
        </w:tc>
        <w:tc>
          <w:tcPr>
            <w:tcW w:type="dxa" w:w="6368"/>
            <w:tcMar>
              <w:top w:w="100" w:type="dxa"/>
              <w:start w:w="120" w:type="dxa"/>
              <w:bottom w:w="100" w:type="dxa"/>
              <w:end w:w="120" w:type="dxa"/>
            </w:tcMar>
            <w:vAlign w:val="center"/>
          </w:tcPr>
          <w:p>
            <w:pPr>
              <w:spacing w:after="0" w:line="240" w:lineRule="auto"/>
            </w:pPr>
            <w:r>
              <w:rPr>
                <w:rFonts w:ascii="Aptos" w:hAnsi="Aptos"/>
                <w:b w:val="0"/>
                <w:i w:val="0"/>
                <w:color w:val="000000"/>
                <w:sz w:val="12"/>
              </w:rPr>
              <w:t>Policy authority, not a clinical-evidence strength rating or dose rule.</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MODEL</w:t>
            </w:r>
          </w:p>
        </w:tc>
        <w:tc>
          <w:tcPr>
            <w:tcW w:type="dxa" w:w="6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Normative CKS synthesis, arithmetic derivation, inclusion, or exclusion.</w:t>
            </w:r>
          </w:p>
        </w:tc>
        <w:tc>
          <w:tcPr>
            <w:tcW w:type="dxa" w:w="6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 design decision; not an empirically validated patient-specific estimate.</w:t>
            </w:r>
          </w:p>
        </w:tc>
      </w:tr>
      <w:tr>
        <w:trPr>
          <w:cantSplit w:val="true"/>
        </w:trPr>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2"/>
              </w:rPr>
              <w:t>OPS–2</w:t>
            </w:r>
          </w:p>
        </w:tc>
        <w:tc>
          <w:tcPr>
            <w:tcW w:type="dxa" w:w="6200"/>
            <w:tcMar>
              <w:top w:w="100" w:type="dxa"/>
              <w:start w:w="120" w:type="dxa"/>
              <w:bottom w:w="100" w:type="dxa"/>
              <w:end w:w="120" w:type="dxa"/>
            </w:tcMar>
            <w:vAlign w:val="center"/>
          </w:tcPr>
          <w:p>
            <w:pPr>
              <w:spacing w:after="0" w:line="240" w:lineRule="auto"/>
            </w:pPr>
            <w:r>
              <w:rPr>
                <w:rFonts w:ascii="Aptos" w:hAnsi="Aptos"/>
                <w:b w:val="0"/>
                <w:i w:val="0"/>
                <w:color w:val="000000"/>
                <w:sz w:val="12"/>
              </w:rPr>
              <w:t>Operational duration guidance from two independent U.S. academic health systems.</w:t>
            </w:r>
          </w:p>
        </w:tc>
        <w:tc>
          <w:tcPr>
            <w:tcW w:type="dxa" w:w="6368"/>
            <w:tcMar>
              <w:top w:w="100" w:type="dxa"/>
              <w:start w:w="120" w:type="dxa"/>
              <w:bottom w:w="100" w:type="dxa"/>
              <w:end w:w="120" w:type="dxa"/>
            </w:tcMar>
            <w:vAlign w:val="center"/>
          </w:tcPr>
          <w:p>
            <w:pPr>
              <w:spacing w:after="0" w:line="240" w:lineRule="auto"/>
            </w:pPr>
            <w:r>
              <w:rPr>
                <w:rFonts w:ascii="Aptos" w:hAnsi="Aptos"/>
                <w:b w:val="0"/>
                <w:i w:val="0"/>
                <w:color w:val="000000"/>
                <w:sz w:val="12"/>
              </w:rPr>
              <w:t>Local patient guidance; not a representative multi-facility estimate.</w:t>
            </w:r>
          </w:p>
        </w:tc>
      </w:tr>
      <w:tr>
        <w:trPr>
          <w:cantSplit w:val="true"/>
        </w:trPr>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OPS–1</w:t>
            </w:r>
          </w:p>
        </w:tc>
        <w:tc>
          <w:tcPr>
            <w:tcW w:type="dxa" w:w="6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Operational duration guidance from one U.S. academic health system.</w:t>
            </w:r>
          </w:p>
        </w:tc>
        <w:tc>
          <w:tcPr>
            <w:tcW w:type="dxa" w:w="6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Informative local guidance only.</w:t>
            </w:r>
          </w:p>
        </w:tc>
      </w:tr>
    </w:tbl>
    <w:p>
      <w:pPr>
        <w:spacing w:after="20"/>
      </w:pPr>
    </w:p>
    <w:tbl>
      <w:tblPr>
        <w:tblW w:type="dxa" w:w="13968"/>
        <w:tblLayout w:type="fixed"/>
        <w:tblLook w:firstColumn="1" w:firstRow="1" w:lastColumn="0" w:lastRow="0" w:noHBand="0" w:noVBand="1" w:val="04A0"/>
        <w:tblInd w:w="120" w:type="dxa"/>
      </w:tblPr>
      <w:tblGrid>
        <w:gridCol w:w="1300"/>
        <w:gridCol w:w="1600"/>
        <w:gridCol w:w="3500"/>
        <w:gridCol w:w="1800"/>
        <w:gridCol w:w="1600"/>
        <w:gridCol w:w="4168"/>
      </w:tblGrid>
      <w:tr>
        <w:trPr>
          <w:cantSplit w:val="true"/>
          <w:tblHeader w:val="true"/>
        </w:trPr>
        <w:tc>
          <w:tcPr>
            <w:tcW w:type="dxa" w:w="13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PARAMETER</w:t>
            </w:r>
          </w:p>
        </w:tc>
        <w:tc>
          <w:tcPr>
            <w:tcW w:type="dxa" w:w="16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VERIFIED CKS VALUE</w:t>
            </w:r>
          </w:p>
        </w:tc>
        <w:tc>
          <w:tcPr>
            <w:tcW w:type="dxa" w:w="35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SOURCE VERIFICATION</w:t>
            </w:r>
          </w:p>
        </w:tc>
        <w:tc>
          <w:tcPr>
            <w:tcW w:type="dxa" w:w="18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RATING</w:t>
            </w:r>
          </w:p>
        </w:tc>
        <w:tc>
          <w:tcPr>
            <w:tcW w:type="dxa" w:w="16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COMPUTABLE USE</w:t>
            </w:r>
          </w:p>
        </w:tc>
        <w:tc>
          <w:tcPr>
            <w:tcW w:type="dxa" w:w="4168"/>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LIMITATION / REQUIRED LABEL</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Clinical selection context</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DFU only; appropriateness established externally</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IWGDF 2023 Recommendation 12: consider adjunctive HBOT for neuro-ischemic or ischemic diabetes-related foot ulcers after standard care has failed and where supporting resources exist; Conditional recommendation, Low certainty. UHMS 2015 is the specialty-society DFU CPG.</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G–Low</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External precondition only</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The CKS's DFU-only scope is a normative boundary, not a clinical recommendation. The engine does not determine indication, eligibility, Wagner grade, ischemia, or suitability.</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Shorter episode anchor</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30 episodes</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Fedorko 2016 randomized protocol directly reports 30 daily 90-minute sessions at 244 kPa.</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T1</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Vshorter=30</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Observed protocol anchor, not a minimum, recommendation, or patient-specific dose.</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Longer episode anchor</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40 episodes</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HODFU 2010 randomized protocol directly reports treatment five days/week for eight weeks, with 40 scheduled sessions.</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T1</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Vlonger=40</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Observed protocol anchor, not a maximum, recommendation, or patient-specific dose.</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Combined episode envelope</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30–40 episodes</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CKS synthesis using the Fedorko 30-session anchor and HODFU 40-session anchor as the two displayed endpoints.</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MODEL (supported by two T1 anchors)</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Both endpoints calculated</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Not a source-stated clinical range. Intermediate values are not established as equivalent; the envelope is for burden planning only.</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Treatment frequency</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5 sessions/week</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Fedorko scheduled treatment five days/week for six weeks; HODFU scheduled treatment five days/week for eight weeks.</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T2</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S=5</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Repeated protocol schedule, not a recommendation. Arithmetic assumes uninterrupted treatment weekdays; holidays, missed sessions, and rescheduling are excluded.</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Shorter scheduled course</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6 uninterrupted weeks</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Fedorko directly scheduled five treatment days/week for six weeks and 30 sessions; 30 ÷ 5 = 6 verifies the stored value.</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T1; arithmetic verified</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Wshorter=6</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Scheduled planning duration, not predicted calendar completion.</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Longer scheduled course</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8 uninterrupted weeks</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HODFU directly scheduled five treatment days/week for eight weeks and 40 sessions; 40 ÷ 5 = 8 verifies the stored value.</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T1; arithmetic verified</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Wlonger=8</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Scheduled planning duration, not predicted calendar completion.</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Anchor-trial pressure</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244 kPa (≈2.41 ATA; displayed as 2.4 ATA) and 2.5 ATA</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Fedorko directly reports 244 kPa. Using 1 standard atmosphere = 101.325 kPa gives 2.408 ATA, rounded to 2.4 ATA for display. HODFU directly reports 2.5 ATA.</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T1 for each anchor</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Provenance/display only</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Two discrete observed protocols; not a continuous or universally recommended DFU pressure range.</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Anchor-trial oxygen exposure</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90 minutes and 85 minutes at treatment pressure</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Fedorko directly reports 90 minutes. HODFU reports 85 minutes at 2.5 ATA plus 5-minute compression and 5-minute decompression, giving a 95-minute chamber session.</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T1 for each anchor</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Provenance/display only</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Preserve the distinct 90- and 85-minute exposures; do not recast them as an 85–90-minute dose-selection range.</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General HBOT context</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Not less than 2.0 ATA; oxygen typically 90–120 minutes/treatment</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The UHMS 15th-edition definition directly states these general clinical-HBOT parameters.</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G–Context</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Qualification/display only</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Not DFU-regimen-specific. It does not replace the two discrete anchor protocols or establish a 2.0–2.5 ATA DFU range.</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Observed institutional treatment duration</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About 2–3 hours at Penn; about 2 hours at University of Michigan</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Each institution's current patient guidance directly states its own duration. These sources describe local treatment/session duration and use non-identical wording.</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OPS–2</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Evidence input to modeling decision only</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Not representative multi-facility evidence and not a universal facility-time interval.</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Scheduled facility block</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3.0 hours/episode</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The CKS selects Penn's 3-hour upper endpoint as a conservative, realistic worst-case planning multiplier; Michigan's approximately 2-hour session supports plausibility but does not independently validate 3 hours.</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MODEL (informed by OPS–2)</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F=3.0</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Fixed single multiplier, not provisional in this CKS. It is not oxygen-exposure time, measured door-to-door time, a patient-specific prediction, or a universal facility guarantee.</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Initial consultation</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Excluded from recurring episode burden</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UCSF Health Hyde Hospital states that the first appointment usually lasts 1–3 hours.</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MODEL exclusion informed by OPS–1</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None</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One-time activity outside the episode multiplier; it must not be multiplied by episode count.</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Coverage initiation</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No measurable healing for at least 30 days of standard wound therapy before covered adjunctive HBOT</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CMS NCD 20.29 states this U.S. Medicare coverage condition and requires HBOT in addition to standard wound care.</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POL–US</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Displayed policy caveat only</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Coverage rule, not a regimen-length, dose, or clinical-suitability parameter.</w:t>
            </w:r>
          </w:p>
        </w:tc>
      </w:tr>
      <w:tr>
        <w:trPr>
          <w:cantSplit w:val="true"/>
        </w:trPr>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Reassessment</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Wound evaluation at least every 30 days during HBOT</w:t>
            </w:r>
          </w:p>
        </w:tc>
        <w:tc>
          <w:tcPr>
            <w:tcW w:type="dxa" w:w="3500"/>
            <w:tcMar>
              <w:top w:w="100" w:type="dxa"/>
              <w:start w:w="120" w:type="dxa"/>
              <w:bottom w:w="100" w:type="dxa"/>
              <w:end w:w="120" w:type="dxa"/>
            </w:tcMar>
            <w:vAlign w:val="center"/>
          </w:tcPr>
          <w:p>
            <w:pPr>
              <w:spacing w:after="0" w:line="240" w:lineRule="auto"/>
            </w:pPr>
            <w:r>
              <w:rPr>
                <w:rFonts w:ascii="Aptos" w:hAnsi="Aptos"/>
                <w:b w:val="0"/>
                <w:i w:val="0"/>
                <w:color w:val="000000"/>
                <w:sz w:val="11"/>
              </w:rPr>
              <w:t>CMS NCD 20.29 states this exact frequency during administration.</w:t>
            </w:r>
          </w:p>
        </w:tc>
        <w:tc>
          <w:tcPr>
            <w:tcW w:type="dxa" w:w="1800"/>
            <w:tcMar>
              <w:top w:w="100" w:type="dxa"/>
              <w:start w:w="120" w:type="dxa"/>
              <w:bottom w:w="100" w:type="dxa"/>
              <w:end w:w="120" w:type="dxa"/>
            </w:tcMar>
            <w:vAlign w:val="center"/>
          </w:tcPr>
          <w:p>
            <w:pPr>
              <w:spacing w:after="0" w:line="240" w:lineRule="auto"/>
            </w:pPr>
            <w:r>
              <w:rPr>
                <w:rFonts w:ascii="Aptos" w:hAnsi="Aptos"/>
                <w:b w:val="0"/>
                <w:i w:val="0"/>
                <w:color w:val="000000"/>
                <w:sz w:val="11"/>
              </w:rPr>
              <w:t>POL–US</w:t>
            </w:r>
          </w:p>
        </w:tc>
        <w:tc>
          <w:tcPr>
            <w:tcW w:type="dxa" w:w="1600"/>
            <w:tcMar>
              <w:top w:w="100" w:type="dxa"/>
              <w:start w:w="120" w:type="dxa"/>
              <w:bottom w:w="100" w:type="dxa"/>
              <w:end w:w="120" w:type="dxa"/>
            </w:tcMar>
            <w:vAlign w:val="center"/>
          </w:tcPr>
          <w:p>
            <w:pPr>
              <w:spacing w:after="0" w:line="240" w:lineRule="auto"/>
            </w:pPr>
            <w:r>
              <w:rPr>
                <w:rFonts w:ascii="Aptos" w:hAnsi="Aptos"/>
                <w:b w:val="0"/>
                <w:i w:val="0"/>
                <w:color w:val="000000"/>
                <w:sz w:val="11"/>
              </w:rPr>
              <w:t>Displayed policy caveat only</w:t>
            </w:r>
          </w:p>
        </w:tc>
        <w:tc>
          <w:tcPr>
            <w:tcW w:type="dxa" w:w="4168"/>
            <w:tcMar>
              <w:top w:w="100" w:type="dxa"/>
              <w:start w:w="120" w:type="dxa"/>
              <w:bottom w:w="100" w:type="dxa"/>
              <w:end w:w="120" w:type="dxa"/>
            </w:tcMar>
            <w:vAlign w:val="center"/>
          </w:tcPr>
          <w:p>
            <w:pPr>
              <w:spacing w:after="0" w:line="240" w:lineRule="auto"/>
            </w:pPr>
            <w:r>
              <w:rPr>
                <w:rFonts w:ascii="Aptos" w:hAnsi="Aptos"/>
                <w:b w:val="0"/>
                <w:i w:val="0"/>
                <w:color w:val="000000"/>
                <w:sz w:val="11"/>
              </w:rPr>
              <w:t>Coverage rule, not a dose parameter or a universal non-U.S. clinical rule.</w:t>
            </w:r>
          </w:p>
        </w:tc>
      </w:tr>
      <w:tr>
        <w:trPr>
          <w:cantSplit w:val="true"/>
        </w:trPr>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Coverage continuation</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Measurable healing within each 30-day treatment period</w:t>
            </w:r>
          </w:p>
        </w:tc>
        <w:tc>
          <w:tcPr>
            <w:tcW w:type="dxa" w:w="3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CMS NCD 20.29 states that continued treatment is not covered if measurable healing has not been demonstrated within any 30-day period.</w:t>
            </w:r>
          </w:p>
        </w:tc>
        <w:tc>
          <w:tcPr>
            <w:tcW w:type="dxa" w:w="18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POL–US</w:t>
            </w:r>
          </w:p>
        </w:tc>
        <w:tc>
          <w:tcPr>
            <w:tcW w:type="dxa" w:w="1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Displayed policy caveat only</w:t>
            </w:r>
          </w:p>
        </w:tc>
        <w:tc>
          <w:tcPr>
            <w:tcW w:type="dxa" w:w="4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The engine never ingests healing data or decides continuation, stopping, or episode-count revision.</w:t>
            </w:r>
          </w:p>
        </w:tc>
      </w:tr>
    </w:tbl>
    <w:p>
      <w:pPr>
        <w:spacing w:after="20"/>
      </w:pPr>
    </w:p>
    <w:p>
      <w:pPr>
        <w:pStyle w:val="Heading1"/>
      </w:pPr>
      <w:r>
        <w:t>Appendix E. UHMS-accredited Hyperbaric Medicine Facilities</w:t>
      </w:r>
    </w:p>
    <w:p>
      <w:r>
        <w:rPr>
          <w:rFonts w:ascii="Aptos" w:hAnsi="Aptos"/>
          <w:b w:val="0"/>
          <w:i w:val="0"/>
          <w:sz w:val="18"/>
        </w:rPr>
        <w:t>Source layers, dates, and release lineage. The UHMS June 2025 source lists 144 facilities, including three outside the United States. This U.S.-population CKS retains only the 141 facilities physically situated in the 50 states or District of Columbia; E-142 Ireland, E-143 United Kingdom, and E-144 Singapore are outside scope and absent from this roster version. Accreditation marks come from Undersea and Hyperbaric Medical Society, “UHMS Accredited Hyperbaric Medicine Facilities,” June 2025 (Reference 10). Every source page is marked “A/O 06/30/2025,” and the PDF was created 2025-07-01. Initial address enrichment was extracted 2026-07-29. Eleven corrections verified against official facility or government sources are retained. Pre-release roster revision 2026-08-02-r4 removed telephone numbers as out of scope; its content is released here as provider-roster Version 1.0. Coordinates remain absent. Provider identities, membership, addresses, and selectability are unchanged from pre-release revision r3.</w:t>
      </w:r>
    </w:p>
    <w:tbl>
      <w:tblPr>
        <w:tblW w:type="auto" w:w="0"/>
        <w:tblLayout w:type="fixed"/>
        <w:tblLook w:firstColumn="1" w:firstRow="1" w:lastColumn="0" w:lastRow="0" w:noHBand="0" w:noVBand="1" w:val="04A0"/>
      </w:tblPr>
      <w:tblGrid>
        <w:gridCol w:w="13968"/>
      </w:tblGrid>
      <w:tr>
        <w:tc>
          <w:tcPr>
            <w:tcW w:type="dxa" w:w="13968"/>
            <w:tcMar>
              <w:top w:w="130" w:type="dxa"/>
              <w:start w:w="180" w:type="dxa"/>
              <w:bottom w:w="130" w:type="dxa"/>
              <w:end w:w="180" w:type="dxa"/>
            </w:tcMar>
            <w:shd w:fill="DDEBF3"/>
          </w:tcPr>
          <w:p>
            <w:pPr>
              <w:spacing w:after="0"/>
            </w:pPr>
            <w:r>
              <w:rPr>
                <w:rFonts w:ascii="Aptos" w:hAnsi="Aptos"/>
                <w:b/>
                <w:i w:val="0"/>
                <w:color w:val="174F78"/>
                <w:sz w:val="18"/>
              </w:rPr>
              <w:t xml:space="preserve">DIRECTORY-USE LIMIT  </w:t>
            </w:r>
            <w:r>
              <w:rPr>
                <w:rFonts w:ascii="Aptos" w:hAnsi="Aptos"/>
                <w:b w:val="0"/>
                <w:i w:val="0"/>
                <w:sz w:val="18"/>
              </w:rPr>
              <w:t>A roster listing or normalized address does not establish current accreditation, current operation, acceptance of a particular patient, DFU-specific capability, insurance participation, appointment availability, or clinical suitability. The stable provider IRI and version-specific roster record support exact lookup only. The invoking workflow SHALL require the user to confirm the intended location.</w:t>
            </w:r>
          </w:p>
        </w:tc>
      </w:tr>
    </w:tbl>
    <w:p>
      <w:pPr>
        <w:spacing w:after="20"/>
      </w:pPr>
    </w:p>
    <w:p>
      <w:pPr>
        <w:pStyle w:val="Heading2"/>
      </w:pPr>
      <w:r>
        <w:t>Appendix E.1 Roster Identity and Immutable Version</w:t>
      </w:r>
    </w:p>
    <w:p>
      <w:r>
        <w:rPr>
          <w:rFonts w:ascii="Aptos" w:hAnsi="Aptos"/>
          <w:b w:val="0"/>
          <w:i w:val="0"/>
          <w:sz w:val="18"/>
        </w:rPr>
        <w:t>Normative definition. The canonical provider-roster snapshot is the complete, closed, versioned JSON value used as the provider-roster dependency for provider identification, record validation, fingerprinting, audit, and reproducible replay. It is the normative machine-readable counterpart of Appendix E. It is not the UHMS source PDF, the address workbook, a normalization working file, a database export, the selected provider record alone, or the raw bytes of a formatted JSON file.</w:t>
      </w:r>
    </w:p>
    <w:tbl>
      <w:tblPr>
        <w:tblW w:type="dxa" w:w="11968"/>
        <w:tblLayout w:type="fixed"/>
        <w:tblLook w:firstColumn="1" w:firstRow="1" w:lastColumn="0" w:lastRow="0" w:noHBand="0" w:noVBand="1" w:val="04A0"/>
        <w:tblInd w:w="120" w:type="dxa"/>
      </w:tblPr>
      <w:tblGrid>
        <w:gridCol w:w="2900"/>
        <w:gridCol w:w="5700"/>
        <w:gridCol w:w="3368"/>
      </w:tblGrid>
      <w:tr>
        <w:trPr>
          <w:cantSplit w:val="true"/>
          <w:tblHeader w:val="true"/>
        </w:trPr>
        <w:tc>
          <w:tcPr>
            <w:tcW w:type="dxa" w:w="29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IDENTITY ROLE</w:t>
            </w:r>
          </w:p>
        </w:tc>
        <w:tc>
          <w:tcPr>
            <w:tcW w:type="dxa" w:w="57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NORMATIVE VALUE</w:t>
            </w:r>
          </w:p>
        </w:tc>
        <w:tc>
          <w:tcPr>
            <w:tcW w:type="dxa" w:w="33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SEMANTICS</w:t>
            </w:r>
          </w:p>
        </w:tc>
      </w:tr>
      <w:tr>
        <w:trPr>
          <w:cantSplit w:val="true"/>
        </w:trPr>
        <w:tc>
          <w:tcPr>
            <w:tcW w:type="dxa" w:w="2900"/>
            <w:tcMar>
              <w:top w:w="100" w:type="dxa"/>
              <w:start w:w="120" w:type="dxa"/>
              <w:bottom w:w="100" w:type="dxa"/>
              <w:end w:w="120" w:type="dxa"/>
            </w:tcMar>
            <w:vAlign w:val="center"/>
          </w:tcPr>
          <w:p>
            <w:pPr>
              <w:spacing w:after="0" w:line="240" w:lineRule="auto"/>
            </w:pPr>
            <w:r>
              <w:rPr>
                <w:rFonts w:ascii="Aptos" w:hAnsi="Aptos"/>
                <w:b w:val="0"/>
                <w:i w:val="0"/>
                <w:color w:val="000000"/>
                <w:sz w:val="12"/>
              </w:rPr>
              <w:t>Roster family IRI</w:t>
            </w:r>
          </w:p>
        </w:tc>
        <w:tc>
          <w:tcPr>
            <w:tcW w:type="dxa" w:w="5700"/>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https://kgrid.org/cks/dfu-hbot-burden/provider-rosters/appendix-e</w:t>
            </w:r>
          </w:p>
        </w:tc>
        <w:tc>
          <w:tcPr>
            <w:tcW w:type="dxa" w:w="3368"/>
            <w:tcMar>
              <w:top w:w="100" w:type="dxa"/>
              <w:start w:w="120" w:type="dxa"/>
              <w:bottom w:w="100" w:type="dxa"/>
              <w:end w:w="120" w:type="dxa"/>
            </w:tcMar>
            <w:vAlign w:val="center"/>
          </w:tcPr>
          <w:p>
            <w:pPr>
              <w:spacing w:after="0" w:line="240" w:lineRule="auto"/>
            </w:pPr>
            <w:r>
              <w:rPr>
                <w:rFonts w:ascii="Aptos" w:hAnsi="Aptos"/>
                <w:b w:val="0"/>
                <w:i w:val="0"/>
                <w:color w:val="000000"/>
                <w:sz w:val="12"/>
              </w:rPr>
              <w:t>Continuing Appendix E roster across versions; never sufficient for version-bound selection or analysis</w:t>
            </w:r>
          </w:p>
        </w:tc>
      </w:tr>
      <w:tr>
        <w:trPr>
          <w:cantSplit w:val="true"/>
        </w:trPr>
        <w:tc>
          <w:tcPr>
            <w:tcW w:type="dxa" w:w="2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Roster version IRI</w:t>
            </w:r>
          </w:p>
        </w:tc>
        <w:tc>
          <w:tcPr>
            <w:tcW w:type="dxa" w:w="5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https://kgrid.org/cks/dfu-hbot-burden/provider-rosters/appendix-e/versions/1.0</w:t>
            </w:r>
          </w:p>
        </w:tc>
        <w:tc>
          <w:tcPr>
            <w:tcW w:type="dxa" w:w="3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Exact immutable Appendix E snapshot governed by this CKS version</w:t>
            </w:r>
          </w:p>
        </w:tc>
      </w:tr>
      <w:tr>
        <w:trPr>
          <w:cantSplit w:val="true"/>
        </w:trPr>
        <w:tc>
          <w:tcPr>
            <w:tcW w:type="dxa" w:w="2900"/>
            <w:tcMar>
              <w:top w:w="100" w:type="dxa"/>
              <w:start w:w="120" w:type="dxa"/>
              <w:bottom w:w="100" w:type="dxa"/>
              <w:end w:w="120" w:type="dxa"/>
            </w:tcMar>
            <w:vAlign w:val="center"/>
          </w:tcPr>
          <w:p>
            <w:pPr>
              <w:spacing w:after="0" w:line="240" w:lineRule="auto"/>
            </w:pPr>
            <w:r>
              <w:rPr>
                <w:rFonts w:ascii="Aptos" w:hAnsi="Aptos"/>
                <w:b w:val="0"/>
                <w:i w:val="0"/>
                <w:color w:val="000000"/>
                <w:sz w:val="12"/>
              </w:rPr>
              <w:t>Canonical snapshot representation</w:t>
            </w:r>
          </w:p>
        </w:tc>
        <w:tc>
          <w:tcPr>
            <w:tcW w:type="dxa" w:w="5700"/>
            <w:tcMar>
              <w:top w:w="100" w:type="dxa"/>
              <w:start w:w="120" w:type="dxa"/>
              <w:bottom w:w="100" w:type="dxa"/>
              <w:end w:w="120" w:type="dxa"/>
            </w:tcMar>
            <w:vAlign w:val="center"/>
          </w:tcPr>
          <w:p>
            <w:pPr>
              <w:spacing w:after="0" w:line="240" w:lineRule="auto"/>
            </w:pPr>
            <w:r>
              <w:rPr>
                <w:rFonts w:ascii="Aptos" w:hAnsi="Aptos"/>
                <w:b w:val="0"/>
                <w:i w:val="0"/>
                <w:color w:val="000000"/>
                <w:sz w:val="12"/>
              </w:rPr>
              <w:t>DFU_HBOT_Provider_Roster_Snapshot_Version_1_0.json</w:t>
            </w:r>
          </w:p>
        </w:tc>
        <w:tc>
          <w:tcPr>
            <w:tcW w:type="dxa" w:w="3368"/>
            <w:tcMar>
              <w:top w:w="100" w:type="dxa"/>
              <w:start w:w="120" w:type="dxa"/>
              <w:bottom w:w="100" w:type="dxa"/>
              <w:end w:w="120" w:type="dxa"/>
            </w:tcMar>
            <w:vAlign w:val="center"/>
          </w:tcPr>
          <w:p>
            <w:pPr>
              <w:spacing w:after="0" w:line="240" w:lineRule="auto"/>
            </w:pPr>
            <w:r>
              <w:rPr>
                <w:rFonts w:ascii="Aptos" w:hAnsi="Aptos"/>
                <w:b w:val="0"/>
                <w:i w:val="0"/>
                <w:color w:val="000000"/>
                <w:sz w:val="12"/>
              </w:rPr>
              <w:t>Closed 141-record U.S.-only JSON value with all addresses verified and neither coordinate nor telephone fields; fingerprinted after RFC 8785 canonicalization</w:t>
            </w:r>
          </w:p>
        </w:tc>
      </w:tr>
      <w:tr>
        <w:trPr>
          <w:cantSplit w:val="true"/>
        </w:trPr>
        <w:tc>
          <w:tcPr>
            <w:tcW w:type="dxa" w:w="2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Source-roster as-of date</w:t>
            </w:r>
          </w:p>
        </w:tc>
        <w:tc>
          <w:tcPr>
            <w:tcW w:type="dxa" w:w="5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2025-06-30</w:t>
            </w:r>
          </w:p>
        </w:tc>
        <w:tc>
          <w:tcPr>
            <w:tcW w:type="dxa" w:w="3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Date printed on the nine-page UHMS source roster</w:t>
            </w:r>
          </w:p>
        </w:tc>
      </w:tr>
      <w:tr>
        <w:trPr>
          <w:cantSplit w:val="true"/>
        </w:trPr>
        <w:tc>
          <w:tcPr>
            <w:tcW w:type="dxa" w:w="2900"/>
            <w:tcMar>
              <w:top w:w="100" w:type="dxa"/>
              <w:start w:w="120" w:type="dxa"/>
              <w:bottom w:w="100" w:type="dxa"/>
              <w:end w:w="120" w:type="dxa"/>
            </w:tcMar>
            <w:vAlign w:val="center"/>
          </w:tcPr>
          <w:p>
            <w:pPr>
              <w:spacing w:after="0" w:line="240" w:lineRule="auto"/>
            </w:pPr>
            <w:r>
              <w:rPr>
                <w:rFonts w:ascii="Aptos" w:hAnsi="Aptos"/>
                <w:b w:val="0"/>
                <w:i w:val="0"/>
                <w:color w:val="000000"/>
                <w:sz w:val="12"/>
              </w:rPr>
              <w:t>Address-extract date</w:t>
            </w:r>
          </w:p>
        </w:tc>
        <w:tc>
          <w:tcPr>
            <w:tcW w:type="dxa" w:w="5700"/>
            <w:tcMar>
              <w:top w:w="100" w:type="dxa"/>
              <w:start w:w="120" w:type="dxa"/>
              <w:bottom w:w="100" w:type="dxa"/>
              <w:end w:w="120" w:type="dxa"/>
            </w:tcMar>
            <w:vAlign w:val="center"/>
          </w:tcPr>
          <w:p>
            <w:pPr>
              <w:spacing w:after="0" w:line="240" w:lineRule="auto"/>
            </w:pPr>
            <w:r>
              <w:rPr>
                <w:rFonts w:ascii="Aptos" w:hAnsi="Aptos"/>
                <w:b w:val="0"/>
                <w:i w:val="0"/>
                <w:color w:val="000000"/>
                <w:sz w:val="12"/>
              </w:rPr>
              <w:t>2026-07-29</w:t>
            </w:r>
          </w:p>
        </w:tc>
        <w:tc>
          <w:tcPr>
            <w:tcW w:type="dxa" w:w="3368"/>
            <w:tcMar>
              <w:top w:w="100" w:type="dxa"/>
              <w:start w:w="120" w:type="dxa"/>
              <w:bottom w:w="100" w:type="dxa"/>
              <w:end w:w="120" w:type="dxa"/>
            </w:tcMar>
            <w:vAlign w:val="center"/>
          </w:tcPr>
          <w:p>
            <w:pPr>
              <w:spacing w:after="0" w:line="240" w:lineRule="auto"/>
            </w:pPr>
            <w:r>
              <w:rPr>
                <w:rFonts w:ascii="Aptos" w:hAnsi="Aptos"/>
                <w:b w:val="0"/>
                <w:i w:val="0"/>
                <w:color w:val="000000"/>
                <w:sz w:val="12"/>
              </w:rPr>
              <w:t>Date of normalized live-directory address enrichment</w:t>
            </w:r>
          </w:p>
        </w:tc>
      </w:tr>
      <w:tr>
        <w:trPr>
          <w:cantSplit w:val="true"/>
        </w:trPr>
        <w:tc>
          <w:tcPr>
            <w:tcW w:type="dxa" w:w="2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Stable provider IRI pattern</w:t>
            </w:r>
          </w:p>
        </w:tc>
        <w:tc>
          <w:tcPr>
            <w:tcW w:type="dxa" w:w="5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https://kgrid.org/cks/dfu-hbot-burden/providers/{lowercase-compact-id}</w:t>
            </w:r>
          </w:p>
        </w:tc>
        <w:tc>
          <w:tcPr>
            <w:tcW w:type="dxa" w:w="33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Persistent identity of one provider at one physical HBOT service site</w:t>
            </w:r>
          </w:p>
        </w:tc>
      </w:tr>
      <w:tr>
        <w:trPr>
          <w:cantSplit w:val="true"/>
        </w:trPr>
        <w:tc>
          <w:tcPr>
            <w:tcW w:type="dxa" w:w="2900"/>
            <w:tcMar>
              <w:top w:w="100" w:type="dxa"/>
              <w:start w:w="120" w:type="dxa"/>
              <w:bottom w:w="100" w:type="dxa"/>
              <w:end w:w="120" w:type="dxa"/>
            </w:tcMar>
            <w:vAlign w:val="center"/>
          </w:tcPr>
          <w:p>
            <w:pPr>
              <w:spacing w:after="0" w:line="240" w:lineRule="auto"/>
            </w:pPr>
            <w:r>
              <w:rPr>
                <w:rFonts w:ascii="Aptos" w:hAnsi="Aptos"/>
                <w:b w:val="0"/>
                <w:i w:val="0"/>
                <w:color w:val="000000"/>
                <w:sz w:val="12"/>
              </w:rPr>
              <w:t>Version-specific record IRI pattern</w:t>
            </w:r>
          </w:p>
        </w:tc>
        <w:tc>
          <w:tcPr>
            <w:tcW w:type="dxa" w:w="5700"/>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https://kgrid.org/cks/dfu-hbot-burden/provider-rosters/appendix-e/versions/1.0/records/{lowercase-compact-id}</w:t>
            </w:r>
          </w:p>
        </w:tc>
        <w:tc>
          <w:tcPr>
            <w:tcW w:type="dxa" w:w="3368"/>
            <w:tcMar>
              <w:top w:w="100" w:type="dxa"/>
              <w:start w:w="120" w:type="dxa"/>
              <w:bottom w:w="100" w:type="dxa"/>
              <w:end w:w="120" w:type="dxa"/>
            </w:tcMar>
            <w:vAlign w:val="center"/>
          </w:tcPr>
          <w:p>
            <w:pPr>
              <w:spacing w:after="0" w:line="240" w:lineRule="auto"/>
            </w:pPr>
            <w:r>
              <w:rPr>
                <w:rFonts w:ascii="Aptos" w:hAnsi="Aptos"/>
                <w:b w:val="0"/>
                <w:i w:val="0"/>
                <w:color w:val="000000"/>
                <w:sz w:val="12"/>
              </w:rPr>
              <w:t>Identity of that provider's record in this exact snapshot</w:t>
            </w:r>
          </w:p>
        </w:tc>
      </w:tr>
    </w:tbl>
    <w:p>
      <w:pPr>
        <w:spacing w:after="20"/>
      </w:pPr>
    </w:p>
    <w:tbl>
      <w:tblPr>
        <w:tblW w:type="dxa" w:w="13968"/>
        <w:tblLayout w:type="fixed"/>
        <w:tblLook w:firstColumn="1" w:firstRow="1" w:lastColumn="0" w:lastRow="0" w:noHBand="0" w:noVBand="1" w:val="04A0"/>
        <w:tblInd w:w="120" w:type="dxa"/>
      </w:tblPr>
      <w:tblGrid>
        <w:gridCol w:w="2500"/>
        <w:gridCol w:w="1300"/>
        <w:gridCol w:w="10168"/>
      </w:tblGrid>
      <w:tr>
        <w:trPr>
          <w:cantSplit w:val="true"/>
          <w:tblHeader w:val="true"/>
        </w:trPr>
        <w:tc>
          <w:tcPr>
            <w:tcW w:type="dxa" w:w="25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TOP-LEVEL PROPERTY</w:t>
            </w:r>
          </w:p>
        </w:tc>
        <w:tc>
          <w:tcPr>
            <w:tcW w:type="dxa" w:w="13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CARDINALITY</w:t>
            </w:r>
          </w:p>
        </w:tc>
        <w:tc>
          <w:tcPr>
            <w:tcW w:type="dxa" w:w="101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NORMATIVE REQUIREMENT</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2"/>
              </w:rPr>
              <w:t>roster_version_iri</w:t>
            </w:r>
          </w:p>
        </w:tc>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10168"/>
            <w:tcMar>
              <w:top w:w="100" w:type="dxa"/>
              <w:start w:w="120" w:type="dxa"/>
              <w:bottom w:w="100" w:type="dxa"/>
              <w:end w:w="120" w:type="dxa"/>
            </w:tcMar>
            <w:vAlign w:val="center"/>
          </w:tcPr>
          <w:p>
            <w:pPr>
              <w:spacing w:after="0" w:line="240" w:lineRule="auto"/>
            </w:pPr>
            <w:r>
              <w:rPr>
                <w:rFonts w:ascii="Aptos" w:hAnsi="Aptos"/>
                <w:b w:val="0"/>
                <w:i w:val="0"/>
                <w:color w:val="000000"/>
                <w:sz w:val="12"/>
              </w:rPr>
              <w:t>Exact immutable roster-version IRI represented by the snapshot; it SHALL equal https://kgrid.org/cks/dfu-hbot-burden/provider-rosters/appendix-e/versions/1.0.</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record_count</w:t>
            </w:r>
          </w:p>
        </w:tc>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c>
          <w:tcPr>
            <w:tcW w:type="dxa" w:w="10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Integer count of records; it SHALL equal both 141 and the actual length of records.</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2"/>
              </w:rPr>
              <w:t>record_order</w:t>
            </w:r>
          </w:p>
        </w:tc>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2"/>
              </w:rPr>
              <w:t>1..1</w:t>
            </w:r>
          </w:p>
        </w:tc>
        <w:tc>
          <w:tcPr>
            <w:tcW w:type="dxa" w:w="10168"/>
            <w:tcMar>
              <w:top w:w="100" w:type="dxa"/>
              <w:start w:w="120" w:type="dxa"/>
              <w:bottom w:w="100" w:type="dxa"/>
              <w:end w:w="120" w:type="dxa"/>
            </w:tcMar>
            <w:vAlign w:val="center"/>
          </w:tcPr>
          <w:p>
            <w:pPr>
              <w:spacing w:after="0" w:line="240" w:lineRule="auto"/>
            </w:pPr>
            <w:r>
              <w:rPr>
                <w:rFonts w:ascii="Aptos" w:hAnsi="Aptos"/>
                <w:b w:val="0"/>
                <w:i w:val="0"/>
                <w:color w:val="000000"/>
                <w:sz w:val="12"/>
              </w:rPr>
              <w:t>It SHALL equal ascending_compact_id.</w:t>
            </w:r>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records</w:t>
            </w:r>
          </w:p>
        </w:tc>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1..1</w:t>
            </w:r>
          </w:p>
        </w:tc>
        <w:tc>
          <w:tcPr>
            <w:tcW w:type="dxa" w:w="10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Closed array containing every complete U.S. roster record exactly once, ordered E-001 through E-141 by ascending compact_id.</w:t>
            </w:r>
          </w:p>
        </w:tc>
      </w:tr>
    </w:tbl>
    <w:p>
      <w:pPr>
        <w:spacing w:after="20"/>
      </w:pPr>
    </w:p>
    <w:p>
      <w:pPr>
        <w:pStyle w:val="ListBullet"/>
        <w:spacing w:after="20"/>
      </w:pPr>
      <w:r>
        <w:rPr>
          <w:rFonts w:ascii="Aptos" w:hAnsi="Aptos"/>
          <w:b w:val="0"/>
          <w:i w:val="0"/>
          <w:sz w:val="18"/>
        </w:rPr>
        <w:t>The roster family IRI identifies the continuing governed roster. The roster version IRI identifies the exact record set, field values, record statuses, and selectability decisions in this snapshot. A family IRI SHALL NOT substitute for the required version IRI.</w:t>
      </w:r>
    </w:p>
    <w:p>
      <w:pPr>
        <w:pStyle w:val="ListBullet"/>
        <w:spacing w:after="20"/>
      </w:pPr>
      <w:r>
        <w:rPr>
          <w:rFonts w:ascii="Aptos" w:hAnsi="Aptos"/>
          <w:b w:val="0"/>
          <w:i w:val="0"/>
          <w:sz w:val="18"/>
        </w:rPr>
        <w:t>Before fingerprinting, an implementation SHALL verify the closed top-level shape, exact roster_version_iri, record_count equality, exact record_order token, complete record membership, uniqueness, and ascending compact_id order. It SHALL then serialize the entire providerRosterSnapshot value with RFC 8785, encode that canonical serialization as UTF-8, calculate SHA-256 over those bytes, and express the digest as 64 lowercase hexadecimal characters.</w:t>
      </w:r>
    </w:p>
    <w:p>
      <w:pPr>
        <w:pStyle w:val="ListBullet"/>
        <w:spacing w:after="20"/>
      </w:pPr>
      <w:r>
        <w:rPr>
          <w:rFonts w:ascii="Aptos" w:hAnsi="Aptos"/>
          <w:b w:val="0"/>
          <w:i w:val="0"/>
          <w:sz w:val="18"/>
        </w:rPr>
        <w:t>provider_roster_fingerprint SHALL be that SHA-256 digest. It SHALL NOT be calculated from the source PDF, workbook, normalization working file, pretty-printed JSON bytes, a database representation, or only the selected record. Whitespace, indentation, line endings, and stored JSON property order do not affect this canonical-content fingerprint; any substantive value change does.</w:t>
      </w:r>
    </w:p>
    <w:p>
      <w:pPr>
        <w:pStyle w:val="ListBullet"/>
        <w:spacing w:after="20"/>
      </w:pPr>
      <w:r>
        <w:rPr>
          <w:rFonts w:ascii="Aptos" w:hAnsi="Aptos"/>
          <w:b w:val="0"/>
          <w:i w:val="0"/>
          <w:sz w:val="18"/>
        </w:rPr>
        <w:t>An issued roster version is immutable. Any change to membership, provider-to-record mapping, name, address, status, selectability, successor relation, source value, or normalization value SHALL create a new roster version IRI. Adding or removing a roster field likewise requires a new roster version. Corrections SHALL NOT overwrite this version.</w:t>
      </w:r>
    </w:p>
    <w:p>
      <w:pPr>
        <w:pStyle w:val="ListBullet"/>
        <w:spacing w:after="20"/>
      </w:pPr>
      <w:r>
        <w:rPr>
          <w:rFonts w:ascii="Aptos" w:hAnsi="Aptos"/>
          <w:b w:val="0"/>
          <w:i w:val="0"/>
          <w:sz w:val="18"/>
        </w:rPr>
        <w:t>A realization SHALL bind exactly one roster version before questionnaire use. The completed questionnaire SHALL carry that exact provider_roster_version_iri. Analysis SHALL use the same immutable version; it SHALL NOT resolve the provider against a newer, older, or unversioned roster.</w:t>
      </w:r>
    </w:p>
    <w:p>
      <w:pPr>
        <w:pStyle w:val="Heading2"/>
      </w:pPr>
      <w:r>
        <w:t>Appendix E.2 Stable Provider-identity Assignment</w:t>
      </w:r>
    </w:p>
    <w:p>
      <w:r>
        <w:rPr>
          <w:rFonts w:ascii="Aptos" w:hAnsi="Aptos"/>
          <w:b w:val="0"/>
          <w:i w:val="0"/>
          <w:sz w:val="18"/>
        </w:rPr>
        <w:t>The stable provider entity is one named HBOT service operation at one physical service site. Its provider IRI is independent of roster order and roster version. E-001 through E-141 are the compact aliases in this U.S.-only roster version; each maps by lowercase expansion to exactly one provider IRI, for example E-001 → https://kgrid.org/cks/dfu-hbot-burden/providers/e-001. Compact aliases are display and audit conveniences and SHALL NOT be registered in IN-01. Previously issued E-142 through E-144 aliases are not reassigned; they are simply outside this CKS roster scope.</w:t>
      </w:r>
    </w:p>
    <w:tbl>
      <w:tblPr>
        <w:tblW w:type="dxa" w:w="13968"/>
        <w:tblLayout w:type="fixed"/>
        <w:tblLook w:firstColumn="1" w:firstRow="1" w:lastColumn="0" w:lastRow="0" w:noHBand="0" w:noVBand="1" w:val="04A0"/>
        <w:tblInd w:w="120" w:type="dxa"/>
      </w:tblPr>
      <w:tblGrid>
        <w:gridCol w:w="5100"/>
        <w:gridCol w:w="8868"/>
      </w:tblGrid>
      <w:tr>
        <w:trPr>
          <w:cantSplit w:val="true"/>
          <w:tblHeader w:val="true"/>
        </w:trPr>
        <w:tc>
          <w:tcPr>
            <w:tcW w:type="dxa" w:w="51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EVENT</w:t>
            </w:r>
          </w:p>
        </w:tc>
        <w:tc>
          <w:tcPr>
            <w:tcW w:type="dxa" w:w="88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IDENTITY DECISION</w:t>
            </w:r>
          </w:p>
        </w:tc>
      </w:tr>
      <w:tr>
        <w:trPr>
          <w:cantSplit w:val="true"/>
        </w:trPr>
        <w:tc>
          <w:tcPr>
            <w:tcW w:type="dxa" w:w="5100"/>
            <w:tcMar>
              <w:top w:w="100" w:type="dxa"/>
              <w:start w:w="120" w:type="dxa"/>
              <w:bottom w:w="100" w:type="dxa"/>
              <w:end w:w="120" w:type="dxa"/>
            </w:tcMar>
            <w:vAlign w:val="center"/>
          </w:tcPr>
          <w:p>
            <w:pPr>
              <w:spacing w:after="0" w:line="240" w:lineRule="auto"/>
            </w:pPr>
            <w:r>
              <w:rPr>
                <w:rFonts w:ascii="Aptos" w:hAnsi="Aptos"/>
                <w:b w:val="0"/>
                <w:i w:val="0"/>
                <w:color w:val="000000"/>
                <w:sz w:val="12"/>
              </w:rPr>
              <w:t>Display reordering, spelling correction, or address normalization correction without an actual site move</w:t>
            </w:r>
          </w:p>
        </w:tc>
        <w:tc>
          <w:tcPr>
            <w:tcW w:type="dxa" w:w="8868"/>
            <w:tcMar>
              <w:top w:w="100" w:type="dxa"/>
              <w:start w:w="120" w:type="dxa"/>
              <w:bottom w:w="100" w:type="dxa"/>
              <w:end w:w="120" w:type="dxa"/>
            </w:tcMar>
            <w:vAlign w:val="center"/>
          </w:tcPr>
          <w:p>
            <w:pPr>
              <w:spacing w:after="0" w:line="240" w:lineRule="auto"/>
            </w:pPr>
            <w:r>
              <w:rPr>
                <w:rFonts w:ascii="Aptos" w:hAnsi="Aptos"/>
                <w:b w:val="0"/>
                <w:i w:val="0"/>
                <w:color w:val="000000"/>
                <w:sz w:val="12"/>
              </w:rPr>
              <w:t>Retain the provider IRI; issue a new roster version for changed record content</w:t>
            </w:r>
          </w:p>
        </w:tc>
      </w:tr>
      <w:tr>
        <w:trPr>
          <w:cantSplit w:val="true"/>
        </w:trPr>
        <w:tc>
          <w:tcPr>
            <w:tcW w:type="dxa" w:w="5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Organization rename, ownership change, or accreditation-label change while the same HBOT operation remains at the same physical site</w:t>
            </w:r>
          </w:p>
        </w:tc>
        <w:tc>
          <w:tcPr>
            <w:tcW w:type="dxa" w:w="88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Retain the provider IRI; record changed attributes in a new roster version</w:t>
            </w:r>
          </w:p>
        </w:tc>
      </w:tr>
      <w:tr>
        <w:trPr>
          <w:cantSplit w:val="true"/>
        </w:trPr>
        <w:tc>
          <w:tcPr>
            <w:tcW w:type="dxa" w:w="5100"/>
            <w:tcMar>
              <w:top w:w="100" w:type="dxa"/>
              <w:start w:w="120" w:type="dxa"/>
              <w:bottom w:w="100" w:type="dxa"/>
              <w:end w:w="120" w:type="dxa"/>
            </w:tcMar>
            <w:vAlign w:val="center"/>
          </w:tcPr>
          <w:p>
            <w:pPr>
              <w:spacing w:after="0" w:line="240" w:lineRule="auto"/>
            </w:pPr>
            <w:r>
              <w:rPr>
                <w:rFonts w:ascii="Aptos" w:hAnsi="Aptos"/>
                <w:b w:val="0"/>
                <w:i w:val="0"/>
                <w:color w:val="000000"/>
                <w:sz w:val="12"/>
              </w:rPr>
              <w:t>Actual relocation of the HBOT service to another physical site</w:t>
            </w:r>
          </w:p>
        </w:tc>
        <w:tc>
          <w:tcPr>
            <w:tcW w:type="dxa" w:w="8868"/>
            <w:tcMar>
              <w:top w:w="100" w:type="dxa"/>
              <w:start w:w="120" w:type="dxa"/>
              <w:bottom w:w="100" w:type="dxa"/>
              <w:end w:w="120" w:type="dxa"/>
            </w:tcMar>
            <w:vAlign w:val="center"/>
          </w:tcPr>
          <w:p>
            <w:pPr>
              <w:spacing w:after="0" w:line="240" w:lineRule="auto"/>
            </w:pPr>
            <w:r>
              <w:rPr>
                <w:rFonts w:ascii="Aptos" w:hAnsi="Aptos"/>
                <w:b w:val="0"/>
                <w:i w:val="0"/>
                <w:color w:val="000000"/>
                <w:sz w:val="12"/>
              </w:rPr>
              <w:t>Mint a new provider IRI; retire the prior provider record and link the successor when established</w:t>
            </w:r>
          </w:p>
        </w:tc>
      </w:tr>
      <w:tr>
        <w:trPr>
          <w:cantSplit w:val="true"/>
        </w:trPr>
        <w:tc>
          <w:tcPr>
            <w:tcW w:type="dxa" w:w="5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Facility split, merger, or consolidation that prevents one-to-one continuity</w:t>
            </w:r>
          </w:p>
        </w:tc>
        <w:tc>
          <w:tcPr>
            <w:tcW w:type="dxa" w:w="88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Mint new provider IRI(s); retire predecessor record(s); never transfer or recycle an old IRI</w:t>
            </w:r>
          </w:p>
        </w:tc>
      </w:tr>
      <w:tr>
        <w:trPr>
          <w:cantSplit w:val="true"/>
        </w:trPr>
        <w:tc>
          <w:tcPr>
            <w:tcW w:type="dxa" w:w="5100"/>
            <w:tcMar>
              <w:top w:w="100" w:type="dxa"/>
              <w:start w:w="120" w:type="dxa"/>
              <w:bottom w:w="100" w:type="dxa"/>
              <w:end w:w="120" w:type="dxa"/>
            </w:tcMar>
            <w:vAlign w:val="center"/>
          </w:tcPr>
          <w:p>
            <w:pPr>
              <w:spacing w:after="0" w:line="240" w:lineRule="auto"/>
            </w:pPr>
            <w:r>
              <w:rPr>
                <w:rFonts w:ascii="Aptos" w:hAnsi="Aptos"/>
                <w:b w:val="0"/>
                <w:i w:val="0"/>
                <w:color w:val="000000"/>
                <w:sz w:val="12"/>
              </w:rPr>
              <w:t>Possible match with uncertain identity continuity or unresolved duplicate source rows</w:t>
            </w:r>
          </w:p>
        </w:tc>
        <w:tc>
          <w:tcPr>
            <w:tcW w:type="dxa" w:w="8868"/>
            <w:tcMar>
              <w:top w:w="100" w:type="dxa"/>
              <w:start w:w="120" w:type="dxa"/>
              <w:bottom w:w="100" w:type="dxa"/>
              <w:end w:w="120" w:type="dxa"/>
            </w:tcMar>
            <w:vAlign w:val="center"/>
          </w:tcPr>
          <w:p>
            <w:pPr>
              <w:spacing w:after="0" w:line="240" w:lineRule="auto"/>
            </w:pPr>
            <w:r>
              <w:rPr>
                <w:rFonts w:ascii="Aptos" w:hAnsi="Aptos"/>
                <w:b w:val="0"/>
                <w:i w:val="0"/>
                <w:color w:val="000000"/>
                <w:sz w:val="12"/>
              </w:rPr>
              <w:t>Do not merge identities; mark affected records nonselectable pending adjudication</w:t>
            </w:r>
          </w:p>
        </w:tc>
      </w:tr>
      <w:tr>
        <w:trPr>
          <w:cantSplit w:val="true"/>
        </w:trPr>
        <w:tc>
          <w:tcPr>
            <w:tcW w:type="dxa" w:w="51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New provider in a later roster version</w:t>
            </w:r>
          </w:p>
        </w:tc>
        <w:tc>
          <w:tcPr>
            <w:tcW w:type="dxa" w:w="88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Assign the next unused E-nnn alias monotonically and mint its provider IRI; never renumber or reuse an issued alias</w:t>
            </w:r>
          </w:p>
        </w:tc>
      </w:tr>
    </w:tbl>
    <w:p>
      <w:pPr>
        <w:spacing w:after="20"/>
      </w:pPr>
    </w:p>
    <w:p>
      <w:pPr>
        <w:pStyle w:val="ListBullet"/>
        <w:spacing w:after="20"/>
      </w:pPr>
      <w:r>
        <w:rPr>
          <w:rFonts w:ascii="Aptos" w:hAnsi="Aptos"/>
          <w:b w:val="0"/>
          <w:i w:val="0"/>
          <w:sz w:val="18"/>
        </w:rPr>
        <w:t>Provider IRIs and compact aliases SHALL never be reassigned, recycled, or made to denote another site. Removal from a later source roster retires the record but does not delete or repurpose the provider IRI.</w:t>
      </w:r>
    </w:p>
    <w:p>
      <w:pPr>
        <w:pStyle w:val="ListBullet"/>
        <w:spacing w:after="20"/>
      </w:pPr>
      <w:r>
        <w:rPr>
          <w:rFonts w:ascii="Aptos" w:hAnsi="Aptos"/>
          <w:b w:val="0"/>
          <w:i w:val="0"/>
          <w:sz w:val="18"/>
        </w:rPr>
        <w:t>A successor relation is directional provenance, not identity equivalence. A retired provider IRI SHALL NOT resolve as, redirect to, or be silently substituted by a successor provider for questionnaire or analysis purposes.</w:t>
      </w:r>
    </w:p>
    <w:p>
      <w:pPr>
        <w:pStyle w:val="Heading2"/>
      </w:pPr>
      <w:r>
        <w:t>Appendix E.3 Selectable-record Rules</w:t>
      </w:r>
    </w:p>
    <w:p>
      <w:r>
        <w:rPr>
          <w:rFonts w:ascii="Aptos" w:hAnsi="Aptos"/>
          <w:b w:val="0"/>
          <w:i w:val="0"/>
          <w:sz w:val="18"/>
        </w:rPr>
        <w:t>A version-specific roster record SHALL contain roster_version_iri, roster_record_iri, provider_iri, compact_id, record_status, selectable, successor_provider_iris, address_verification_required, and all directory fields defined by Appendix G. Every property is required. successor_provider_iris is an empty array when no successor is asserted.</w:t>
      </w:r>
    </w:p>
    <w:p>
      <w:pPr>
        <w:pStyle w:val="ListBullet"/>
        <w:spacing w:after="20"/>
      </w:pPr>
      <w:r>
        <w:rPr>
          <w:rFonts w:ascii="Aptos" w:hAnsi="Aptos"/>
          <w:b w:val="0"/>
          <w:i w:val="0"/>
          <w:sz w:val="18"/>
        </w:rPr>
        <w:t>All string values SHALL be Unicode strings in NFC, SHALL equal their own trim using the Unicode White_Space property, and SHALL contain no C0 or C1 control character. Human-readable directory strings SHALL contain at least one non-whitespace character. These are semantic constraints in addition to the JSON Schema lexical constraints.</w:t>
      </w:r>
    </w:p>
    <w:p>
      <w:pPr>
        <w:pStyle w:val="ListBullet"/>
        <w:spacing w:after="20"/>
      </w:pPr>
      <w:r>
        <w:rPr>
          <w:rFonts w:ascii="Aptos" w:hAnsi="Aptos"/>
          <w:b w:val="0"/>
          <w:i w:val="0"/>
          <w:sz w:val="18"/>
        </w:rPr>
        <w:t>Let n be the three decimal digits in compact_id E-nnn. provider_iri SHALL equal https://kgrid.org/cks/dfu-hbot-burden/providers/e-nnn and roster_record_iri SHALL equal https://kgrid.org/cks/dfu-hbot-burden/provider-rosters/appendix-e/versions/1.0/records/e-nnn. Case, zero padding, and every other character are significant. Matching suffix shapes without this exact same-n equality is invalid.</w:t>
      </w:r>
    </w:p>
    <w:p>
      <w:pPr>
        <w:pStyle w:val="ListBullet"/>
        <w:spacing w:after="20"/>
      </w:pPr>
      <w:r>
        <w:rPr>
          <w:rFonts w:ascii="Aptos" w:hAnsi="Aptos"/>
          <w:b w:val="0"/>
          <w:i w:val="0"/>
          <w:sz w:val="18"/>
        </w:rPr>
        <w:t>Within the complete snapshot, compact_id, provider_iri, and roster_record_iri SHALL each be unique. The compact_id sequence SHALL be exactly E-001, E-002, …, E-141 with no gap, duplicate, or reordering. record_count SHALL equal records.length and 141. Every jurisdiction SHALL be a U.S. state or District of Columbia; any foreign-jurisdiction record invalidates the snapshot.</w:t>
      </w:r>
    </w:p>
    <w:p>
      <w:pPr>
        <w:pStyle w:val="ListBullet"/>
        <w:spacing w:after="20"/>
      </w:pPr>
      <w:r>
        <w:rPr>
          <w:rFonts w:ascii="Aptos" w:hAnsi="Aptos"/>
          <w:b w:val="0"/>
          <w:i w:val="0"/>
          <w:sz w:val="18"/>
        </w:rPr>
        <w:t>successor_provider_iris SHALL contain unique stable provider IRIs, SHALL be empty when record_status=listed, SHALL NOT contain the record's own provider_iri, and SHALL NOT contain a compact alias or roster-record IRI. A successor need not be a member of this historical snapshot. Its presence never makes a record selectable and never authorizes substitution.</w:t>
      </w:r>
    </w:p>
    <w:tbl>
      <w:tblPr>
        <w:tblW w:type="dxa" w:w="13968"/>
        <w:tblLayout w:type="fixed"/>
        <w:tblLook w:firstColumn="1" w:firstRow="1" w:lastColumn="0" w:lastRow="0" w:noHBand="0" w:noVBand="1" w:val="04A0"/>
        <w:tblInd w:w="120" w:type="dxa"/>
      </w:tblPr>
      <w:tblGrid>
        <w:gridCol w:w="900"/>
        <w:gridCol w:w="7600"/>
        <w:gridCol w:w="5468"/>
      </w:tblGrid>
      <w:tr>
        <w:trPr>
          <w:cantSplit w:val="true"/>
          <w:tblHeader w:val="true"/>
        </w:trPr>
        <w:tc>
          <w:tcPr>
            <w:tcW w:type="dxa" w:w="9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ORDER</w:t>
            </w:r>
          </w:p>
        </w:tc>
        <w:tc>
          <w:tcPr>
            <w:tcW w:type="dxa" w:w="76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PREDICATE</w:t>
            </w:r>
          </w:p>
        </w:tc>
        <w:tc>
          <w:tcPr>
            <w:tcW w:type="dxa" w:w="54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FAILURE EFFECT</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2"/>
              </w:rPr>
              <w:t>1</w:t>
            </w:r>
          </w:p>
        </w:tc>
        <w:tc>
          <w:tcPr>
            <w:tcW w:type="dxa" w:w="7600"/>
            <w:tcMar>
              <w:top w:w="100" w:type="dxa"/>
              <w:start w:w="120" w:type="dxa"/>
              <w:bottom w:w="100" w:type="dxa"/>
              <w:end w:w="120" w:type="dxa"/>
            </w:tcMar>
            <w:vAlign w:val="center"/>
          </w:tcPr>
          <w:p>
            <w:pPr>
              <w:spacing w:after="0" w:line="240" w:lineRule="auto"/>
            </w:pPr>
            <w:r>
              <w:rPr>
                <w:rFonts w:ascii="Aptos" w:hAnsi="Aptos"/>
                <w:b w:val="0"/>
                <w:i w:val="0"/>
                <w:color w:val="000000"/>
                <w:sz w:val="12"/>
              </w:rPr>
              <w:t>roster_version_iri exactly equals the bound roster version IRI</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Record is not eligible for this invocation</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2</w:t>
            </w:r>
          </w:p>
        </w:tc>
        <w:tc>
          <w:tcPr>
            <w:tcW w:type="dxa" w:w="7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roster_record_iri equals {roster_version_iri}/records/{lowercase compact_id}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Record is invalid and nonselectable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2"/>
              </w:rPr>
              <w:t>3</w:t>
            </w:r>
          </w:p>
        </w:tc>
        <w:tc>
          <w:tcPr>
            <w:tcW w:type="dxa" w:w="7600"/>
            <w:tcMar>
              <w:top w:w="100" w:type="dxa"/>
              <w:start w:w="120" w:type="dxa"/>
              <w:bottom w:w="100" w:type="dxa"/>
              <w:end w:w="120" w:type="dxa"/>
            </w:tcMar>
            <w:vAlign w:val="center"/>
          </w:tcPr>
          <w:p>
            <w:pPr>
              <w:spacing w:after="0" w:line="240" w:lineRule="auto"/>
            </w:pPr>
            <w:r>
              <w:rPr>
                <w:rFonts w:ascii="Aptos" w:hAnsi="Aptos"/>
                <w:b w:val="0"/>
                <w:i w:val="0"/>
                <w:color w:val="000000"/>
                <w:sz w:val="12"/>
              </w:rPr>
              <w:t>provider_iri equals the roster-family mapping for compact_id and occurs in exactly one record in the version</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All conflicting records are nonselectable</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4</w:t>
            </w:r>
          </w:p>
        </w:tc>
        <w:tc>
          <w:tcPr>
            <w:tcW w:type="dxa" w:w="7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record_status equals listed</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retired, superseded, or unresolved records are nonselectable</w:t>
            </w:r>
          </w:p>
        </w:tc>
      </w:tr>
      <w:tr>
        <w:trPr>
          <w:cantSplit w:val="true"/>
        </w:trPr>
        <w:tc>
          <w:tcPr>
            <w:tcW w:type="dxa" w:w="900"/>
            <w:tcMar>
              <w:top w:w="100" w:type="dxa"/>
              <w:start w:w="120" w:type="dxa"/>
              <w:bottom w:w="100" w:type="dxa"/>
              <w:end w:w="120" w:type="dxa"/>
            </w:tcMar>
            <w:vAlign w:val="center"/>
          </w:tcPr>
          <w:p>
            <w:pPr>
              <w:spacing w:after="0" w:line="240" w:lineRule="auto"/>
            </w:pPr>
            <w:r>
              <w:rPr>
                <w:rFonts w:ascii="Aptos" w:hAnsi="Aptos"/>
                <w:b w:val="0"/>
                <w:i w:val="0"/>
                <w:color w:val="000000"/>
                <w:sz w:val="12"/>
              </w:rPr>
              <w:t>5</w:t>
            </w:r>
          </w:p>
        </w:tc>
        <w:tc>
          <w:tcPr>
            <w:tcW w:type="dxa" w:w="7600"/>
            <w:tcMar>
              <w:top w:w="100" w:type="dxa"/>
              <w:start w:w="120" w:type="dxa"/>
              <w:bottom w:w="100" w:type="dxa"/>
              <w:end w:w="120" w:type="dxa"/>
            </w:tcMar>
            <w:vAlign w:val="center"/>
          </w:tcPr>
          <w:p>
            <w:pPr>
              <w:spacing w:after="0" w:line="240" w:lineRule="auto"/>
            </w:pPr>
            <w:r>
              <w:rPr>
                <w:rFonts w:ascii="Aptos" w:hAnsi="Aptos"/>
                <w:b w:val="0"/>
                <w:i w:val="0"/>
                <w:color w:val="000000"/>
                <w:sz w:val="12"/>
              </w:rPr>
              <w:t>address_status equals candidate, normalized_address_candidate is complete, and address_verification_required=false</w:t>
            </w:r>
          </w:p>
        </w:tc>
        <w:tc>
          <w:tcPr>
            <w:tcW w:type="dxa" w:w="5468"/>
            <w:tcMar>
              <w:top w:w="100" w:type="dxa"/>
              <w:start w:w="120" w:type="dxa"/>
              <w:bottom w:w="100" w:type="dxa"/>
              <w:end w:w="120" w:type="dxa"/>
            </w:tcMar>
            <w:vAlign w:val="center"/>
          </w:tcPr>
          <w:p>
            <w:pPr>
              <w:spacing w:after="0" w:line="240" w:lineRule="auto"/>
            </w:pPr>
            <w:r>
              <w:rPr>
                <w:rFonts w:ascii="Aptos" w:hAnsi="Aptos"/>
                <w:b w:val="0"/>
                <w:i w:val="0"/>
                <w:color w:val="000000"/>
                <w:sz w:val="12"/>
              </w:rPr>
              <w:t>incomplete, unavailable, or verification-required address records are nonselectable</w:t>
            </w:r>
          </w:p>
        </w:tc>
      </w:tr>
      <w:tr>
        <w:trPr>
          <w:cantSplit w:val="true"/>
        </w:trPr>
        <w:tc>
          <w:tcPr>
            <w:tcW w:type="dxa" w:w="9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6</w:t>
            </w:r>
          </w:p>
        </w:tc>
        <w:tc>
          <w:tcPr>
            <w:tcW w:type="dxa" w:w="76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selectable equals true if and only if predicates 1–5 all pass</w:t>
            </w:r>
          </w:p>
        </w:tc>
        <w:tc>
          <w:tcPr>
            <w:tcW w:type="dxa" w:w="54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Stored selectability inconsistent with the predicates invalidates the roster version</w:t>
            </w:r>
          </w:p>
        </w:tc>
      </w:tr>
    </w:tbl>
    <w:p>
      <w:pPr>
        <w:spacing w:after="20"/>
      </w:pPr>
    </w:p>
    <w:p>
      <w:r>
        <w:rPr>
          <w:rFonts w:ascii="Aptos" w:hAnsi="Aptos"/>
          <w:b w:val="0"/>
          <w:i w:val="0"/>
          <w:sz w:val="18"/>
        </w:rPr>
        <w:t>The biconditional in predicate 6 is exact: selectable=true if and only if record_status=listed, address_status=candidate, address_verification_required=false, the record identities are coherent, and the provider mapping is unique. A false value when every predicate passes and a true value when any predicate fails are both roster-integrity failures. A roster-integrity failure invalidates the complete snapshot; it is not repaired at run time.</w:t>
      </w:r>
    </w:p>
    <w:p>
      <w:pPr>
        <w:pStyle w:val="ListBullet"/>
        <w:spacing w:after="20"/>
      </w:pPr>
      <w:r>
        <w:rPr>
          <w:rFonts w:ascii="Aptos" w:hAnsi="Aptos"/>
          <w:b w:val="0"/>
          <w:i w:val="0"/>
          <w:sz w:val="18"/>
        </w:rPr>
        <w:t>normalized_address_candidate SHALL be a non-placeholder, trimmed address string when address_status=candidate. When address_status=unavailable it SHALL equal the literal No matched live-directory address. address_source SHALL be an absolute HTTPS IRI when an address source is available and SHALL equal the literal Unavailable otherwise.</w:t>
      </w:r>
    </w:p>
    <w:p>
      <w:pPr>
        <w:pStyle w:val="ListBullet"/>
        <w:spacing w:after="20"/>
      </w:pPr>
      <w:r>
        <w:rPr>
          <w:rFonts w:ascii="Aptos" w:hAnsi="Aptos"/>
          <w:b w:val="0"/>
          <w:i w:val="0"/>
          <w:sz w:val="18"/>
        </w:rPr>
        <w:t>Telephone numbers and coordinates are intentionally absent from provider-roster Version 1.0 because neither field has a role in provider selection or burden analysis. An implementation SHALL NOT infer, append, or use either field within this CKS. Q02 and Q03 remain user-reported one-way miles and travel minutes for the confirmed hyperbaric_oxygen_therapy_location; this CKS performs no contact-directory service, geocoding, or routing.</w:t>
      </w:r>
    </w:p>
    <w:p>
      <w:pPr>
        <w:pStyle w:val="ListBullet"/>
        <w:spacing w:after="20"/>
      </w:pPr>
      <w:r>
        <w:rPr>
          <w:rFonts w:ascii="Aptos" w:hAnsi="Aptos"/>
          <w:b w:val="0"/>
          <w:i w:val="0"/>
          <w:sz w:val="18"/>
        </w:rPr>
        <w:t>The complete snapshot SHALL be rejected before provider lookup if any record fails its closed shape, lexical constraints, cross-field constraints, identity constraints, uniqueness constraints, exact membership/order constraint, or derived-selectability constraint. No implementation may discard, repair, merge, reorder, or silently normalize a defective record and continue.</w:t>
      </w:r>
    </w:p>
    <w:p>
      <w:r>
        <w:rPr>
          <w:rFonts w:ascii="Aptos" w:hAnsi="Aptos"/>
          <w:b w:val="0"/>
          <w:i w:val="0"/>
          <w:sz w:val="18"/>
        </w:rPr>
        <w:t>Under this U.S.-only roster revision, all 141 records are selectable: every record is listed, has a verified complete address candidate, and has address_verification_required=false. No record is retained in a nonselectable state. The three foreign facilities and seven live-directory-only exceptions are not roster-version records. Accreditation distinction, Joint Commission marking, current appointment availability, insurer participation, and clinical suitability do not make a record selectable or nonselectable.</w:t>
      </w:r>
    </w:p>
    <w:p>
      <w:pPr>
        <w:pStyle w:val="ListBullet"/>
        <w:spacing w:after="20"/>
      </w:pPr>
      <w:r>
        <w:rPr>
          <w:rFonts w:ascii="Aptos" w:hAnsi="Aptos"/>
          <w:b w:val="0"/>
          <w:i w:val="0"/>
          <w:sz w:val="18"/>
        </w:rPr>
        <w:t>Q01 SHALL display only records with selectable=true from the bound roster version. Search results MAY show nonselectable records only when clearly disabled and accompanied by the reason; they SHALL NOT be confirmable.</w:t>
      </w:r>
    </w:p>
    <w:p>
      <w:pPr>
        <w:pStyle w:val="ListBullet"/>
        <w:spacing w:after="20"/>
      </w:pPr>
      <w:r>
        <w:rPr>
          <w:rFonts w:ascii="Aptos" w:hAnsi="Aptos"/>
          <w:b w:val="0"/>
          <w:i w:val="0"/>
          <w:sz w:val="18"/>
        </w:rPr>
        <w:t>Analysis SHALL require the request-level and questionnaire provider_roster_version_iri values to equal each other and the bound roster version IRI. It SHALL then require the exact snapshot to be available and internally valid before resolving IN-01 to exactly one selectable record whose provider_iri exactly equals IN-01. It SHALL copy the record and provider IRIs from that row; it SHALL NOT search by name, address, compact alias, or successor relation.</w:t>
      </w:r>
    </w:p>
    <w:p>
      <w:pPr>
        <w:pStyle w:val="ListBullet"/>
        <w:spacing w:after="20"/>
      </w:pPr>
      <w:r>
        <w:rPr>
          <w:rFonts w:ascii="Aptos" w:hAnsi="Aptos"/>
          <w:b w:val="0"/>
          <w:i w:val="0"/>
          <w:sz w:val="18"/>
        </w:rPr>
        <w:t>An unsupported request-level roster version or cross-artifact mismatch returns ERR-05. An unavailable or internally invalid compatible snapshot returns ERR-10. With a valid snapshot, an absent, nonunique, nonselectable, or mapping-invalid provider IRI returns ERR-09. Section 9 defines the exact error_field and precedence.</w:t>
      </w:r>
    </w:p>
    <w:p>
      <w:r>
        <w:rPr>
          <w:rFonts w:ascii="Aptos" w:hAnsi="Aptos"/>
          <w:b w:val="0"/>
          <w:i w:val="0"/>
          <w:sz w:val="18"/>
        </w:rPr>
        <w:t>Organization. Section E.4 organizes the U.S.-only roster alphabetically by state or District of Columbia. Facilities within each jurisdiction are alphabetized by facility listing. Reordering does not alter a compact alias, provider IRI, or version-specific record IRI.</w:t>
      </w:r>
    </w:p>
    <w:p>
      <w:r>
        <w:rPr>
          <w:rFonts w:ascii="Aptos" w:hAnsi="Aptos"/>
          <w:b w:val="0"/>
          <w:i w:val="0"/>
          <w:sz w:val="18"/>
        </w:rPr>
        <w:t>Reconciliation summary. The 144-row June 2025 source contained 141 U.S. facilities and three foreign facilities. This roster retains all 141 U.S. facilities, incorporates eleven verified address corrections (E-007, E-022, E-047, E-052, E-059, E-064, E-094, E-102, E-104, E-107, and E-141), and excludes the three foreign facilities. Seven live-directory-only exceptions remain in Section E.5 but are not roster-version records. Match and normalization are data-reconciliation operations, not clinical or accreditation determinations.</w:t>
      </w:r>
    </w:p>
    <w:p>
      <w:r>
        <w:rPr>
          <w:rFonts w:ascii="Aptos" w:hAnsi="Aptos"/>
          <w:b w:val="0"/>
          <w:i w:val="0"/>
          <w:sz w:val="18"/>
        </w:rPr>
        <w:t>Legend. “Dist.” reproduces the source asterisk (“UHMS Accredited With Distinction”). “JC” reproduces the source double-dagger (“Medical Center Joint Commission Accredited”). “Candidate” means a normalized street/locality combination is available; “incomplete” means some address text or locality is missing; “unavailable” means no matched live-directory address was found. Telephone numbers and coordinates are outside this roster's scope and are not included.</w:t>
      </w:r>
    </w:p>
    <w:p>
      <w:pPr>
        <w:pStyle w:val="Heading2"/>
      </w:pPr>
      <w:r>
        <w:t>Appendix E.4 United States Facilities by State</w:t>
      </w:r>
    </w:p>
    <w:p>
      <w:pPr>
        <w:pStyle w:val="Heading3"/>
      </w:pPr>
      <w:r>
        <w:t>Alabama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E-001</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Wound Care &amp; Hyperbaric Medicine / Springhill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3719 Dauphin St, Mobile, Alabama 36608,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7">
              <w:r>
                <w:rPr>
                  <w:rFonts w:ascii="Aptos" w:hAnsi="Aptos"/>
                  <w:color w:val="174F78"/>
                  <w:u w:val="single"/>
                  <w:sz w:val="10"/>
                </w:rPr>
                <w:t>Official facility source</w:t>
              </w:r>
            </w:hyperlink>
          </w:p>
        </w:tc>
      </w:tr>
    </w:tbl>
    <w:p>
      <w:pPr>
        <w:spacing w:after="20"/>
      </w:pPr>
    </w:p>
    <w:p>
      <w:pPr>
        <w:pStyle w:val="Heading3"/>
      </w:pPr>
      <w:r>
        <w:t>Arizona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E-002</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&amp; Hyperbaric Oxygen Center / Chandler Regional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1875 West Frye Rd, Chandler, Arizona 85224,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8">
              <w:r>
                <w:rPr>
                  <w:rFonts w:ascii="Aptos" w:hAnsi="Aptos"/>
                  <w:color w:val="174F78"/>
                  <w:u w:val="single"/>
                  <w:sz w:val="10"/>
                </w:rPr>
                <w:t>Official facility source</w:t>
              </w:r>
            </w:hyperlink>
          </w:p>
        </w:tc>
      </w:tr>
    </w:tbl>
    <w:p>
      <w:pPr>
        <w:spacing w:after="20"/>
      </w:pPr>
    </w:p>
    <w:p>
      <w:pPr>
        <w:pStyle w:val="Heading3"/>
      </w:pPr>
      <w:r>
        <w:t>California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E-006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Medicine / John Muir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1601 Ygnacio Valley Road, Walnut Creek, California 94598,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E-004</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Department / Redlands Community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350 Terracina Blvd, Redlands, California 92373,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2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E-005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Medicine Flight / David Grant USAF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101 Bodin Circle, Fairfield, California 94533,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2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E-008</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Service / Loma Linda University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11234 Anderson Street, Loma Linda, California 92354,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2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E-003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UCLA Hyperbaric Medicine / UCLA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200 UCLA Medical Plaza, Suite B265-29, Los Angeles, California 90095,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2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E-007</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Medicine Center / Loma Linda University Hospital-Murrieta</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28062 Baxter Rd, Murrieta, California 92563,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24">
              <w:r>
                <w:rPr>
                  <w:rFonts w:ascii="Aptos" w:hAnsi="Aptos"/>
                  <w:color w:val="174F78"/>
                  <w:u w:val="single"/>
                  <w:sz w:val="10"/>
                </w:rPr>
                <w:t>Official facility source</w:t>
              </w:r>
            </w:hyperlink>
          </w:p>
        </w:tc>
      </w:tr>
    </w:tbl>
    <w:p>
      <w:pPr>
        <w:spacing w:after="20"/>
      </w:pPr>
    </w:p>
    <w:p>
      <w:pPr>
        <w:pStyle w:val="Heading3"/>
      </w:pPr>
      <w:r>
        <w:t>Colorado</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E-012</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Wound Healing &amp; Hyperbaric Medicine / Swedish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601 E Hampden Ave, Ste 110, Englewood, Colorado 80113,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2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E-011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Center / Presbyterian/St Luke’s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1719 East 19th Ave, Denver, Colorado 80218,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2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E-010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The Hyperbaric Medicine Service / Memorial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1400 East Boulder Street, Colorado Springs, Colorado 80909,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2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E-009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The Hyperbaric Medicine Service / Poudre Valley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1024 South Lemay Ave, Fort Collins, Colorado 80524,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28">
              <w:r>
                <w:rPr>
                  <w:rFonts w:ascii="Aptos" w:hAnsi="Aptos"/>
                  <w:color w:val="174F78"/>
                  <w:u w:val="single"/>
                  <w:sz w:val="10"/>
                </w:rPr>
                <w:t>Official facility source</w:t>
              </w:r>
            </w:hyperlink>
          </w:p>
        </w:tc>
      </w:tr>
    </w:tbl>
    <w:p>
      <w:pPr>
        <w:spacing w:after="20"/>
      </w:pPr>
    </w:p>
    <w:p>
      <w:pPr>
        <w:pStyle w:val="Heading3"/>
      </w:pPr>
      <w:r>
        <w:t>Connecticut</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E-013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Comprehensive Wound Healing Center / Griffin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130 Division Street, Derby, Connecticut 06418,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2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E-014</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Morganti Center for Wound Care &amp; Hyperbaric Medicine / Nuvance Health Danbury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24 Hospital Avenue, Danbury, Connecticut 06810,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3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E-016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Nuvance Health Wound Care and Hyperbaric Medicine / Nuvance Health Norwalk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34 Maple Street, Norwalk, Connecticut 06850,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3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E-015</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The Center for Hyperbaric &amp; Wound Healing / Greenwich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5 Perryridge Road, Greenwich, Connecticut 06830,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32">
              <w:r>
                <w:rPr>
                  <w:rFonts w:ascii="Aptos" w:hAnsi="Aptos"/>
                  <w:color w:val="174F78"/>
                  <w:u w:val="single"/>
                  <w:sz w:val="10"/>
                </w:rPr>
                <w:t>Official facility source</w:t>
              </w:r>
            </w:hyperlink>
          </w:p>
        </w:tc>
      </w:tr>
    </w:tbl>
    <w:p>
      <w:pPr>
        <w:spacing w:after="20"/>
      </w:pPr>
    </w:p>
    <w:p>
      <w:pPr>
        <w:pStyle w:val="Heading3"/>
      </w:pPr>
      <w:r>
        <w:t>District of Columbia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E-017</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Wound Healing &amp; Hyperbaric Medicine / MedStar Georgetown University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3800 Reservoir Road Northwest, Washington, District of Columbia 20007,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33">
              <w:r>
                <w:rPr>
                  <w:rFonts w:ascii="Aptos" w:hAnsi="Aptos"/>
                  <w:color w:val="174F78"/>
                  <w:u w:val="single"/>
                  <w:sz w:val="10"/>
                </w:rPr>
                <w:t>Official facility source</w:t>
              </w:r>
            </w:hyperlink>
          </w:p>
        </w:tc>
      </w:tr>
    </w:tbl>
    <w:p>
      <w:pPr>
        <w:spacing w:after="20"/>
      </w:pPr>
    </w:p>
    <w:p>
      <w:pPr>
        <w:pStyle w:val="Heading3"/>
      </w:pPr>
      <w:r>
        <w:t>Florida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E-020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Medicine &amp; Wound Care Management Center / AdventHealth Orlando</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601 East Rollins, Orlando, Florida 32803,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3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E-023</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Department / Naval Aerospace Medical Institute</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340 Hulse Road Code 53HY, Pensacola, Florida 32508,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3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E-024</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Kendall Medical Center, Inc.</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14740 SW 26th St Ste 107, Miami, Florida 33185,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3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E-022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Trinity Wound Care / AdventHealth North Pinellas</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5140 Deer Park Drive, Suite 105, New Port Richey, Florida 34653,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3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E-018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Institute / AdventHealth Hospital Carrollwood</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6919 North Dale Mabry Highway, Tampa, Florida 33614,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3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E-021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Healing Institute / AdventHealth Hospital Tampa</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3000 Medical Park Drive, Suite 430, Tampa, Florida 33613,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3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E-019</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Institute of Brandon / AdventHealth Hospital Carrollwood</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205 S Moon Avenue, Suite 106, Brandon, Florida 33511,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40">
              <w:r>
                <w:rPr>
                  <w:rFonts w:ascii="Aptos" w:hAnsi="Aptos"/>
                  <w:color w:val="174F78"/>
                  <w:u w:val="single"/>
                  <w:sz w:val="10"/>
                </w:rPr>
                <w:t>Official facility source</w:t>
              </w:r>
            </w:hyperlink>
          </w:p>
        </w:tc>
      </w:tr>
    </w:tbl>
    <w:p>
      <w:pPr>
        <w:spacing w:after="20"/>
      </w:pPr>
    </w:p>
    <w:p>
      <w:pPr>
        <w:pStyle w:val="Heading3"/>
      </w:pPr>
      <w:r>
        <w:t>Georgia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E-025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Cobb Hyperbaric Medicine Regenerative &amp; Hyperbaric Medicine, Inc of Marrietta</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61 Whitcher Street, Marietta, Georgia 30060,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4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E-028</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Emory Wound &amp; Hyperbaric Center / Emory University Hospital – Midtown</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550 Peachtree St NE, Atlanta, Georgia 30308,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4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E-030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HyOx Medical Treatment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2550 Windy Hill Rd., Marietta, Georgia 30067,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4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E-027</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of North Atlanta Regenerative &amp; Hyperbaric Medicine, Inc at Sandy Springs</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5887 Glenridge Dr Ste 375, Sandy Springs, Georgia 30328,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4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E-026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North Georgia Center for Hyperbaric Medicine &amp; Wound Care Regenerative &amp; Hyperbaric Medicine, Inc at Cumming</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1505 Northside Boulevard, Suite 1300, Cumming, Georgia 30041,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4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E-029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WellStar North Fulton Wound Care &amp; Hyperbarics / WellStar North Fulton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3000 Hospital Blvd, Roswell, Georgia 30076,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46">
              <w:r>
                <w:rPr>
                  <w:rFonts w:ascii="Aptos" w:hAnsi="Aptos"/>
                  <w:color w:val="174F78"/>
                  <w:u w:val="single"/>
                  <w:sz w:val="10"/>
                </w:rPr>
                <w:t>Official facility source</w:t>
              </w:r>
            </w:hyperlink>
          </w:p>
        </w:tc>
      </w:tr>
    </w:tbl>
    <w:p>
      <w:pPr>
        <w:spacing w:after="20"/>
      </w:pPr>
    </w:p>
    <w:p>
      <w:pPr>
        <w:pStyle w:val="Heading3"/>
      </w:pPr>
      <w:r>
        <w:t>Idaho</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E-033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SAMG Advanced Wound Healing &amp; Hyperbaric Medicine / Saint Alphonsus Regional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1055 N. Curtis Rd, Boise, ID 83706,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4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E-034</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SAMG Advanced Wound Healing &amp; Hyperbaric Medicine / Saint Alphonsus Regional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4400 E. Flamingo Ave, Nampa, ID 83687,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4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E-031</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St. Luke’s Clinic - Wound &amp; Hyperbaric / Saint Luke’s Health System</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St. Luke's Clinic - Wound &amp; Hyperbarics, 3277 E. Louise Drive, Suite 410, Meridian, Idaho 83642,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4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E-032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Center / Portneuf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777 Hospital Way, Ste G1, Pocatello, Idaho 83201,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50">
              <w:r>
                <w:rPr>
                  <w:rFonts w:ascii="Aptos" w:hAnsi="Aptos"/>
                  <w:color w:val="174F78"/>
                  <w:u w:val="single"/>
                  <w:sz w:val="10"/>
                </w:rPr>
                <w:t>Official facility source</w:t>
              </w:r>
            </w:hyperlink>
          </w:p>
        </w:tc>
      </w:tr>
    </w:tbl>
    <w:p>
      <w:pPr>
        <w:spacing w:after="20"/>
      </w:pPr>
    </w:p>
    <w:p>
      <w:pPr>
        <w:pStyle w:val="Heading3"/>
      </w:pPr>
      <w:r>
        <w:t>Illinois</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E-035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&amp; Hyperbaric Center / Edward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801 S Washington Street, Naperville, Illinois 60540,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51">
              <w:r>
                <w:rPr>
                  <w:rFonts w:ascii="Aptos" w:hAnsi="Aptos"/>
                  <w:color w:val="174F78"/>
                  <w:u w:val="single"/>
                  <w:sz w:val="10"/>
                </w:rPr>
                <w:t>Official facility source</w:t>
              </w:r>
            </w:hyperlink>
          </w:p>
        </w:tc>
      </w:tr>
    </w:tbl>
    <w:p>
      <w:pPr>
        <w:spacing w:after="20"/>
      </w:pPr>
    </w:p>
    <w:p>
      <w:pPr>
        <w:pStyle w:val="Heading3"/>
      </w:pPr>
      <w:r>
        <w:t>Kansas</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E-036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Medicine / University of Kansas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3901 Rainbow Blvd, Kansas City, Kansas 66160,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5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E-037</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Healing &amp; Hyperbaric Center / NMC Health</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800 Medical Center Dr, Newton, KS 67114,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53">
              <w:r>
                <w:rPr>
                  <w:rFonts w:ascii="Aptos" w:hAnsi="Aptos"/>
                  <w:color w:val="174F78"/>
                  <w:u w:val="single"/>
                  <w:sz w:val="10"/>
                </w:rPr>
                <w:t>Official facility source</w:t>
              </w:r>
            </w:hyperlink>
          </w:p>
        </w:tc>
      </w:tr>
    </w:tbl>
    <w:p>
      <w:pPr>
        <w:spacing w:after="20"/>
      </w:pPr>
    </w:p>
    <w:p>
      <w:pPr>
        <w:pStyle w:val="Heading3"/>
      </w:pPr>
      <w:r>
        <w:t>Kentucky</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E-038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Services / Saint Elizabeth Healthcare</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1500 James Simpson Jr. Way, Covington, Kentucky 41011,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5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E-039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Services / Saint Elizabeth Healthcare</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85 North Grand Avenue, Fort Thomas, Kentucky 41075,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55">
              <w:r>
                <w:rPr>
                  <w:rFonts w:ascii="Aptos" w:hAnsi="Aptos"/>
                  <w:color w:val="174F78"/>
                  <w:u w:val="single"/>
                  <w:sz w:val="10"/>
                </w:rPr>
                <w:t>Official facility source</w:t>
              </w:r>
            </w:hyperlink>
          </w:p>
        </w:tc>
      </w:tr>
    </w:tbl>
    <w:p>
      <w:pPr>
        <w:spacing w:after="20"/>
      </w:pPr>
    </w:p>
    <w:p>
      <w:pPr>
        <w:pStyle w:val="Heading3"/>
      </w:pPr>
      <w:r>
        <w:t>Maryland</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E-043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Department of Hyperbaric Medicine / University of Maryland 22 South Greene St</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22 South Greene St, Baltimore, Maryland 21201,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5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E-042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UPMC Western Maryland Wound &amp; Hyperbaric Center / UPMC Western Maryland</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Medical Arts Center Ste 360, 12500 Willowbrook Rd, Cumberland, Maryland 21502,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5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E-040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Medicine Center / Carroll Hospital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291 Stoner Ave., Westminster, Maryland 21157,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5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E-041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Medicine Center / Northwest Hospital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5401 Old Court Road, Randallstown, Maryland 21133,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59">
              <w:r>
                <w:rPr>
                  <w:rFonts w:ascii="Aptos" w:hAnsi="Aptos"/>
                  <w:color w:val="174F78"/>
                  <w:u w:val="single"/>
                  <w:sz w:val="10"/>
                </w:rPr>
                <w:t>Official facility source</w:t>
              </w:r>
            </w:hyperlink>
          </w:p>
        </w:tc>
      </w:tr>
    </w:tbl>
    <w:p>
      <w:pPr>
        <w:spacing w:after="20"/>
      </w:pPr>
    </w:p>
    <w:p>
      <w:pPr>
        <w:pStyle w:val="Heading3"/>
      </w:pPr>
      <w:r>
        <w:t>Massachusetts</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E-045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The Wound &amp; Hyperbaric Medicine Center / Beverly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500 Cummings St., Suite 1800, Beverly, Massachusetts 01915,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6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E-047</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The Wound Care Center / UMass Memorial Health Harrington, MA</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100 South Street, Southbridge, Massachusetts 01550,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6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E-046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&amp; Hyperbaric Center / Winchester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75 Riverside Ave, Ste 4, Medford, Massachusetts 02155,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6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E-044</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Healing Center / Anna Jaques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25 Highland Avenue, Newburyport, Massachusetts 01950,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63">
              <w:r>
                <w:rPr>
                  <w:rFonts w:ascii="Aptos" w:hAnsi="Aptos"/>
                  <w:color w:val="174F78"/>
                  <w:u w:val="single"/>
                  <w:sz w:val="10"/>
                </w:rPr>
                <w:t>Official facility source</w:t>
              </w:r>
            </w:hyperlink>
          </w:p>
        </w:tc>
      </w:tr>
    </w:tbl>
    <w:p>
      <w:pPr>
        <w:spacing w:after="20"/>
      </w:pPr>
    </w:p>
    <w:p>
      <w:pPr>
        <w:pStyle w:val="Heading3"/>
      </w:pPr>
      <w:r>
        <w:t>Michigan</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E-048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&amp; Dive Medicine / Corewell Health</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221 Michigan St., NE, Suite 20, Grand Rapids, Michigan 49503,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6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E-049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Lakeland Center for Wound Care &amp; Hyperbaric Medicine / Corewell Health Lakeland Hospitals Niles</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42 N. St. Joseph Ave, Niles, Michigan 49120,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65">
              <w:r>
                <w:rPr>
                  <w:rFonts w:ascii="Aptos" w:hAnsi="Aptos"/>
                  <w:color w:val="174F78"/>
                  <w:u w:val="single"/>
                  <w:sz w:val="10"/>
                </w:rPr>
                <w:t>Official facility source</w:t>
              </w:r>
            </w:hyperlink>
          </w:p>
        </w:tc>
      </w:tr>
    </w:tbl>
    <w:p>
      <w:pPr>
        <w:spacing w:after="20"/>
      </w:pPr>
    </w:p>
    <w:p>
      <w:pPr>
        <w:pStyle w:val="Heading3"/>
      </w:pPr>
      <w:r>
        <w:t>Minnesota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E-051</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&amp; Altitude Medicine Program / Mayo Clinic</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200 First Street Southwest, Rochester, Minnesota 55902,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6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E-050</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 Hennepin County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701 Park Avenue, Minneapolis, Minnesota 55415,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6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E-052</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Medicine / Mayo Clinic Health System-Albert Lea</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404 West Fountain Street, Albert Lea, Minnesota 56007,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68">
              <w:r>
                <w:rPr>
                  <w:rFonts w:ascii="Aptos" w:hAnsi="Aptos"/>
                  <w:color w:val="174F78"/>
                  <w:u w:val="single"/>
                  <w:sz w:val="10"/>
                </w:rPr>
                <w:t>Official facility source</w:t>
              </w:r>
            </w:hyperlink>
          </w:p>
        </w:tc>
      </w:tr>
    </w:tbl>
    <w:p>
      <w:pPr>
        <w:spacing w:after="20"/>
      </w:pPr>
    </w:p>
    <w:p>
      <w:pPr>
        <w:pStyle w:val="Heading3"/>
      </w:pPr>
      <w:r>
        <w:t>Missouri</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E-054</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Cox Hyperbaric Medicine &amp; Wound Care Center / Cox Healthcare</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3525 S. National Ave, Suite 101, Springfield, Missouri 65807,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6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E-055</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Medicine Center Freeman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3315 McIntosh Circle, Joplin, Missouri 64804,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7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E-053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&amp; Hyperbaric Center / North Kansas City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2790 Clay Edward, 11th Floor, North Kansas City, Missouri 64116,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71">
              <w:r>
                <w:rPr>
                  <w:rFonts w:ascii="Aptos" w:hAnsi="Aptos"/>
                  <w:color w:val="174F78"/>
                  <w:u w:val="single"/>
                  <w:sz w:val="10"/>
                </w:rPr>
                <w:t>Official facility source</w:t>
              </w:r>
            </w:hyperlink>
          </w:p>
        </w:tc>
      </w:tr>
    </w:tbl>
    <w:p>
      <w:pPr>
        <w:spacing w:after="20"/>
      </w:pPr>
    </w:p>
    <w:p>
      <w:pPr>
        <w:pStyle w:val="Heading3"/>
      </w:pPr>
      <w:r>
        <w:t>Montana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E-056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Bozeman Health Wound &amp; Hyperbaric Clinic Bozeman Health Deaconess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935 Highland Blvd, Ste. 2180, Bozeman, Montana 59715, United States of America</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72">
              <w:r>
                <w:rPr>
                  <w:rFonts w:ascii="Aptos" w:hAnsi="Aptos"/>
                  <w:color w:val="174F78"/>
                  <w:u w:val="single"/>
                  <w:sz w:val="10"/>
                </w:rPr>
                <w:t>Official facility source</w:t>
              </w:r>
            </w:hyperlink>
          </w:p>
        </w:tc>
      </w:tr>
    </w:tbl>
    <w:p>
      <w:pPr>
        <w:spacing w:after="20"/>
      </w:pPr>
    </w:p>
    <w:p>
      <w:pPr>
        <w:pStyle w:val="Heading3"/>
      </w:pPr>
      <w:r>
        <w:t>Nebraska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E-057</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Medicine Center / Nebraska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4350 Dewey Avenue, Omaha, Nebraska 68105,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73">
              <w:r>
                <w:rPr>
                  <w:rFonts w:ascii="Aptos" w:hAnsi="Aptos"/>
                  <w:color w:val="174F78"/>
                  <w:u w:val="single"/>
                  <w:sz w:val="10"/>
                </w:rPr>
                <w:t>Official facility source</w:t>
              </w:r>
            </w:hyperlink>
          </w:p>
        </w:tc>
      </w:tr>
    </w:tbl>
    <w:p>
      <w:pPr>
        <w:spacing w:after="20"/>
      </w:pPr>
    </w:p>
    <w:p>
      <w:pPr>
        <w:pStyle w:val="Heading3"/>
      </w:pPr>
      <w:r>
        <w:t>New Hampshire</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E-059</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Hyperbaric Medicine / Dartmouth-Hitchcock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 Medical Center Drive, Lebanon, New Hampshire 03756,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7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E-058</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CH Wound &amp; Hyperbaric Center Concord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248 Pleasant Street, Ste G100, Concord, New Hampshire 03301,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75">
              <w:r>
                <w:rPr>
                  <w:rFonts w:ascii="Aptos" w:hAnsi="Aptos"/>
                  <w:color w:val="174F78"/>
                  <w:u w:val="single"/>
                  <w:sz w:val="10"/>
                </w:rPr>
                <w:t>Official facility source</w:t>
              </w:r>
            </w:hyperlink>
          </w:p>
        </w:tc>
      </w:tr>
    </w:tbl>
    <w:p>
      <w:pPr>
        <w:spacing w:after="20"/>
      </w:pPr>
    </w:p>
    <w:p>
      <w:pPr>
        <w:pStyle w:val="Heading3"/>
      </w:pPr>
      <w:r>
        <w:t>New Jersey</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E-063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AtlantiCare Wound Healing Center / AtlantiCare Regional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2500 English Creek Avenue, Bldg 700, Ste 701, Egg Harbor Township, New Jersey 08234, United States of America</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7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E-060</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Carole &amp; Joseph Katz, MD Wound Healing Center / Overlook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11 Overlook Rd, MAC II, Suite LL 101, Summit, New Jersey 07901,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7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E-062</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Comprehensive Wound Healing &amp; Hyperbaric Center / Chilton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97 West Parkway, Pequannock Township, New Jersey 07444,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7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E-061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Services / Saint Peter’s University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240 Easton Ave., 4th Floor, New Brunswick, New Jersey 08901,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79">
              <w:r>
                <w:rPr>
                  <w:rFonts w:ascii="Aptos" w:hAnsi="Aptos"/>
                  <w:color w:val="174F78"/>
                  <w:u w:val="single"/>
                  <w:sz w:val="10"/>
                </w:rPr>
                <w:t>Official facility source</w:t>
              </w:r>
            </w:hyperlink>
          </w:p>
        </w:tc>
      </w:tr>
    </w:tbl>
    <w:p>
      <w:pPr>
        <w:spacing w:after="20"/>
      </w:pPr>
    </w:p>
    <w:p>
      <w:pPr>
        <w:pStyle w:val="Heading3"/>
      </w:pPr>
      <w:r>
        <w:t>New Mexico</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E-064</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Christus St. Vincent Regional Wound &amp; Hyperbaric Center / Christus St. Vincent Regional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465 St. Michael's Drive, Suite 101, Santa Fe, New Mexico 87505,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80">
              <w:r>
                <w:rPr>
                  <w:rFonts w:ascii="Aptos" w:hAnsi="Aptos"/>
                  <w:color w:val="174F78"/>
                  <w:u w:val="single"/>
                  <w:sz w:val="10"/>
                </w:rPr>
                <w:t>Official facility source</w:t>
              </w:r>
            </w:hyperlink>
          </w:p>
        </w:tc>
      </w:tr>
    </w:tbl>
    <w:p>
      <w:pPr>
        <w:spacing w:after="20"/>
      </w:pPr>
    </w:p>
    <w:p>
      <w:pPr>
        <w:pStyle w:val="Heading3"/>
      </w:pPr>
      <w:r>
        <w:t>New York</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E-087</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Catholic Health Advanced Wound Healing Centers / Mercy Hospital of Buffalo</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3669 Southwestern Blvd, Orchard Park, New York 14127,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8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E-088</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Catholic Health Advanced Wound Healing Centers / Sister’s Hospital – St. Joseph Campus</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2625 Harlem Rd. Ste 120, Cheektowaga, New York 14225,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8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E-091</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Advanced Wound Care &amp; Hyperbaric Medicine / St. Joseph’s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127 South Broadway, Yonkers, New York 10701,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8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E-067</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Hyperbaric Medicine and Wound Healing / St. Joseph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4295 Hempstead Tpke, Bethpage, New York 11714,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8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E-066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Wound Care &amp; Hyperbaric Medicine St. Joseph’s Hospital Health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4000 Medical Center Drive, Suite 206, Fayetteville, New York 13066,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8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E-086</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Wound Healing &amp; Hyperbaric Medicine / Mount St. Mary’s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Wound Healing &amp; Hyperbaric Medicine, 5300 Military Road, Lewiston, New York 14092,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8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E-079</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Wound Healing / St. Luke’s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21 Laurell Avenue, Suite 201, Cornwall, New York 12518,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8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E-085</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Wound Healing Arnot Ogden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602 Ivy Street, Ivy II, 1st Floor, Elmira, New York 14905,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8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E-089</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Comprehensive Wound Care Center / North Shore University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1999 Marcus Ave-M6, North New Hyde Park, New York 11042,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8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E-076</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Department of Hyperbaric Medicine / Phelps Hospital/Northwell Health</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701 North Broadway, Sleepy Hollow, New York 10591,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9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Helen L. &amp; Martin S. Kimmel Hyperbaric &amp; Advanced Wound Healing Center / NYU Langone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240 E. 38th St, 13th Floor, New York, New York 10016,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9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E-071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&amp; Wound Care / Northwell Health Plainview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888 Old Country Rd, Plainview, New York 11803,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9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E-065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Medicine &amp; Wound Care Center Upstate University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750 East Adams St., 1st Fl., Rm 1459, Syracuse, New York 13210,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9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E-081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Nuvance Health Wound Care and Hyperbaric Medicine / Nuvance Health Northern Dutchess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6511 Springbrook Avenue, Rhinebeck, New York 12572,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9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E-078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Nuvance Health Wound Care and Hyperbaric Medicine / Nuvance Health Putnam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670 Stoneleigh Ave, Carmel, New York 10512,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9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E-072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Nuvance Health Wound Care and Hyperbaric Medicine / Nuvance Health Vassar Brothers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21 Fox Street, Suite 104, Poughkeepsie, New York 12601,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9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E-083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Rev. Thomas T. Patterson Wound Healing Center Claxton-Hepburn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100 Horwood Place, Ogdensburg, New York 13669,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9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E-094</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The Carl Webber Center for Wound Healing &amp; Hyperbaric Medicine / White Plains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122 Maple Avenue, 9th Floor, White Plains, New York 10601,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9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The Center for Wound Care &amp; Hyperbaric Medicine NYU Langone Hospital-Suffolk</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33 Medford Ave., Suite D, Patchogue, NY 11772,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9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E-084</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The Center for Wound Care &amp; Hyperbaric Medicine Samaritan Hospital Albany Memorial Campus</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600 Northern Blvd, Albany, New York 12204,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0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E-068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Westchester Hyperbaric Center / Westchester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100 Woods Road, Valhalla, New York 10595,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0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E-069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&amp; Hyperbaric Institute at Good Samaritan / WMC Health Good Samaritan Regional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255 Lafayette Ave, Suffern, New York 10901,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0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E-077</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Medicine / United Memorial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127 North Street, Batavia, New York 14020,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0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E-092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Medicine Center / Oneida Health</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321 Genesee St, City of Oneida, New York 13421, United States of America</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0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E-075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Center Unity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2655 Ridgeway Ave., Suite 230, Rochester, New York 14626,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0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E-082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Healing &amp; Hyperbaric Medicine MidHudson Regional Hospital of Westchester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241 North Road, Poughkeepsie, New York 12601,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0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E-070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Center &amp; Hyperbaric Medicine Program / NYU Langone Hospital-Long Island</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120 Mineola Blvd., Suite 360, Village of Mineola, New York 11501,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0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E-073</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Healing Center / Garnet Health Medical Center-Catskills</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68 Harris-Bushville Rd, 4th Floor, Harris, New York 12742,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0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E-074</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Center / Garnet Health Medical Center-Orange</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75 Crystal Run Road, Middletown, New York 10941,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0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E-080</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Healing Center / Strong Memorial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160 Sawgrass Drive, Suite 130, Rochester, New York 14620,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10">
              <w:r>
                <w:rPr>
                  <w:rFonts w:ascii="Aptos" w:hAnsi="Aptos"/>
                  <w:color w:val="174F78"/>
                  <w:u w:val="single"/>
                  <w:sz w:val="10"/>
                </w:rPr>
                <w:t>Official facility source</w:t>
              </w:r>
            </w:hyperlink>
          </w:p>
        </w:tc>
      </w:tr>
    </w:tbl>
    <w:p>
      <w:pPr>
        <w:spacing w:after="20"/>
      </w:pPr>
    </w:p>
    <w:p>
      <w:pPr>
        <w:pStyle w:val="Heading3"/>
      </w:pPr>
      <w:r>
        <w:t>North Carolina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Hyperbaric Medicine &amp; Environmental Physiology / Duke University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201 Trent Drive, Bldg CR2, Rm 0584, Duke South, Durham, North Carolina 27710,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11">
              <w:r>
                <w:rPr>
                  <w:rFonts w:ascii="Aptos" w:hAnsi="Aptos"/>
                  <w:color w:val="174F78"/>
                  <w:u w:val="single"/>
                  <w:sz w:val="10"/>
                </w:rPr>
                <w:t>Official facility source</w:t>
              </w:r>
            </w:hyperlink>
          </w:p>
        </w:tc>
      </w:tr>
    </w:tbl>
    <w:p>
      <w:pPr>
        <w:spacing w:after="20"/>
      </w:pPr>
    </w:p>
    <w:p>
      <w:pPr>
        <w:pStyle w:val="Heading3"/>
      </w:pPr>
      <w:r>
        <w:t>Ohio</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Medicine Program / Ohio Health Riverside Methodist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3525 Olentangy River Rd., Suite 6300, Columbus, Ohio 43214,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12">
              <w:r>
                <w:rPr>
                  <w:rFonts w:ascii="Aptos" w:hAnsi="Aptos"/>
                  <w:color w:val="174F78"/>
                  <w:u w:val="single"/>
                  <w:sz w:val="10"/>
                </w:rPr>
                <w:t>Official facility source</w:t>
              </w:r>
            </w:hyperlink>
          </w:p>
        </w:tc>
      </w:tr>
    </w:tbl>
    <w:p>
      <w:pPr>
        <w:spacing w:after="20"/>
      </w:pPr>
    </w:p>
    <w:p>
      <w:pPr>
        <w:pStyle w:val="Heading3"/>
      </w:pPr>
      <w:r>
        <w:t>Oregon</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E-097</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Samaritan Wound, Vein, &amp; Hyperbaric Medicine Samaritan Albany General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400 NW Hickory St, Ste 101, Albany, Oregon 97321,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13">
              <w:r>
                <w:rPr>
                  <w:rFonts w:ascii="Aptos" w:hAnsi="Aptos"/>
                  <w:color w:val="174F78"/>
                  <w:u w:val="single"/>
                  <w:sz w:val="10"/>
                </w:rPr>
                <w:t>Official facility source</w:t>
              </w:r>
            </w:hyperlink>
          </w:p>
        </w:tc>
      </w:tr>
    </w:tbl>
    <w:p>
      <w:pPr>
        <w:spacing w:after="20"/>
      </w:pPr>
    </w:p>
    <w:p>
      <w:pPr>
        <w:pStyle w:val="Heading3"/>
      </w:pPr>
      <w:r>
        <w:t>Pennsylvania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E-099</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Carlisle Wound &amp; Hyperbaric Center / UPMC Carlisle</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366 Alexander Spring Rd, Ste 1, Carlisle, Pennsylvania 17015,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1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E-104</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Guthrie Center for Wound Care &amp; Hyperbaric Medicine / Robert Packer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 Guthrie Square, Sayre, Pennsylvania 18840,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1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E-100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UPMC Pinnacle Wound &amp; Hyperbaric Center- East / UPMC Pinnacle Harrisburg</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4310 Londonderry Road, Harrisburg, Pennsylvania 17109,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1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E-101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UPMC Pinnacle Wound &amp; Hyperbaric Center- West / UPMC Pinnacle West Shore</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2025 Technology Parkway, Mechanicsburg, Pennsylvania 17050,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1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E-102</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WellSpan Center for Wound Healing &amp; Hyperbaric Services / WellSpan Ephrata Community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169 Martin Avenue, Ephrata, Pennsylvania 17522,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1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E-103</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WellSpan Wound Healing Center / WellSpan Good Samaritan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840 Tuck Street, Lebanon, Pennsylvania 17042,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1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E-098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&amp; Hyperbaric Medicine Center / Reading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2603 Keiser Blvd, Ste. 204, Wyomissing, Pennsylvania 19610,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20">
              <w:r>
                <w:rPr>
                  <w:rFonts w:ascii="Aptos" w:hAnsi="Aptos"/>
                  <w:color w:val="174F78"/>
                  <w:u w:val="single"/>
                  <w:sz w:val="10"/>
                </w:rPr>
                <w:t>Official facility source</w:t>
              </w:r>
            </w:hyperlink>
          </w:p>
        </w:tc>
      </w:tr>
    </w:tbl>
    <w:p>
      <w:pPr>
        <w:spacing w:after="20"/>
      </w:pPr>
    </w:p>
    <w:p>
      <w:pPr>
        <w:pStyle w:val="Heading3"/>
      </w:pPr>
      <w:r>
        <w:t>Rhode Island</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E-105</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Recovery &amp; Hyperbaric Medicine Center / Kent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15 Health Lane, Building 2-D, Warwick, Rhode Island 02886,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21">
              <w:r>
                <w:rPr>
                  <w:rFonts w:ascii="Aptos" w:hAnsi="Aptos"/>
                  <w:color w:val="174F78"/>
                  <w:u w:val="single"/>
                  <w:sz w:val="10"/>
                </w:rPr>
                <w:t>Official facility source</w:t>
              </w:r>
            </w:hyperlink>
          </w:p>
        </w:tc>
      </w:tr>
    </w:tbl>
    <w:p>
      <w:pPr>
        <w:spacing w:after="20"/>
      </w:pPr>
    </w:p>
    <w:p>
      <w:pPr>
        <w:pStyle w:val="Heading3"/>
      </w:pPr>
      <w:r>
        <w:t>Tennessee</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E-106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Medicine Center / Regional One Health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877 Jefferson Ave, Memphis, Tennessee 38103,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22">
              <w:r>
                <w:rPr>
                  <w:rFonts w:ascii="Aptos" w:hAnsi="Aptos"/>
                  <w:color w:val="174F78"/>
                  <w:u w:val="single"/>
                  <w:sz w:val="10"/>
                </w:rPr>
                <w:t>Official facility source</w:t>
              </w:r>
            </w:hyperlink>
          </w:p>
        </w:tc>
      </w:tr>
    </w:tbl>
    <w:p>
      <w:pPr>
        <w:spacing w:after="20"/>
      </w:pPr>
    </w:p>
    <w:p>
      <w:pPr>
        <w:pStyle w:val="Heading3"/>
      </w:pPr>
      <w:r>
        <w:t>Texas</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E-117</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Hyperbaric Medicine Las Palmas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101 Rim Rd Suite 106, El Paso, Texas 79902,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2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E-113</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Comprehensive Wound Center – Las Colinas / Baylor Scott &amp; White Medical Center at Irving</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400 W Interstate 635, Suite 130, Plaza 1, Irving, Texas 75063,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2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E-110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Institute for Exercise &amp; Environmental Medicine / Texas Health Presbyterian Hospital Dallas</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7232 Greenville Ave, Dallas, Texas 75231,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2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E-112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Louise Gartner Center for Hyperbaric Medicine / Baylor University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3500 Gaston Ave, Barnett Tower, Suite 210, Dallas, Texas 75246,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2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E-116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Memorial Hermann Center for Hyperbaric Medicine / Memorial Hermann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6411 Fannin, 2nd Floor Robertson, Houston, Texas 77030,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2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E-107</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Undersea &amp; Hyperbaric Medicine Clinic / Brooke Army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3551 Roger Brooke Drive, JBSA Fort Sam Houston, Texas 78234,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2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E-111</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Center / Methodist Charlton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3500 W. Wheatland Ave Rd, Dallas, Texas 75237,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2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E-109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Medicine Center / Methodist Dallas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1441 North Beckley Ave, Dallas, Texas 75203,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3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E-114</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Medicine Clinic / Baylor Scott &amp; White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2601 Thornton Lane, Suite 100, Temple, Texas 76502,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3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E-115</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Wound Care &amp; Hyperbaric Services / Shannon Medical Center South</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3501 Knickerbocker Rd, San Angelo, Texas 76904,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3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E-108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Healing Center / UT Health East Texas</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833 South Becham, Tyler, Texas 75701,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33">
              <w:r>
                <w:rPr>
                  <w:rFonts w:ascii="Aptos" w:hAnsi="Aptos"/>
                  <w:color w:val="174F78"/>
                  <w:u w:val="single"/>
                  <w:sz w:val="10"/>
                </w:rPr>
                <w:t>Official facility source</w:t>
              </w:r>
            </w:hyperlink>
          </w:p>
        </w:tc>
      </w:tr>
    </w:tbl>
    <w:p>
      <w:pPr>
        <w:spacing w:after="20"/>
      </w:pPr>
    </w:p>
    <w:p>
      <w:pPr>
        <w:pStyle w:val="Heading3"/>
      </w:pPr>
      <w:r>
        <w:t>Utah</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E-120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Department of Hyperbaric Medicine / St. George Regional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544 South 400 East, St. George, Utah 84790,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3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E-122</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&amp; Wound Center Holy Cross Hospital Davis</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1600 W. Antelope Drive, Layton, Utah 84041,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3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E-124</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&amp; Wound Center Holy Cross Hospital-Jordan Valley</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3590 West 9000 South, Suite 105, West Jordan, Utah 84088,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3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E-121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 Intermountain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5121 Cottonwood Street, Murray, Utah 84107,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37">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E-118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Hyperbaric Medicine Department / LDS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8th Ave and C Street, Salt Lake City, Utah 84143,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3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E-125</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Logan Regional Wound &amp; Hyperbaric Center / Intermountain Logan Regional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1400 North 500 East, Logan, Utah 84341,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3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E-123</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McKay-Dee Wound &amp; Hyperbaric Center / McKay-Dee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4401 Harrison Blvd, Suite 1885, Ogden, Utah 84403,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4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E-119</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Utah Valley Wound Care &amp; Hyperbaric Medicine Center / Utah Valley Regional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1034 N. 500 W., Provo, Utah 84604,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4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E-126</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Wound Care &amp; Hyperbaric Medicine / Lakeview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520 East Medical Dr, Ste 110, Bountiful, Utah 84010,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42">
              <w:r>
                <w:rPr>
                  <w:rFonts w:ascii="Aptos" w:hAnsi="Aptos"/>
                  <w:color w:val="174F78"/>
                  <w:u w:val="single"/>
                  <w:sz w:val="10"/>
                </w:rPr>
                <w:t>Official facility source</w:t>
              </w:r>
            </w:hyperlink>
          </w:p>
        </w:tc>
      </w:tr>
    </w:tbl>
    <w:p>
      <w:pPr>
        <w:spacing w:after="20"/>
      </w:pPr>
    </w:p>
    <w:p>
      <w:pPr>
        <w:pStyle w:val="Heading3"/>
      </w:pPr>
      <w:r>
        <w:t>Virginia</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E-128</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Department of Hyperbaric Medicine / Retreat Doctors’ Hospital</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2621 Grove Ave, Richmond, Virginia 23220,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4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E-127</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Hyperbaric Medicine Unit / Inova Mount Vernon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2501 Parker's Lane, Alexandria, Virginia 22306,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4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E-129</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The Wound Healing &amp; Hyperbaric Center / Virginia Hospital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1701 N. George Mason Drive, Suite G200, Arlington, Virginia 22207,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45">
              <w:r>
                <w:rPr>
                  <w:rFonts w:ascii="Aptos" w:hAnsi="Aptos"/>
                  <w:color w:val="174F78"/>
                  <w:u w:val="single"/>
                  <w:sz w:val="10"/>
                </w:rPr>
                <w:t>Official facility source</w:t>
              </w:r>
            </w:hyperlink>
          </w:p>
        </w:tc>
      </w:tr>
    </w:tbl>
    <w:p>
      <w:pPr>
        <w:spacing w:after="20"/>
      </w:pPr>
    </w:p>
    <w:p>
      <w:pPr>
        <w:pStyle w:val="Heading3"/>
      </w:pPr>
      <w:r>
        <w:t>Washington</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E-130</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Hyperbaric Medicine / Virginia Mason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1100 Ninth Ave, Seattle, Washington 98104,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4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E-131</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Wound Healing &amp; Hyperbaric / Swedish Edmonds Hospital</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21600 HWY 99 Ste 150, Edmonds, Washington 98026,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47">
              <w:r>
                <w:rPr>
                  <w:rFonts w:ascii="Aptos" w:hAnsi="Aptos"/>
                  <w:color w:val="174F78"/>
                  <w:u w:val="single"/>
                  <w:sz w:val="10"/>
                </w:rPr>
                <w:t>Official facility source</w:t>
              </w:r>
            </w:hyperlink>
          </w:p>
        </w:tc>
      </w:tr>
    </w:tbl>
    <w:p>
      <w:pPr>
        <w:spacing w:after="20"/>
      </w:pPr>
    </w:p>
    <w:p>
      <w:pPr>
        <w:pStyle w:val="Heading3"/>
      </w:pPr>
      <w:r>
        <w:t>Wisconsin</w:t>
      </w:r>
    </w:p>
    <w:tbl>
      <w:tblPr>
        <w:tblW w:type="dxa" w:w="13968"/>
        <w:tblLayout w:type="fixed"/>
        <w:tblLook w:firstColumn="1" w:firstRow="1" w:lastColumn="0" w:lastRow="0" w:noHBand="0" w:noVBand="1" w:val="04A0"/>
        <w:tblInd w:w="120" w:type="dxa"/>
      </w:tblPr>
      <w:tblGrid>
        <w:gridCol w:w="650"/>
        <w:gridCol w:w="3400"/>
        <w:gridCol w:w="4500"/>
        <w:gridCol w:w="1400"/>
        <w:gridCol w:w="850"/>
        <w:gridCol w:w="500"/>
        <w:gridCol w:w="500"/>
        <w:gridCol w:w="2168"/>
      </w:tblGrid>
      <w:tr>
        <w:trPr>
          <w:cantSplit w:val="true"/>
          <w:tblHeader w:val="true"/>
        </w:trPr>
        <w:tc>
          <w:tcPr>
            <w:tcW w:type="dxa" w:w="6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ID</w:t>
            </w:r>
          </w:p>
        </w:tc>
        <w:tc>
          <w:tcPr>
            <w:tcW w:type="dxa" w:w="3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FACILITY LISTING</w:t>
            </w:r>
          </w:p>
        </w:tc>
        <w:tc>
          <w:tcPr>
            <w:tcW w:type="dxa" w:w="4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NORMALIZED ADDRESS CANDIDATE</w:t>
            </w:r>
          </w:p>
        </w:tc>
        <w:tc>
          <w:tcPr>
            <w:tcW w:type="dxa" w:w="14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STATUS</w:t>
            </w:r>
          </w:p>
        </w:tc>
        <w:tc>
          <w:tcPr>
            <w:tcW w:type="dxa" w:w="85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SELECTABLE</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DIST.</w:t>
            </w:r>
          </w:p>
        </w:tc>
        <w:tc>
          <w:tcPr>
            <w:tcW w:type="dxa" w:w="500"/>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JC</w:t>
            </w:r>
          </w:p>
        </w:tc>
        <w:tc>
          <w:tcPr>
            <w:tcW w:type="dxa" w:w="2168"/>
            <w:tcMar>
              <w:top w:w="100" w:type="dxa"/>
              <w:start w:w="120" w:type="dxa"/>
              <w:bottom w:w="100" w:type="dxa"/>
              <w:end w:w="120" w:type="dxa"/>
            </w:tcMar>
            <w:vAlign w:val="center"/>
            <w:shd w:fill="174F78"/>
          </w:tcPr>
          <w:p>
            <w:pPr>
              <w:spacing w:after="0" w:line="240" w:lineRule="auto"/>
            </w:pPr>
            <w:r>
              <w:rPr>
                <w:rFonts w:ascii="Aptos" w:hAnsi="Aptos"/>
                <w:b/>
                <w:i w:val="0"/>
                <w:color w:val="FFFFFF"/>
                <w:sz w:val="10"/>
              </w:rPr>
              <w:t>ADDRESS SOURCE</w:t>
            </w:r>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E-139</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Comprehensive Wound Care &amp; Hyperbaric Medicine Aurora BayCare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2845 Greenbrier Road, Green Bay, Wisconsin 54311,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48">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E-140</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Comprehensive Wound Care &amp; Hyperbaric Medicine Aurora Medical Center Burlington</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252 McHenry St, Burlington, Wisconsin 53105,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49">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E-137</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Comprehensive Wound Care &amp; Hyperbaric Medicine Aurora Medical Center in Grafton</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975 N Port Washington Road, Grafton, Wisconsin 53024,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50">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E-136</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Comprehensive Wound Care &amp; Hyperbaric Medicine Aurora Medical Center in Summit</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36500 Aurora Health Care, Summit, Wisconsin 53066,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51">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E-134</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Comprehensive Wound Care &amp; Hyperbaric Medicine Aurora Medical Center Washington County</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1032 E. Sumner St, Hartford, Wisconsin 53027,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52">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E-138</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Comprehensive Wound Care &amp; Hyperbaric Medicine Aurora Medical Center – Manitowoc County</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5000 Memorial Drive, Two Rivers, Wisconsin 54241,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53">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E-141</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Comprehensive Wound Care &amp; Hyperbaric Medicine Aurora Medical Center-Kenosha</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10400 75th Street, Kenosha, Wisconsin 53142,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54">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E-135</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Comprehensive Wound Care &amp; Hyperbaric Medicine Aurora Medical Center-Oshkosh</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855 N Westhaven Drive, Oshkosh, Wisconsin 54904,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55">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tcPr>
          <w:p>
            <w:pPr>
              <w:spacing w:after="0" w:line="240" w:lineRule="auto"/>
            </w:pPr>
            <w:r>
              <w:rPr>
                <w:rFonts w:ascii="Aptos" w:hAnsi="Aptos"/>
                <w:b w:val="0"/>
                <w:i w:val="0"/>
                <w:color w:val="000000"/>
                <w:sz w:val="10"/>
              </w:rPr>
              <w:t>E-132</w:t>
            </w:r>
          </w:p>
        </w:tc>
        <w:tc>
          <w:tcPr>
            <w:tcW w:type="dxa" w:w="3400"/>
            <w:tcMar>
              <w:top w:w="100" w:type="dxa"/>
              <w:start w:w="120" w:type="dxa"/>
              <w:bottom w:w="100" w:type="dxa"/>
              <w:end w:w="120" w:type="dxa"/>
            </w:tcMar>
            <w:vAlign w:val="center"/>
          </w:tcPr>
          <w:p>
            <w:pPr>
              <w:spacing w:after="0" w:line="240" w:lineRule="auto"/>
            </w:pPr>
            <w:r>
              <w:rPr>
                <w:rFonts w:ascii="Aptos" w:hAnsi="Aptos"/>
                <w:b w:val="0"/>
                <w:i w:val="0"/>
                <w:color w:val="000000"/>
                <w:sz w:val="10"/>
              </w:rPr>
              <w:t>Center for Comprehensive Wound Care &amp; Hyperbaric Medicine Aurora St. Luke’s Medical Center</w:t>
            </w:r>
          </w:p>
        </w:tc>
        <w:tc>
          <w:tcPr>
            <w:tcW w:type="dxa" w:w="4500"/>
            <w:tcMar>
              <w:top w:w="100" w:type="dxa"/>
              <w:start w:w="120" w:type="dxa"/>
              <w:bottom w:w="100" w:type="dxa"/>
              <w:end w:w="120" w:type="dxa"/>
            </w:tcMar>
            <w:vAlign w:val="center"/>
          </w:tcPr>
          <w:p>
            <w:pPr>
              <w:spacing w:after="0" w:line="240" w:lineRule="auto"/>
            </w:pPr>
            <w:r>
              <w:rPr>
                <w:rFonts w:ascii="Aptos" w:hAnsi="Aptos"/>
                <w:b w:val="0"/>
                <w:i w:val="0"/>
                <w:color w:val="000000"/>
                <w:sz w:val="10"/>
              </w:rPr>
              <w:t>2900 W Oklahoma Ave, Milwaukee, Wisconsin 53215, United States</w:t>
            </w:r>
          </w:p>
        </w:tc>
        <w:tc>
          <w:tcPr>
            <w:tcW w:type="dxa" w:w="1400"/>
            <w:tcMar>
              <w:top w:w="100" w:type="dxa"/>
              <w:start w:w="120" w:type="dxa"/>
              <w:bottom w:w="100" w:type="dxa"/>
              <w:end w:w="120" w:type="dxa"/>
            </w:tcMar>
            <w:vAlign w:val="center"/>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tcPr>
          <w:p>
            <w:pPr>
              <w:spacing w:after="0" w:line="240" w:lineRule="auto"/>
            </w:pPr>
            <w:r>
              <w:rPr>
                <w:rFonts w:ascii="Aptos" w:hAnsi="Aptos"/>
                <w:b w:val="0"/>
                <w:i w:val="0"/>
                <w:color w:val="000000"/>
                <w:sz w:val="10"/>
              </w:rPr>
            </w:r>
            <w:hyperlink r:id="rId156">
              <w:r>
                <w:rPr>
                  <w:rFonts w:ascii="Aptos" w:hAnsi="Aptos"/>
                  <w:color w:val="174F78"/>
                  <w:u w:val="single"/>
                  <w:sz w:val="10"/>
                </w:rPr>
                <w:t>Official facility source</w:t>
              </w:r>
            </w:hyperlink>
          </w:p>
        </w:tc>
      </w:tr>
      <w:tr>
        <w:trPr>
          <w:cantSplit w:val="true"/>
        </w:trPr>
        <w:tc>
          <w:tcPr>
            <w:tcW w:type="dxa" w:w="6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E-133</w:t>
            </w:r>
          </w:p>
        </w:tc>
        <w:tc>
          <w:tcPr>
            <w:tcW w:type="dxa" w:w="3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Center for Comprehensive Wound Care &amp; Hyperbaric Medicine Aurora West Allis Medical Center</w:t>
            </w:r>
          </w:p>
        </w:tc>
        <w:tc>
          <w:tcPr>
            <w:tcW w:type="dxa" w:w="4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8901 East Lincoln Ave, West Allis, Wisconsin 53227, United States</w:t>
            </w:r>
          </w:p>
        </w:tc>
        <w:tc>
          <w:tcPr>
            <w:tcW w:type="dxa" w:w="14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candidate</w:t>
            </w:r>
          </w:p>
        </w:tc>
        <w:tc>
          <w:tcPr>
            <w:tcW w:type="dxa" w:w="85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Yes</w:t>
            </w:r>
          </w:p>
        </w:tc>
        <w:tc>
          <w:tcPr>
            <w:tcW w:type="dxa" w:w="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t>No</w:t>
            </w:r>
          </w:p>
        </w:tc>
        <w:tc>
          <w:tcPr>
            <w:tcW w:type="dxa" w:w="21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0"/>
              </w:rPr>
            </w:r>
            <w:hyperlink r:id="rId157">
              <w:r>
                <w:rPr>
                  <w:rFonts w:ascii="Aptos" w:hAnsi="Aptos"/>
                  <w:color w:val="174F78"/>
                  <w:u w:val="single"/>
                  <w:sz w:val="10"/>
                </w:rPr>
                <w:t>Official facility source</w:t>
              </w:r>
            </w:hyperlink>
          </w:p>
        </w:tc>
      </w:tr>
    </w:tbl>
    <w:p>
      <w:pPr>
        <w:spacing w:after="20"/>
      </w:pPr>
    </w:p>
    <w:p>
      <w:pPr>
        <w:pStyle w:val="Heading2"/>
      </w:pPr>
      <w:r>
        <w:t>Appendix E.5 Source-reconciliation Exceptions</w:t>
      </w:r>
    </w:p>
    <w:p>
      <w:r>
        <w:rPr>
          <w:rFonts w:ascii="Aptos" w:hAnsi="Aptos"/>
          <w:b w:val="0"/>
          <w:i w:val="0"/>
          <w:sz w:val="18"/>
        </w:rPr>
        <w:t>All 141 U.S. roster records have verified address candidates. The remaining exceptions are live_directory_only entries: they appeared in the 2026-07-29 live extract but not in the June 2025 source roster and therefore are not records or selectable facilities in Version 1.0.</w:t>
      </w:r>
    </w:p>
    <w:tbl>
      <w:tblPr>
        <w:tblW w:type="dxa" w:w="13968"/>
        <w:tblLayout w:type="fixed"/>
        <w:tblLook w:firstColumn="1" w:firstRow="1" w:lastColumn="0" w:lastRow="0" w:noHBand="0" w:noVBand="1" w:val="04A0"/>
        <w:tblInd w:w="120" w:type="dxa"/>
      </w:tblPr>
      <w:tblGrid>
        <w:gridCol w:w="2500"/>
        <w:gridCol w:w="1300"/>
        <w:gridCol w:w="4700"/>
        <w:gridCol w:w="2500"/>
        <w:gridCol w:w="2968"/>
      </w:tblGrid>
      <w:tr>
        <w:trPr>
          <w:cantSplit w:val="true"/>
          <w:tblHeader w:val="true"/>
        </w:trPr>
        <w:tc>
          <w:tcPr>
            <w:tcW w:type="dxa" w:w="25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EXCEPTION TYPE</w:t>
            </w:r>
          </w:p>
        </w:tc>
        <w:tc>
          <w:tcPr>
            <w:tcW w:type="dxa" w:w="13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LOCATION ID</w:t>
            </w:r>
          </w:p>
        </w:tc>
        <w:tc>
          <w:tcPr>
            <w:tcW w:type="dxa" w:w="47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FACILITY</w:t>
            </w:r>
          </w:p>
        </w:tc>
        <w:tc>
          <w:tcPr>
            <w:tcW w:type="dxa" w:w="2500"/>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LOCATION</w:t>
            </w:r>
          </w:p>
        </w:tc>
        <w:tc>
          <w:tcPr>
            <w:tcW w:type="dxa" w:w="2968"/>
            <w:tcMar>
              <w:top w:w="100" w:type="dxa"/>
              <w:start w:w="120" w:type="dxa"/>
              <w:bottom w:w="100" w:type="dxa"/>
              <w:end w:w="120" w:type="dxa"/>
            </w:tcMar>
            <w:vAlign w:val="center"/>
            <w:shd w:fill="174F78"/>
          </w:tcPr>
          <w:p>
            <w:pPr>
              <w:spacing w:after="0" w:line="240" w:lineRule="auto"/>
            </w:pPr>
            <w:r>
              <w:rPr>
                <w:rFonts w:ascii="Aptos" w:hAnsi="Aptos"/>
                <w:b/>
                <w:i w:val="0"/>
                <w:color w:val="FFFFFF"/>
                <w:sz w:val="11"/>
              </w:rPr>
              <w:t>NOTE / SOURCE</w:t>
            </w:r>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live_directory_only</w:t>
            </w:r>
          </w:p>
        </w:tc>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1"/>
              </w:rPr>
              <w:t>Essentia Health Fargo</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Fargo, North Dakota 58103</w:t>
            </w:r>
          </w:p>
        </w:tc>
        <w:tc>
          <w:tcPr>
            <w:tcW w:type="dxa" w:w="2968"/>
            <w:tcMar>
              <w:top w:w="100" w:type="dxa"/>
              <w:start w:w="120" w:type="dxa"/>
              <w:bottom w:w="100" w:type="dxa"/>
              <w:end w:w="120" w:type="dxa"/>
            </w:tcMar>
            <w:vAlign w:val="center"/>
          </w:tcPr>
          <w:p>
            <w:pPr>
              <w:spacing w:after="0" w:line="240" w:lineRule="auto"/>
            </w:pPr>
            <w:r>
              <w:rPr>
                <w:rFonts w:ascii="Aptos" w:hAnsi="Aptos"/>
                <w:b w:val="0"/>
                <w:i w:val="0"/>
                <w:color w:val="000000"/>
                <w:sz w:val="11"/>
              </w:rPr>
            </w:r>
            <w:hyperlink r:id="rId158">
              <w:r>
                <w:rPr>
                  <w:rFonts w:ascii="Aptos" w:hAnsi="Aptos"/>
                  <w:color w:val="174F78"/>
                  <w:u w:val="single"/>
                  <w:sz w:val="11"/>
                </w:rPr>
                <w:t>UHMS detail</w:t>
              </w:r>
            </w:hyperlink>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live_directory_only</w:t>
            </w:r>
          </w:p>
        </w:tc>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Meritus Medical Center</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Hagerstown, Maryland 21742</w:t>
            </w:r>
          </w:p>
        </w:tc>
        <w:tc>
          <w:tcPr>
            <w:tcW w:type="dxa" w:w="29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r>
            <w:hyperlink r:id="rId159">
              <w:r>
                <w:rPr>
                  <w:rFonts w:ascii="Aptos" w:hAnsi="Aptos"/>
                  <w:color w:val="174F78"/>
                  <w:u w:val="single"/>
                  <w:sz w:val="11"/>
                </w:rPr>
                <w:t>UHMS detail</w:t>
              </w:r>
            </w:hyperlink>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live_directory_only</w:t>
            </w:r>
          </w:p>
        </w:tc>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1"/>
              </w:rPr>
              <w:t>Mohawk Valley Health System Advanced Wound Care</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w:t>
            </w:r>
          </w:p>
        </w:tc>
        <w:tc>
          <w:tcPr>
            <w:tcW w:type="dxa" w:w="2968"/>
            <w:tcMar>
              <w:top w:w="100" w:type="dxa"/>
              <w:start w:w="120" w:type="dxa"/>
              <w:bottom w:w="100" w:type="dxa"/>
              <w:end w:w="120" w:type="dxa"/>
            </w:tcMar>
            <w:vAlign w:val="center"/>
          </w:tcPr>
          <w:p>
            <w:pPr>
              <w:spacing w:after="0" w:line="240" w:lineRule="auto"/>
            </w:pPr>
            <w:r>
              <w:rPr>
                <w:rFonts w:ascii="Aptos" w:hAnsi="Aptos"/>
                <w:b w:val="0"/>
                <w:i w:val="0"/>
                <w:color w:val="000000"/>
                <w:sz w:val="11"/>
              </w:rPr>
            </w:r>
            <w:hyperlink r:id="rId160">
              <w:r>
                <w:rPr>
                  <w:rFonts w:ascii="Aptos" w:hAnsi="Aptos"/>
                  <w:color w:val="174F78"/>
                  <w:u w:val="single"/>
                  <w:sz w:val="11"/>
                </w:rPr>
                <w:t>UHMS detail</w:t>
              </w:r>
            </w:hyperlink>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live_directory_only</w:t>
            </w:r>
          </w:p>
        </w:tc>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Summit Health Lakeland</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Niles, Michigan 49120</w:t>
            </w:r>
          </w:p>
        </w:tc>
        <w:tc>
          <w:tcPr>
            <w:tcW w:type="dxa" w:w="29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r>
            <w:hyperlink r:id="rId161">
              <w:r>
                <w:rPr>
                  <w:rFonts w:ascii="Aptos" w:hAnsi="Aptos"/>
                  <w:color w:val="174F78"/>
                  <w:u w:val="single"/>
                  <w:sz w:val="11"/>
                </w:rPr>
                <w:t>UHMS detail</w:t>
              </w:r>
            </w:hyperlink>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live_directory_only</w:t>
            </w:r>
          </w:p>
        </w:tc>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1"/>
              </w:rPr>
              <w:t>The Brain &amp; Performance Centre</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 Dubai</w:t>
            </w:r>
          </w:p>
        </w:tc>
        <w:tc>
          <w:tcPr>
            <w:tcW w:type="dxa" w:w="2968"/>
            <w:tcMar>
              <w:top w:w="100" w:type="dxa"/>
              <w:start w:w="120" w:type="dxa"/>
              <w:bottom w:w="100" w:type="dxa"/>
              <w:end w:w="120" w:type="dxa"/>
            </w:tcMar>
            <w:vAlign w:val="center"/>
          </w:tcPr>
          <w:p>
            <w:pPr>
              <w:spacing w:after="0" w:line="240" w:lineRule="auto"/>
            </w:pPr>
            <w:r>
              <w:rPr>
                <w:rFonts w:ascii="Aptos" w:hAnsi="Aptos"/>
                <w:b w:val="0"/>
                <w:i w:val="0"/>
                <w:color w:val="000000"/>
                <w:sz w:val="11"/>
              </w:rPr>
            </w:r>
            <w:hyperlink r:id="rId162">
              <w:r>
                <w:rPr>
                  <w:rFonts w:ascii="Aptos" w:hAnsi="Aptos"/>
                  <w:color w:val="174F78"/>
                  <w:u w:val="single"/>
                  <w:sz w:val="11"/>
                </w:rPr>
                <w:t>UHMS detail</w:t>
              </w:r>
            </w:hyperlink>
          </w:p>
        </w:tc>
      </w:tr>
      <w:tr>
        <w:trPr>
          <w:cantSplit w:val="true"/>
        </w:trPr>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live_directory_only</w:t>
            </w:r>
          </w:p>
        </w:tc>
        <w:tc>
          <w:tcPr>
            <w:tcW w:type="dxa" w:w="13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w:t>
            </w:r>
          </w:p>
        </w:tc>
        <w:tc>
          <w:tcPr>
            <w:tcW w:type="dxa" w:w="47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Winthrop University Hospital</w:t>
            </w:r>
          </w:p>
        </w:tc>
        <w:tc>
          <w:tcPr>
            <w:tcW w:type="dxa" w:w="25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t>Mineola, New York 11501</w:t>
            </w:r>
          </w:p>
        </w:tc>
        <w:tc>
          <w:tcPr>
            <w:tcW w:type="dxa" w:w="29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1"/>
              </w:rPr>
            </w:r>
            <w:hyperlink r:id="rId163">
              <w:r>
                <w:rPr>
                  <w:rFonts w:ascii="Aptos" w:hAnsi="Aptos"/>
                  <w:color w:val="174F78"/>
                  <w:u w:val="single"/>
                  <w:sz w:val="11"/>
                </w:rPr>
                <w:t>UHMS detail</w:t>
              </w:r>
            </w:hyperlink>
          </w:p>
        </w:tc>
      </w:tr>
      <w:tr>
        <w:trPr>
          <w:cantSplit w:val="true"/>
        </w:trPr>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live_directory_only</w:t>
            </w:r>
          </w:p>
        </w:tc>
        <w:tc>
          <w:tcPr>
            <w:tcW w:type="dxa" w:w="1300"/>
            <w:tcMar>
              <w:top w:w="100" w:type="dxa"/>
              <w:start w:w="120" w:type="dxa"/>
              <w:bottom w:w="100" w:type="dxa"/>
              <w:end w:w="120" w:type="dxa"/>
            </w:tcMar>
            <w:vAlign w:val="center"/>
          </w:tcPr>
          <w:p>
            <w:pPr>
              <w:spacing w:after="0" w:line="240" w:lineRule="auto"/>
            </w:pPr>
            <w:r>
              <w:rPr>
                <w:rFonts w:ascii="Aptos" w:hAnsi="Aptos"/>
                <w:b w:val="0"/>
                <w:i w:val="0"/>
                <w:color w:val="000000"/>
                <w:sz w:val="11"/>
              </w:rPr>
              <w:t>—</w:t>
            </w:r>
          </w:p>
        </w:tc>
        <w:tc>
          <w:tcPr>
            <w:tcW w:type="dxa" w:w="4700"/>
            <w:tcMar>
              <w:top w:w="100" w:type="dxa"/>
              <w:start w:w="120" w:type="dxa"/>
              <w:bottom w:w="100" w:type="dxa"/>
              <w:end w:w="120" w:type="dxa"/>
            </w:tcMar>
            <w:vAlign w:val="center"/>
          </w:tcPr>
          <w:p>
            <w:pPr>
              <w:spacing w:after="0" w:line="240" w:lineRule="auto"/>
            </w:pPr>
            <w:r>
              <w:rPr>
                <w:rFonts w:ascii="Aptos" w:hAnsi="Aptos"/>
                <w:b w:val="0"/>
                <w:i w:val="0"/>
                <w:color w:val="000000"/>
                <w:sz w:val="11"/>
              </w:rPr>
              <w:t>Wound Healing Institute of Wesley Chapel</w:t>
            </w:r>
          </w:p>
        </w:tc>
        <w:tc>
          <w:tcPr>
            <w:tcW w:type="dxa" w:w="2500"/>
            <w:tcMar>
              <w:top w:w="100" w:type="dxa"/>
              <w:start w:w="120" w:type="dxa"/>
              <w:bottom w:w="100" w:type="dxa"/>
              <w:end w:w="120" w:type="dxa"/>
            </w:tcMar>
            <w:vAlign w:val="center"/>
          </w:tcPr>
          <w:p>
            <w:pPr>
              <w:spacing w:after="0" w:line="240" w:lineRule="auto"/>
            </w:pPr>
            <w:r>
              <w:rPr>
                <w:rFonts w:ascii="Aptos" w:hAnsi="Aptos"/>
                <w:b w:val="0"/>
                <w:i w:val="0"/>
                <w:color w:val="000000"/>
                <w:sz w:val="11"/>
              </w:rPr>
              <w:t>Wesley Chapel, Florida 33544</w:t>
            </w:r>
          </w:p>
        </w:tc>
        <w:tc>
          <w:tcPr>
            <w:tcW w:type="dxa" w:w="2968"/>
            <w:tcMar>
              <w:top w:w="100" w:type="dxa"/>
              <w:start w:w="120" w:type="dxa"/>
              <w:bottom w:w="100" w:type="dxa"/>
              <w:end w:w="120" w:type="dxa"/>
            </w:tcMar>
            <w:vAlign w:val="center"/>
          </w:tcPr>
          <w:p>
            <w:pPr>
              <w:spacing w:after="0" w:line="240" w:lineRule="auto"/>
            </w:pPr>
            <w:r>
              <w:rPr>
                <w:rFonts w:ascii="Aptos" w:hAnsi="Aptos"/>
                <w:b w:val="0"/>
                <w:i w:val="0"/>
                <w:color w:val="000000"/>
                <w:sz w:val="11"/>
              </w:rPr>
            </w:r>
            <w:hyperlink r:id="rId164">
              <w:r>
                <w:rPr>
                  <w:rFonts w:ascii="Aptos" w:hAnsi="Aptos"/>
                  <w:color w:val="174F78"/>
                  <w:u w:val="single"/>
                  <w:sz w:val="11"/>
                </w:rPr>
                <w:t>UHMS detail</w:t>
              </w:r>
            </w:hyperlink>
          </w:p>
        </w:tc>
      </w:tr>
    </w:tbl>
    <w:p>
      <w:pPr>
        <w:spacing w:after="20"/>
      </w:pPr>
    </w:p>
    <w:p>
      <w:r>
        <w:br w:type="page"/>
      </w:r>
    </w:p>
    <w:p>
      <w:pPr>
        <w:pStyle w:val="Heading1"/>
      </w:pPr>
      <w:r>
        <w:t>Appendix F. References</w:t>
      </w:r>
    </w:p>
    <w:p>
      <w:r>
        <w:rPr>
          <w:rFonts w:ascii="Aptos" w:hAnsi="Aptos"/>
          <w:b w:val="0"/>
          <w:i w:val="0"/>
          <w:sz w:val="18"/>
        </w:rPr>
        <w:t>1. Huang ET, Mansouri J, Murad MH, Joseph WS, Strauss MB, Tettelbach W, Worth ER. A clinical practice guideline for the use of hyperbaric oxygen therapy in the treatment of diabetic foot ulcers. Undersea &amp; Hyperbaric Medicine. 2015;42(3):205–247. UHMS DFU guideline.</w:t>
      </w:r>
    </w:p>
    <w:p>
      <w:r>
        <w:rPr>
          <w:rFonts w:ascii="Aptos" w:hAnsi="Aptos"/>
          <w:b w:val="0"/>
          <w:i w:val="0"/>
          <w:sz w:val="18"/>
        </w:rPr>
        <w:t>2. Löndahl M, Katzman P, Nilsson A, Hammarlund C. Hyperbaric oxygen therapy facilitates healing of chronic foot ulcers in patients with diabetes. Diabetes Care. 2010;33(5):998–1003. doi:10.2337/dc09-1754. PMID:20427683.</w:t>
      </w:r>
    </w:p>
    <w:p>
      <w:r>
        <w:rPr>
          <w:rFonts w:ascii="Aptos" w:hAnsi="Aptos"/>
          <w:b w:val="0"/>
          <w:i w:val="0"/>
          <w:sz w:val="18"/>
        </w:rPr>
        <w:t>3. Fedorko L, Bowen JM, Jones W, et al. Hyperbaric oxygen therapy does not reduce indications for amputation in patients with diabetes with nonhealing ulcers of the lower limb: a prospective, double-blind, randomized controlled clinical trial. Diabetes Care. 2016;39(3):392–399. doi:10.2337/dc15-2001. PMID:26740639.</w:t>
      </w:r>
    </w:p>
    <w:p>
      <w:r>
        <w:rPr>
          <w:rFonts w:ascii="Aptos" w:hAnsi="Aptos"/>
          <w:b w:val="0"/>
          <w:i w:val="0"/>
          <w:sz w:val="18"/>
        </w:rPr>
        <w:t>4. International Working Group on the Diabetic Foot. Guidelines on interventions to enhance healing of foot ulcers in people with diabetes: IWGDF 2023 update. Recommendation 12 and rationale.</w:t>
      </w:r>
    </w:p>
    <w:p>
      <w:r>
        <w:rPr>
          <w:rFonts w:ascii="Aptos" w:hAnsi="Aptos"/>
          <w:b w:val="0"/>
          <w:i w:val="0"/>
          <w:sz w:val="18"/>
        </w:rPr>
        <w:t>5. Centers for Medicare &amp; Medicaid Services. National Coverage Determination 20.29, Hyperbaric Oxygen Therapy. DFU initiation, reassessment, and continuation provisions. Version 4, effective 2017-04-03.</w:t>
      </w:r>
    </w:p>
    <w:p>
      <w:r>
        <w:rPr>
          <w:rFonts w:ascii="Aptos" w:hAnsi="Aptos"/>
          <w:b w:val="0"/>
          <w:i w:val="0"/>
          <w:sz w:val="18"/>
        </w:rPr>
        <w:t>6. Penn Undersea and Hyperbaric Medicine. What Is Hyperbaric Oxygen Therapy? Patient guidance reporting that each treatment lasts about two to three hours. Accessed 2026-07-31. https://www.med.upenn.edu/pennhyperbarics/what-is-hyperbaric-oxygen</w:t>
      </w:r>
    </w:p>
    <w:p>
      <w:r>
        <w:rPr>
          <w:rFonts w:ascii="Aptos" w:hAnsi="Aptos"/>
          <w:b w:val="0"/>
          <w:i w:val="0"/>
          <w:sz w:val="18"/>
        </w:rPr>
        <w:t>7. University of Michigan Health. Hyperbaric Oxygen Therapy. Patient guidance reporting approximately two hours per chamber session. Accessed 2026-07-31. https://www.uofmhealth.org/our-care/specialties-services/hyperbaric-oxygen-therapy</w:t>
      </w:r>
    </w:p>
    <w:p>
      <w:r>
        <w:rPr>
          <w:rFonts w:ascii="Aptos" w:hAnsi="Aptos"/>
          <w:b w:val="0"/>
          <w:i w:val="0"/>
          <w:sz w:val="18"/>
        </w:rPr>
        <w:t>8. Cleveland Clinic. Hyperbaric Oxygen Therapy: What It Is, Benefits and Side Effects. Patient guidance reporting outpatient sessions commonly lasting one–two hours. Medically reviewed 2023-01-07.</w:t>
      </w:r>
    </w:p>
    <w:p>
      <w:r>
        <w:rPr>
          <w:rFonts w:ascii="Aptos" w:hAnsi="Aptos"/>
          <w:b w:val="0"/>
          <w:i w:val="0"/>
          <w:sz w:val="18"/>
        </w:rPr>
        <w:t>9. UCSF Health Hyde Hospital. Hyperbaric Oxygen Therapy FAQ. First appointment usually lasts one–three hours. Accessed 2026-07-31. https://sfcommunityhospitals.ucsfhealth.org/saint-francis/services/hyperbaric-oxygen-therapy/hyperbaric-oxygen-therapy-faq</w:t>
      </w:r>
    </w:p>
    <w:p>
      <w:r>
        <w:rPr>
          <w:rFonts w:ascii="Aptos" w:hAnsi="Aptos"/>
          <w:b w:val="0"/>
          <w:i w:val="0"/>
          <w:sz w:val="18"/>
        </w:rPr>
        <w:t>10. Undersea and Hyperbaric Medical Society. UHMS Accredited Hyperbaric Medicine Facilities. June 2025; list marked A/O 2025-06-30 on each page; PDF created 2025-07-01. Nine pages. Supplied as UHMS_Accredited_Facilities_June_2025.pdf.</w:t>
      </w:r>
    </w:p>
    <w:p>
      <w:r>
        <w:rPr>
          <w:rFonts w:ascii="Aptos" w:hAnsi="Aptos"/>
          <w:b w:val="0"/>
          <w:i w:val="0"/>
          <w:sz w:val="18"/>
        </w:rPr>
        <w:t>11. UHMS HBOT Facility Addresses — Normalized. Internal reconciliation workbook derived from the UHMS live accredited-facilities directory extracted 2026-07-29 and reconciled to the June 2025 roster. File: UHMS_HBOT_Facility_Addresses_Normalized_2026-07-29.xlsx.</w:t>
      </w:r>
    </w:p>
    <w:p>
      <w:r>
        <w:rPr>
          <w:rFonts w:ascii="Aptos" w:hAnsi="Aptos"/>
          <w:b w:val="0"/>
          <w:i w:val="0"/>
          <w:sz w:val="18"/>
        </w:rPr>
        <w:t>12. Knowledge Systems Lab. Meggitt–Wagner Classification of Diabetic Foot Lesions: Questionnaire Logic, Response Model, and Response Analysis. Computable Knowledge Specification Version 1.0. Supplied as kgrid.org_Meggitt_Wagner_Questionnaire_CKS_Version_1_0 (1).docx.</w:t>
      </w:r>
    </w:p>
    <w:p>
      <w:r>
        <w:rPr>
          <w:rFonts w:ascii="Aptos" w:hAnsi="Aptos"/>
          <w:b w:val="0"/>
          <w:i w:val="0"/>
          <w:sz w:val="18"/>
        </w:rPr>
        <w:t>13. Work Handoff: Minimal-Input Bounded HBOT Regimen and Burden CKS. Internal design brief supplied 2026-07-29.</w:t>
      </w:r>
    </w:p>
    <w:p>
      <w:r>
        <w:rPr>
          <w:rFonts w:ascii="Aptos" w:hAnsi="Aptos"/>
          <w:b w:val="0"/>
          <w:i w:val="0"/>
          <w:sz w:val="18"/>
        </w:rPr>
        <w:t>14. Knowledge Grid. Kgrid Knowledge Objects. Knowledge Grid Specifications. Describes unique object identifiers, version identifiers, resolvable @id values, and KGrid identifier practice. Accessed 2026-07-31. https://kgrid.org/specs/kgrid-knowledge-objects.html</w:t>
      </w:r>
    </w:p>
    <w:p>
      <w:r>
        <w:rPr>
          <w:rFonts w:ascii="Aptos" w:hAnsi="Aptos"/>
          <w:b w:val="0"/>
          <w:i w:val="0"/>
          <w:sz w:val="18"/>
        </w:rPr>
        <w:t>15. Rundgren A, Jordan B, Erdtman S. JSON Canonicalization Scheme (JCS). RFC 8785. June 2020. https://www.rfc-editor.org/rfc/rfc8785.html</w:t>
      </w:r>
    </w:p>
    <w:p>
      <w:r>
        <w:rPr>
          <w:rFonts w:ascii="Aptos" w:hAnsi="Aptos"/>
          <w:b w:val="0"/>
          <w:i w:val="0"/>
          <w:sz w:val="18"/>
        </w:rPr>
        <w:t>16. Klyne G, Newman C. Date and Time on the Internet: Timestamps. RFC 3339. July 2002. https://www.rfc-editor.org/rfc/rfc3339.html</w:t>
      </w:r>
    </w:p>
    <w:p>
      <w:r>
        <w:rPr>
          <w:rFonts w:ascii="Aptos" w:hAnsi="Aptos"/>
          <w:b w:val="0"/>
          <w:i w:val="0"/>
          <w:sz w:val="18"/>
        </w:rPr>
        <w:t>17. Davis K, Peabody B, Leach P. Universally Unique IDentifiers (UUIDs). RFC 9562. May 2024. https://www.rfc-editor.org/rfc/rfc9562.html</w:t>
      </w:r>
    </w:p>
    <w:p>
      <w:r>
        <w:rPr>
          <w:rFonts w:ascii="Aptos" w:hAnsi="Aptos"/>
          <w:b w:val="0"/>
          <w:i w:val="0"/>
          <w:sz w:val="18"/>
        </w:rPr>
        <w:t>18. Undersea and Hyperbaric Medical Society. Hyperbaric Oxygen Therapy Indications, 15th edition: Definition of Hyperbaric Oxygen and Its Safe Delivery. Defines clinical HBOT as not less than 2.0 ATA with medical-grade oxygen typically 90–120 minutes per treatment. Accessed 2026-07-31. https://www.uhms.org/images/indications/UHMS%20Indications%2015th%20Ed%20Front%20Matter%20and%20References.pdf</w:t>
      </w:r>
    </w:p>
    <w:p>
      <w:r>
        <w:br w:type="page"/>
      </w:r>
    </w:p>
    <w:p>
      <w:pPr>
        <w:pStyle w:val="Heading1"/>
      </w:pPr>
      <w:r>
        <w:t>Appendix G. Normative JSON Schema Bundle</w:t>
      </w:r>
    </w:p>
    <w:p>
      <w:r>
        <w:rPr>
          <w:rFonts w:ascii="Aptos" w:hAnsi="Aptos"/>
          <w:b w:val="0"/>
          <w:i w:val="0"/>
          <w:sz w:val="18"/>
        </w:rPr>
        <w:t>This appendix is normative and uses JSON Schema Draft 2020-12. Every property of every input artifact has cardinality 1..1: it is listed in required, may occur only once under JSON object-name uniqueness, and is non-null. Every input object sets additionalProperties=false. No alternative, shortened, partial, or supplemental input model is conformant. Output properties are also required; properties that are inapplicable for a result status are present with the explicit null value specified by the result schema.</w:t>
      </w:r>
    </w:p>
    <w:p>
      <w:r>
        <w:rPr>
          <w:rFonts w:ascii="Aptos" w:hAnsi="Aptos"/>
          <w:b w:val="0"/>
          <w:i w:val="0"/>
          <w:sz w:val="18"/>
        </w:rPr>
        <w:t>The bundle defines schemas for the Regimen Range request, Fixed Regimen Range Response, Completed Burden Questionnaire Response, combined analysis request, analysis-ingress questionnaire response, Appendix E hyperbaric oxygen therapy location record, error object, completed analysis result, error analysis result, normative rule-coverage manifest, and their shared nested objects. The standalone completed-response schema binds the roster version exactly. The analysis-ingress form admits an absolute HTTPS roster-version IRI solely so Section 9 can distinguish a well-formed but incompatible submitted version from other envelope failures and return the mandated error_field. Implementations SHALL validate the complete input against the applicable schema before applying Section 9 semantic error precedence.</w:t>
      </w:r>
    </w:p>
    <w:tbl>
      <w:tblPr>
        <w:tblW w:type="dxa" w:w="13968"/>
        <w:tblLayout w:type="fixed"/>
        <w:tblLook w:firstColumn="1" w:firstRow="1" w:lastColumn="0" w:lastRow="0" w:noHBand="0" w:noVBand="1" w:val="04A0"/>
        <w:tblInd w:w="120" w:type="dxa"/>
      </w:tblPr>
      <w:tblGrid>
        <w:gridCol w:w="4200"/>
        <w:gridCol w:w="9768"/>
      </w:tblGrid>
      <w:tr>
        <w:trPr>
          <w:cantSplit w:val="true"/>
          <w:tblHeader w:val="true"/>
        </w:trPr>
        <w:tc>
          <w:tcPr>
            <w:tcW w:type="dxa" w:w="4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ARTIFACT</w:t>
            </w:r>
          </w:p>
        </w:tc>
        <w:tc>
          <w:tcPr>
            <w:tcW w:type="dxa" w:w="97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CANONICAL SCHEMA REFERENCE</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Regimen Range request</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https://kgrid.org/cks/dfu-hbot-burden/schema-bundles/versions/1.0#regimenRangeRequest</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Fixed Regimen Range Response</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https://kgrid.org/cks/dfu-hbot-burden/schema-bundles/versions/1.0#fixedRegimenRangeResponse</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Completed Burden Questionnaire Response</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https://kgrid.org/cks/dfu-hbot-burden/schema-bundles/versions/1.0#completedQuestionnaireResponse</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Combined analysis request</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https://kgrid.org/cks/dfu-hbot-burden/schema-bundles/versions/1.0#analysisRequest</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Hyperbaric oxygen therapy location record</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https://kgrid.org/cks/dfu-hbot-burden/schema-bundles/versions/1.0#hyperbaricOxygenTherapyLocationRecord</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Provider-roster snapshot</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https://kgrid.org/cks/dfu-hbot-burden/schema-bundles/versions/1.0#providerRosterSnapshot</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Error object</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https://kgrid.org/cks/dfu-hbot-burden/schema-bundles/versions/1.0#errorObject</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Completed analysis result</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https://kgrid.org/cks/dfu-hbot-burden/schema-bundles/versions/1.0#completedAnalysisResult</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Error analysis result</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https://kgrid.org/cks/dfu-hbot-burden/schema-bundles/versions/1.0#errorAnalysisResult</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Unified analysis result</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https://kgrid.org/cks/dfu-hbot-burden/schema-bundles/versions/1.0#analysisResult</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Audit-validation outcome</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https://kgrid.org/cks/dfu-hbot-burden/schema-bundles/versions/1.0#auditValidationOutcome</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Identifier-family rule</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https://kgrid.org/cks/dfu-hbot-burden/schema-bundles/versions/1.0#identifierFamilyRule</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Dependency record</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https://kgrid.org/cks/dfu-hbot-burden/schema-bundles/versions/1.0#dependencyRecord</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Identifier and dependency manifest</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https://kgrid.org/cks/dfu-hbot-burden/schema-bundles/versions/1.0#identifierDependencyManifest</w:t>
            </w:r>
          </w:p>
        </w:tc>
      </w:tr>
      <w:tr>
        <w:trPr>
          <w:cantSplit w:val="true"/>
        </w:trPr>
        <w:tc>
          <w:tcPr>
            <w:tcW w:type="dxa" w:w="4200"/>
            <w:tcMar>
              <w:top w:w="100" w:type="dxa"/>
              <w:start w:w="120" w:type="dxa"/>
              <w:bottom w:w="100" w:type="dxa"/>
              <w:end w:w="120" w:type="dxa"/>
            </w:tcMar>
            <w:vAlign w:val="center"/>
          </w:tcPr>
          <w:p>
            <w:pPr>
              <w:spacing w:after="0" w:line="240" w:lineRule="auto"/>
            </w:pPr>
            <w:r>
              <w:rPr>
                <w:rFonts w:ascii="Aptos" w:hAnsi="Aptos"/>
                <w:b w:val="0"/>
                <w:i w:val="0"/>
                <w:color w:val="000000"/>
                <w:sz w:val="12"/>
              </w:rPr>
              <w:t>Normative rule-coverage record</w:t>
            </w:r>
          </w:p>
        </w:tc>
        <w:tc>
          <w:tcPr>
            <w:tcW w:type="dxa" w:w="9768"/>
            <w:tcMar>
              <w:top w:w="100" w:type="dxa"/>
              <w:start w:w="120" w:type="dxa"/>
              <w:bottom w:w="100" w:type="dxa"/>
              <w:end w:w="120" w:type="dxa"/>
            </w:tcMar>
            <w:vAlign w:val="center"/>
          </w:tcPr>
          <w:p>
            <w:pPr>
              <w:spacing w:after="0" w:line="240" w:lineRule="auto"/>
            </w:pPr>
            <w:r>
              <w:rPr>
                <w:rFonts w:ascii="Aptos" w:hAnsi="Aptos"/>
                <w:b w:val="0"/>
                <w:i w:val="0"/>
                <w:color w:val="000000"/>
                <w:sz w:val="12"/>
              </w:rPr>
              <w:t>https://kgrid.org/cks/dfu-hbot-burden/schema-bundles/versions/1.0#normativeRuleCoverageRecord</w:t>
            </w:r>
          </w:p>
        </w:tc>
      </w:tr>
      <w:tr>
        <w:trPr>
          <w:cantSplit w:val="true"/>
        </w:trPr>
        <w:tc>
          <w:tcPr>
            <w:tcW w:type="dxa" w:w="4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Normative rule-coverage manifest</w:t>
            </w:r>
          </w:p>
        </w:tc>
        <w:tc>
          <w:tcPr>
            <w:tcW w:type="dxa" w:w="9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https://kgrid.org/cks/dfu-hbot-burden/schema-bundles/versions/1.0#normativeRuleCoverageManifest</w:t>
            </w:r>
          </w:p>
        </w:tc>
      </w:tr>
    </w:tbl>
    <w:p>
      <w:pPr>
        <w:spacing w:after="20"/>
      </w:pPr>
    </w:p>
    <w:tbl>
      <w:tblPr>
        <w:tblW w:type="auto" w:w="0"/>
        <w:tblLayout w:type="fixed"/>
        <w:tblLook w:firstColumn="1" w:firstRow="1" w:lastColumn="0" w:lastRow="0" w:noHBand="0" w:noVBand="1" w:val="04A0"/>
      </w:tblPr>
      <w:tblGrid>
        <w:gridCol w:w="13968"/>
      </w:tblGrid>
      <w:tr>
        <w:tc>
          <w:tcPr>
            <w:tcW w:type="dxa" w:w="13968"/>
            <w:tcMar>
              <w:top w:w="80" w:type="dxa"/>
              <w:start w:w="120" w:type="dxa"/>
              <w:bottom w:w="80" w:type="dxa"/>
              <w:end w:w="120" w:type="dxa"/>
            </w:tcMar>
            <w:shd w:fill="F2F2F2"/>
          </w:tcPr>
          <w:p>
            <w:pPr>
              <w:spacing w:after="0"/>
            </w:pPr>
            <w:r/>
            <w:r>
              <w:rPr>
                <w:rFonts w:ascii="Consolas" w:hAnsi="Consolas"/>
                <w:b w:val="0"/>
                <w:i w:val="0"/>
                <w:sz w:val="11"/>
              </w:rPr>
              <w:t>{</w:t>
            </w:r>
          </w:p>
          <w:p>
            <w:pPr>
              <w:spacing w:after="0"/>
            </w:pPr>
            <w:r>
              <w:rPr>
                <w:rFonts w:ascii="Consolas" w:hAnsi="Consolas"/>
                <w:b w:val="0"/>
                <w:i w:val="0"/>
                <w:sz w:val="11"/>
              </w:rPr>
              <w:t xml:space="preserve">  "$schema": "https://json-schema.org/draft/2020-12/schema",</w:t>
            </w:r>
          </w:p>
          <w:p>
            <w:pPr>
              <w:spacing w:after="0"/>
            </w:pPr>
            <w:r>
              <w:rPr>
                <w:rFonts w:ascii="Consolas" w:hAnsi="Consolas"/>
                <w:b w:val="0"/>
                <w:i w:val="0"/>
                <w:sz w:val="11"/>
              </w:rPr>
              <w:t xml:space="preserve">  "$id": "https://kgrid.org/cks/dfu-hbot-burden/schema-bundles/versions/1.0",</w:t>
            </w:r>
          </w:p>
          <w:p>
            <w:pPr>
              <w:spacing w:after="0"/>
            </w:pPr>
            <w:r>
              <w:rPr>
                <w:rFonts w:ascii="Consolas" w:hAnsi="Consolas"/>
                <w:b w:val="0"/>
                <w:i w:val="0"/>
                <w:sz w:val="11"/>
              </w:rPr>
              <w:t xml:space="preserve">  "title": "DFU HBOT Burden CKS Version 1.0 normative schemas",</w:t>
            </w:r>
          </w:p>
          <w:p>
            <w:pPr>
              <w:spacing w:after="0"/>
            </w:pPr>
            <w:r>
              <w:rPr>
                <w:rFonts w:ascii="Consolas" w:hAnsi="Consolas"/>
                <w:b w:val="0"/>
                <w:i w:val="0"/>
                <w:sz w:val="11"/>
              </w:rPr>
              <w:t xml:space="preserve">  "$defs": {</w:t>
            </w:r>
          </w:p>
          <w:p>
            <w:pPr>
              <w:spacing w:after="0"/>
            </w:pPr>
            <w:r>
              <w:rPr>
                <w:rFonts w:ascii="Consolas" w:hAnsi="Consolas"/>
                <w:b w:val="0"/>
                <w:i w:val="0"/>
                <w:sz w:val="11"/>
              </w:rPr>
              <w:t xml:space="preserve">    "regimenRangeRequest": {</w:t>
            </w:r>
          </w:p>
          <w:p>
            <w:pPr>
              <w:spacing w:after="0"/>
            </w:pPr>
            <w:r>
              <w:rPr>
                <w:rFonts w:ascii="Consolas" w:hAnsi="Consolas"/>
                <w:b w:val="0"/>
                <w:i w:val="0"/>
                <w:sz w:val="11"/>
              </w:rPr>
              <w:t xml:space="preserve">      "$anchor": "regimenRangeRequest",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"request_type"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"request_type": {</w:t>
            </w:r>
          </w:p>
          <w:p>
            <w:pPr>
              <w:spacing w:after="0"/>
            </w:pPr>
            <w:r>
              <w:rPr>
                <w:rFonts w:ascii="Consolas" w:hAnsi="Consolas"/>
                <w:b w:val="0"/>
                <w:i w:val="0"/>
                <w:sz w:val="11"/>
              </w:rPr>
              <w:t xml:space="preserve">          "const": "show_regimen_range"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"fixedRegimenRangeResponse": {</w:t>
            </w:r>
          </w:p>
          <w:p>
            <w:pPr>
              <w:spacing w:after="0"/>
            </w:pPr>
            <w:r>
              <w:rPr>
                <w:rFonts w:ascii="Consolas" w:hAnsi="Consolas"/>
                <w:b w:val="0"/>
                <w:i w:val="0"/>
                <w:sz w:val="11"/>
              </w:rPr>
              <w:t xml:space="preserve">      "$anchor": "fixedRegimenRangeResponse",</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"response_type",</w:t>
            </w:r>
          </w:p>
          <w:p>
            <w:pPr>
              <w:spacing w:after="0"/>
            </w:pPr>
            <w:r>
              <w:rPr>
                <w:rFonts w:ascii="Consolas" w:hAnsi="Consolas"/>
                <w:b w:val="0"/>
                <w:i w:val="0"/>
                <w:sz w:val="11"/>
              </w:rPr>
              <w:t xml:space="preserve">        "response_model_iri",</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"knowledge_package_iri",</w:t>
            </w:r>
          </w:p>
          <w:p>
            <w:pPr>
              <w:spacing w:after="0"/>
            </w:pPr>
            <w:r>
              <w:rPr>
                <w:rFonts w:ascii="Consolas" w:hAnsi="Consolas"/>
                <w:b w:val="0"/>
                <w:i w:val="0"/>
                <w:sz w:val="11"/>
              </w:rPr>
              <w:t xml:space="preserve">        "knowledge_scope",</w:t>
            </w:r>
          </w:p>
          <w:p>
            <w:pPr>
              <w:spacing w:after="0"/>
            </w:pPr>
            <w:r>
              <w:rPr>
                <w:rFonts w:ascii="Consolas" w:hAnsi="Consolas"/>
                <w:b w:val="0"/>
                <w:i w:val="0"/>
                <w:sz w:val="11"/>
              </w:rPr>
              <w:t xml:space="preserve">        "indication",</w:t>
            </w:r>
          </w:p>
          <w:p>
            <w:pPr>
              <w:spacing w:after="0"/>
            </w:pPr>
            <w:r>
              <w:rPr>
                <w:rFonts w:ascii="Consolas" w:hAnsi="Consolas"/>
                <w:b w:val="0"/>
                <w:i w:val="0"/>
                <w:sz w:val="11"/>
              </w:rPr>
              <w:t xml:space="preserve">        "shorter_regimen_scenario",</w:t>
            </w:r>
          </w:p>
          <w:p>
            <w:pPr>
              <w:spacing w:after="0"/>
            </w:pPr>
            <w:r>
              <w:rPr>
                <w:rFonts w:ascii="Consolas" w:hAnsi="Consolas"/>
                <w:b w:val="0"/>
                <w:i w:val="0"/>
                <w:sz w:val="11"/>
              </w:rPr>
              <w:t xml:space="preserve">        "longer_regimen_scenario",</w:t>
            </w:r>
          </w:p>
          <w:p>
            <w:pPr>
              <w:spacing w:after="0"/>
            </w:pPr>
            <w:r>
              <w:rPr>
                <w:rFonts w:ascii="Consolas" w:hAnsi="Consolas"/>
                <w:b w:val="0"/>
                <w:i w:val="0"/>
                <w:sz w:val="11"/>
              </w:rPr>
              <w:t xml:space="preserve">        "combined_range",</w:t>
            </w:r>
          </w:p>
          <w:p>
            <w:pPr>
              <w:spacing w:after="0"/>
            </w:pPr>
            <w:r>
              <w:rPr>
                <w:rFonts w:ascii="Consolas" w:hAnsi="Consolas"/>
                <w:b w:val="0"/>
                <w:i w:val="0"/>
                <w:sz w:val="11"/>
              </w:rPr>
              <w:t xml:space="preserve">        "scheduled_facility_hours_per_episode",</w:t>
            </w:r>
          </w:p>
          <w:p>
            <w:pPr>
              <w:spacing w:after="0"/>
            </w:pPr>
            <w:r>
              <w:rPr>
                <w:rFonts w:ascii="Consolas" w:hAnsi="Consolas"/>
                <w:b w:val="0"/>
                <w:i w:val="0"/>
                <w:sz w:val="11"/>
              </w:rPr>
              <w:t xml:space="preserve">        "tailored_to_patient",</w:t>
            </w:r>
          </w:p>
          <w:p>
            <w:pPr>
              <w:spacing w:after="0"/>
            </w:pPr>
            <w:r>
              <w:rPr>
                <w:rFonts w:ascii="Consolas" w:hAnsi="Consolas"/>
                <w:b w:val="0"/>
                <w:i w:val="0"/>
                <w:sz w:val="11"/>
              </w:rPr>
              <w:t xml:space="preserve">        "display_label"</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"response_type": {</w:t>
            </w:r>
          </w:p>
          <w:p>
            <w:pPr>
              <w:spacing w:after="0"/>
            </w:pPr>
            <w:r>
              <w:rPr>
                <w:rFonts w:ascii="Consolas" w:hAnsi="Consolas"/>
                <w:b w:val="0"/>
                <w:i w:val="0"/>
                <w:sz w:val="11"/>
              </w:rPr>
              <w:t xml:space="preserve">          "const": "fixed_regimen_range_response"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"response_model_iri": {</w:t>
            </w:r>
          </w:p>
          <w:p>
            <w:pPr>
              <w:spacing w:after="0"/>
            </w:pPr>
            <w:r>
              <w:rPr>
                <w:rFonts w:ascii="Consolas" w:hAnsi="Consolas"/>
                <w:b w:val="0"/>
                <w:i w:val="0"/>
                <w:sz w:val="11"/>
              </w:rPr>
              <w:t xml:space="preserve">          "const": "https://kgrid.org/cks/dfu-hbot-burden/response-models/1.0"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"completed"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"knowledge_package_iri": {</w:t>
            </w:r>
          </w:p>
          <w:p>
            <w:pPr>
              <w:spacing w:after="0"/>
            </w:pPr>
            <w:r>
              <w:rPr>
                <w:rFonts w:ascii="Consolas" w:hAnsi="Consolas"/>
                <w:b w:val="0"/>
                <w:i w:val="0"/>
                <w:sz w:val="11"/>
              </w:rPr>
              <w:t xml:space="preserve">          "const": "https://kgrid.org/cks/dfu-hbot-burden/knowledge-packages/general-dfu-regimen/versions/1.0"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"knowledge_scope": {</w:t>
            </w:r>
          </w:p>
          <w:p>
            <w:pPr>
              <w:spacing w:after="0"/>
            </w:pPr>
            <w:r>
              <w:rPr>
                <w:rFonts w:ascii="Consolas" w:hAnsi="Consolas"/>
                <w:b w:val="0"/>
                <w:i w:val="0"/>
                <w:sz w:val="11"/>
              </w:rPr>
              <w:t xml:space="preserve">          "const": "general_not_patient_specific"</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"indication": {</w:t>
            </w:r>
          </w:p>
          <w:p>
            <w:pPr>
              <w:spacing w:after="0"/>
            </w:pPr>
            <w:r>
              <w:rPr>
                <w:rFonts w:ascii="Consolas" w:hAnsi="Consolas"/>
                <w:b w:val="0"/>
                <w:i w:val="0"/>
                <w:sz w:val="11"/>
              </w:rPr>
              <w:t xml:space="preserve">          "const": "diabetes_related_foot_ulcer"</w:t>
            </w:r>
          </w:p>
          <w:p>
            <w:pPr>
              <w:spacing w:after="0"/>
            </w:pPr>
            <w:r>
              <w:rPr>
                <w:rFonts w:ascii="Consolas" w:hAnsi="Consolas"/>
                <w:b w:val="0"/>
                <w:i w:val="0"/>
                <w:sz w:val="11"/>
              </w:rPr>
              <w:t xml:space="preserve">        },</w:t>
            </w:r>
          </w:p>
          <w:p>
            <w:pPr>
              <w:spacing w:after="0"/>
            </w:pPr>
            <w:r>
              <w:rPr>
                <w:rFonts w:ascii="Consolas" w:hAnsi="Consolas"/>
                <w:b w:val="0"/>
                <w:i w:val="0"/>
                <w:sz w:val="11"/>
              </w:rPr>
              <w:t xml:space="preserve">        "shorter_regimen_scenario": {</w:t>
            </w:r>
          </w:p>
          <w:p>
            <w:pPr>
              <w:spacing w:after="0"/>
            </w:pPr>
            <w:r>
              <w:rPr>
                <w:rFonts w:ascii="Consolas" w:hAnsi="Consolas"/>
                <w:b w:val="0"/>
                <w:i w:val="0"/>
                <w:sz w:val="11"/>
              </w:rPr>
              <w:t xml:space="preserve">          "$ref": "#/$defs/shorterRegimenScenario"</w:t>
            </w:r>
          </w:p>
          <w:p>
            <w:pPr>
              <w:spacing w:after="0"/>
            </w:pPr>
            <w:r>
              <w:rPr>
                <w:rFonts w:ascii="Consolas" w:hAnsi="Consolas"/>
                <w:b w:val="0"/>
                <w:i w:val="0"/>
                <w:sz w:val="11"/>
              </w:rPr>
              <w:t xml:space="preserve">        },</w:t>
            </w:r>
          </w:p>
          <w:p>
            <w:pPr>
              <w:spacing w:after="0"/>
            </w:pPr>
            <w:r>
              <w:rPr>
                <w:rFonts w:ascii="Consolas" w:hAnsi="Consolas"/>
                <w:b w:val="0"/>
                <w:i w:val="0"/>
                <w:sz w:val="11"/>
              </w:rPr>
              <w:t xml:space="preserve">        "longer_regimen_scenario": {</w:t>
            </w:r>
          </w:p>
          <w:p>
            <w:pPr>
              <w:spacing w:after="0"/>
            </w:pPr>
            <w:r>
              <w:rPr>
                <w:rFonts w:ascii="Consolas" w:hAnsi="Consolas"/>
                <w:b w:val="0"/>
                <w:i w:val="0"/>
                <w:sz w:val="11"/>
              </w:rPr>
              <w:t xml:space="preserve">          "$ref": "#/$defs/longerRegimenScenario"</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"combined_range": {</w:t>
            </w:r>
          </w:p>
          <w:p>
            <w:pPr>
              <w:spacing w:after="0"/>
            </w:pPr>
            <w:r>
              <w:rPr>
                <w:rFonts w:ascii="Consolas" w:hAnsi="Consolas"/>
                <w:b w:val="0"/>
                <w:i w:val="0"/>
                <w:sz w:val="11"/>
              </w:rPr>
              <w:t xml:space="preserve">          "$ref": "#/$defs/combinedRegimenRange"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"scheduled_facility_hours_per_episode": {</w:t>
            </w:r>
          </w:p>
          <w:p>
            <w:pPr>
              <w:spacing w:after="0"/>
            </w:pPr>
            <w:r>
              <w:rPr>
                <w:rFonts w:ascii="Consolas" w:hAnsi="Consolas"/>
                <w:b w:val="0"/>
                <w:i w:val="0"/>
                <w:sz w:val="11"/>
              </w:rPr>
              <w:t xml:space="preserve">          "$ref": "#/$defs/facilityTimePerEpisode"</w:t>
            </w:r>
          </w:p>
          <w:p>
            <w:pPr>
              <w:spacing w:after="0"/>
            </w:pPr>
            <w:r>
              <w:rPr>
                <w:rFonts w:ascii="Consolas" w:hAnsi="Consolas"/>
                <w:b w:val="0"/>
                <w:i w:val="0"/>
                <w:sz w:val="11"/>
              </w:rPr>
              <w:t xml:space="preserve">        },</w:t>
            </w:r>
          </w:p>
          <w:p>
            <w:pPr>
              <w:spacing w:after="0"/>
            </w:pPr>
            <w:r>
              <w:rPr>
                <w:rFonts w:ascii="Consolas" w:hAnsi="Consolas"/>
                <w:b w:val="0"/>
                <w:i w:val="0"/>
                <w:sz w:val="11"/>
              </w:rPr>
              <w:t xml:space="preserve">        "tailored_to_patient": {</w:t>
            </w:r>
          </w:p>
          <w:p>
            <w:pPr>
              <w:spacing w:after="0"/>
            </w:pPr>
            <w:r>
              <w:rPr>
                <w:rFonts w:ascii="Consolas" w:hAnsi="Consolas"/>
                <w:b w:val="0"/>
                <w:i w:val="0"/>
                <w:sz w:val="11"/>
              </w:rPr>
              <w:t xml:space="preserve">          "const": false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"display_label": {</w:t>
            </w:r>
          </w:p>
          <w:p>
            <w:pPr>
              <w:spacing w:after="0"/>
            </w:pPr>
            <w:r>
              <w:rPr>
                <w:rFonts w:ascii="Consolas" w:hAnsi="Consolas"/>
                <w:b w:val="0"/>
                <w:i w:val="0"/>
                <w:sz w:val="11"/>
              </w:rPr>
              <w:t xml:space="preserve">          "const": "General DFU HBOT planning range: approximately 30–40 episodes, usually five per week, over approximately 6–8 weeks."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"shorterRegimenScenario":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"episodes",</w:t>
            </w:r>
          </w:p>
          <w:p>
            <w:pPr>
              <w:spacing w:after="0"/>
            </w:pPr>
            <w:r>
              <w:rPr>
                <w:rFonts w:ascii="Consolas" w:hAnsi="Consolas"/>
                <w:b w:val="0"/>
                <w:i w:val="0"/>
                <w:sz w:val="11"/>
              </w:rPr>
              <w:t xml:space="preserve">        "sessions_per_week",</w:t>
            </w:r>
          </w:p>
          <w:p>
            <w:pPr>
              <w:spacing w:after="0"/>
            </w:pPr>
            <w:r>
              <w:rPr>
                <w:rFonts w:ascii="Consolas" w:hAnsi="Consolas"/>
                <w:b w:val="0"/>
                <w:i w:val="0"/>
                <w:sz w:val="11"/>
              </w:rPr>
              <w:t xml:space="preserve">        "course_weeks"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"episodes": {</w:t>
            </w:r>
          </w:p>
          <w:p>
            <w:pPr>
              <w:spacing w:after="0"/>
            </w:pPr>
            <w:r>
              <w:rPr>
                <w:rFonts w:ascii="Consolas" w:hAnsi="Consolas"/>
                <w:b w:val="0"/>
                <w:i w:val="0"/>
                <w:sz w:val="11"/>
              </w:rPr>
              <w:t xml:space="preserve">          "const": 30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"sessions_per_week": {</w:t>
            </w:r>
          </w:p>
          <w:p>
            <w:pPr>
              <w:spacing w:after="0"/>
            </w:pPr>
            <w:r>
              <w:rPr>
                <w:rFonts w:ascii="Consolas" w:hAnsi="Consolas"/>
                <w:b w:val="0"/>
                <w:i w:val="0"/>
                <w:sz w:val="11"/>
              </w:rPr>
              <w:t xml:space="preserve">          "const": 5</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"course_weeks": {</w:t>
            </w:r>
          </w:p>
          <w:p>
            <w:pPr>
              <w:spacing w:after="0"/>
            </w:pPr>
            <w:r>
              <w:rPr>
                <w:rFonts w:ascii="Consolas" w:hAnsi="Consolas"/>
                <w:b w:val="0"/>
                <w:i w:val="0"/>
                <w:sz w:val="11"/>
              </w:rPr>
              <w:t xml:space="preserve">          "const": 6.0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"longerRegimenScenario":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"episodes",</w:t>
            </w:r>
          </w:p>
          <w:p>
            <w:pPr>
              <w:spacing w:after="0"/>
            </w:pPr>
            <w:r>
              <w:rPr>
                <w:rFonts w:ascii="Consolas" w:hAnsi="Consolas"/>
                <w:b w:val="0"/>
                <w:i w:val="0"/>
                <w:sz w:val="11"/>
              </w:rPr>
              <w:t xml:space="preserve">        "sessions_per_week",</w:t>
            </w:r>
          </w:p>
          <w:p>
            <w:pPr>
              <w:spacing w:after="0"/>
            </w:pPr>
            <w:r>
              <w:rPr>
                <w:rFonts w:ascii="Consolas" w:hAnsi="Consolas"/>
                <w:b w:val="0"/>
                <w:i w:val="0"/>
                <w:sz w:val="11"/>
              </w:rPr>
              <w:t xml:space="preserve">        "course_weeks"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"episodes": {</w:t>
            </w:r>
          </w:p>
          <w:p>
            <w:pPr>
              <w:spacing w:after="0"/>
            </w:pPr>
            <w:r>
              <w:rPr>
                <w:rFonts w:ascii="Consolas" w:hAnsi="Consolas"/>
                <w:b w:val="0"/>
                <w:i w:val="0"/>
                <w:sz w:val="11"/>
              </w:rPr>
              <w:t xml:space="preserve">          "const": 40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"sessions_per_week": {</w:t>
            </w:r>
          </w:p>
          <w:p>
            <w:pPr>
              <w:spacing w:after="0"/>
            </w:pPr>
            <w:r>
              <w:rPr>
                <w:rFonts w:ascii="Consolas" w:hAnsi="Consolas"/>
                <w:b w:val="0"/>
                <w:i w:val="0"/>
                <w:sz w:val="11"/>
              </w:rPr>
              <w:t xml:space="preserve">          "const": 5</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"course_weeks": {</w:t>
            </w:r>
          </w:p>
          <w:p>
            <w:pPr>
              <w:spacing w:after="0"/>
            </w:pPr>
            <w:r>
              <w:rPr>
                <w:rFonts w:ascii="Consolas" w:hAnsi="Consolas"/>
                <w:b w:val="0"/>
                <w:i w:val="0"/>
                <w:sz w:val="11"/>
              </w:rPr>
              <w:t xml:space="preserve">          "const": 8.0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"combinedRegimenRange":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"episodes",</w:t>
            </w:r>
          </w:p>
          <w:p>
            <w:pPr>
              <w:spacing w:after="0"/>
            </w:pPr>
            <w:r>
              <w:rPr>
                <w:rFonts w:ascii="Consolas" w:hAnsi="Consolas"/>
                <w:b w:val="0"/>
                <w:i w:val="0"/>
                <w:sz w:val="11"/>
              </w:rPr>
              <w:t xml:space="preserve">        "sessions_per_week",</w:t>
            </w:r>
          </w:p>
          <w:p>
            <w:pPr>
              <w:spacing w:after="0"/>
            </w:pPr>
            <w:r>
              <w:rPr>
                <w:rFonts w:ascii="Consolas" w:hAnsi="Consolas"/>
                <w:b w:val="0"/>
                <w:i w:val="0"/>
                <w:sz w:val="11"/>
              </w:rPr>
              <w:t xml:space="preserve">        "course_weeks"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"episodes":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"prefixItems":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"const": 30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"const": 40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"items": false,</w:t>
            </w:r>
          </w:p>
          <w:p>
            <w:pPr>
              <w:spacing w:after="0"/>
            </w:pPr>
            <w:r>
              <w:rPr>
                <w:rFonts w:ascii="Consolas" w:hAnsi="Consolas"/>
                <w:b w:val="0"/>
                <w:i w:val="0"/>
                <w:sz w:val="11"/>
              </w:rPr>
              <w:t xml:space="preserve">          "minItems": 2,</w:t>
            </w:r>
          </w:p>
          <w:p>
            <w:pPr>
              <w:spacing w:after="0"/>
            </w:pPr>
            <w:r>
              <w:rPr>
                <w:rFonts w:ascii="Consolas" w:hAnsi="Consolas"/>
                <w:b w:val="0"/>
                <w:i w:val="0"/>
                <w:sz w:val="11"/>
              </w:rPr>
              <w:t xml:space="preserve">          "maxItems": 2</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"sessions_per_week": {</w:t>
            </w:r>
          </w:p>
          <w:p>
            <w:pPr>
              <w:spacing w:after="0"/>
            </w:pPr>
            <w:r>
              <w:rPr>
                <w:rFonts w:ascii="Consolas" w:hAnsi="Consolas"/>
                <w:b w:val="0"/>
                <w:i w:val="0"/>
                <w:sz w:val="11"/>
              </w:rPr>
              <w:t xml:space="preserve">          "const": 5</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"course_weeks":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"prefixItems":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"const": 6.0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"const": 8.0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"items": false,</w:t>
            </w:r>
          </w:p>
          <w:p>
            <w:pPr>
              <w:spacing w:after="0"/>
            </w:pPr>
            <w:r>
              <w:rPr>
                <w:rFonts w:ascii="Consolas" w:hAnsi="Consolas"/>
                <w:b w:val="0"/>
                <w:i w:val="0"/>
                <w:sz w:val="11"/>
              </w:rPr>
              <w:t xml:space="preserve">          "minItems": 2,</w:t>
            </w:r>
          </w:p>
          <w:p>
            <w:pPr>
              <w:spacing w:after="0"/>
            </w:pPr>
            <w:r>
              <w:rPr>
                <w:rFonts w:ascii="Consolas" w:hAnsi="Consolas"/>
                <w:b w:val="0"/>
                <w:i w:val="0"/>
                <w:sz w:val="11"/>
              </w:rPr>
              <w:t xml:space="preserve">          "maxItems": 2</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"facilityTimePerEpisode":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"value",</w:t>
            </w:r>
          </w:p>
          <w:p>
            <w:pPr>
              <w:spacing w:after="0"/>
            </w:pPr>
            <w:r>
              <w:rPr>
                <w:rFonts w:ascii="Consolas" w:hAnsi="Consolas"/>
                <w:b w:val="0"/>
                <w:i w:val="0"/>
                <w:sz w:val="11"/>
              </w:rPr>
              <w:t xml:space="preserve">        "unit"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"value": {</w:t>
            </w:r>
          </w:p>
          <w:p>
            <w:pPr>
              <w:spacing w:after="0"/>
            </w:pPr>
            <w:r>
              <w:rPr>
                <w:rFonts w:ascii="Consolas" w:hAnsi="Consolas"/>
                <w:b w:val="0"/>
                <w:i w:val="0"/>
                <w:sz w:val="11"/>
              </w:rPr>
              <w:t xml:space="preserve">          "const": 3.0</w:t>
            </w:r>
          </w:p>
          <w:p>
            <w:pPr>
              <w:spacing w:after="0"/>
            </w:pPr>
            <w:r>
              <w:rPr>
                <w:rFonts w:ascii="Consolas" w:hAnsi="Consolas"/>
                <w:b w:val="0"/>
                <w:i w:val="0"/>
                <w:sz w:val="11"/>
              </w:rPr>
              <w:t xml:space="preserve">        },</w:t>
            </w:r>
          </w:p>
          <w:p>
            <w:pPr>
              <w:spacing w:after="0"/>
            </w:pPr>
            <w:r>
              <w:rPr>
                <w:rFonts w:ascii="Consolas" w:hAnsi="Consolas"/>
                <w:b w:val="0"/>
                <w:i w:val="0"/>
                <w:sz w:val="11"/>
              </w:rPr>
              <w:t xml:space="preserve">        "unit": {</w:t>
            </w:r>
          </w:p>
          <w:p>
            <w:pPr>
              <w:spacing w:after="0"/>
            </w:pPr>
            <w:r>
              <w:rPr>
                <w:rFonts w:ascii="Consolas" w:hAnsi="Consolas"/>
                <w:b w:val="0"/>
                <w:i w:val="0"/>
                <w:sz w:val="11"/>
              </w:rPr>
              <w:t xml:space="preserve">          "const": "h"</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"completedQuestionnaireResponse": {</w:t>
            </w:r>
          </w:p>
          <w:p>
            <w:pPr>
              <w:spacing w:after="0"/>
            </w:pPr>
            <w:r>
              <w:rPr>
                <w:rFonts w:ascii="Consolas" w:hAnsi="Consolas"/>
                <w:b w:val="0"/>
                <w:i w:val="0"/>
                <w:sz w:val="11"/>
              </w:rPr>
              <w:t xml:space="preserve">      "$anchor": "completedQuestionnaireResponse",</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"questionnaire_status",</w:t>
            </w:r>
          </w:p>
          <w:p>
            <w:pPr>
              <w:spacing w:after="0"/>
            </w:pPr>
            <w:r>
              <w:rPr>
                <w:rFonts w:ascii="Consolas" w:hAnsi="Consolas"/>
                <w:b w:val="0"/>
                <w:i w:val="0"/>
                <w:sz w:val="11"/>
              </w:rPr>
              <w:t xml:space="preserve">        "response_model_iri",</w:t>
            </w:r>
          </w:p>
          <w:p>
            <w:pPr>
              <w:spacing w:after="0"/>
            </w:pPr>
            <w:r>
              <w:rPr>
                <w:rFonts w:ascii="Consolas" w:hAnsi="Consolas"/>
                <w:b w:val="0"/>
                <w:i w:val="0"/>
                <w:sz w:val="11"/>
              </w:rPr>
              <w:t xml:space="preserve">        "provider_roster_version_iri",</w:t>
            </w:r>
          </w:p>
          <w:p>
            <w:pPr>
              <w:spacing w:after="0"/>
            </w:pPr>
            <w:r>
              <w:rPr>
                <w:rFonts w:ascii="Consolas" w:hAnsi="Consolas"/>
                <w:b w:val="0"/>
                <w:i w:val="0"/>
                <w:sz w:val="11"/>
              </w:rPr>
              <w:t xml:space="preserve">        "response_projection",</w:t>
            </w:r>
          </w:p>
          <w:p>
            <w:pPr>
              <w:spacing w:after="0"/>
            </w:pPr>
            <w:r>
              <w:rPr>
                <w:rFonts w:ascii="Consolas" w:hAnsi="Consolas"/>
                <w:b w:val="0"/>
                <w:i w:val="0"/>
                <w:sz w:val="11"/>
              </w:rPr>
              <w:t xml:space="preserve">        "confirmed"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"questionnaire_status": {</w:t>
            </w:r>
          </w:p>
          <w:p>
            <w:pPr>
              <w:spacing w:after="0"/>
            </w:pPr>
            <w:r>
              <w:rPr>
                <w:rFonts w:ascii="Consolas" w:hAnsi="Consolas"/>
                <w:b w:val="0"/>
                <w:i w:val="0"/>
                <w:sz w:val="11"/>
              </w:rPr>
              <w:t xml:space="preserve">          "const": "completed"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"response_model_iri": {</w:t>
            </w:r>
          </w:p>
          <w:p>
            <w:pPr>
              <w:spacing w:after="0"/>
            </w:pPr>
            <w:r>
              <w:rPr>
                <w:rFonts w:ascii="Consolas" w:hAnsi="Consolas"/>
                <w:b w:val="0"/>
                <w:i w:val="0"/>
                <w:sz w:val="11"/>
              </w:rPr>
              <w:t xml:space="preserve">          "const": "https://kgrid.org/cks/dfu-hbot-burden/response-models/1.0"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"provider_roster_version_iri": {</w:t>
            </w:r>
          </w:p>
          <w:p>
            <w:pPr>
              <w:spacing w:after="0"/>
            </w:pPr>
            <w:r>
              <w:rPr>
                <w:rFonts w:ascii="Consolas" w:hAnsi="Consolas"/>
                <w:b w:val="0"/>
                <w:i w:val="0"/>
                <w:sz w:val="11"/>
              </w:rPr>
              <w:t xml:space="preserve">          "const": "https://kgrid.org/cks/dfu-hbot-burden/provider-rosters/appendix-e/versions/1.0"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"response_projection": {</w:t>
            </w:r>
          </w:p>
          <w:p>
            <w:pPr>
              <w:spacing w:after="0"/>
            </w:pPr>
            <w:r>
              <w:rPr>
                <w:rFonts w:ascii="Consolas" w:hAnsi="Consolas"/>
                <w:b w:val="0"/>
                <w:i w:val="0"/>
                <w:sz w:val="11"/>
              </w:rPr>
              <w:t xml:space="preserve">          "$ref": "#/$defs/responseProjection"</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"confirmed": {</w:t>
            </w:r>
          </w:p>
          <w:p>
            <w:pPr>
              <w:spacing w:after="0"/>
            </w:pPr>
            <w:r>
              <w:rPr>
                <w:rFonts w:ascii="Consolas" w:hAnsi="Consolas"/>
                <w:b w:val="0"/>
                <w:i w:val="0"/>
                <w:sz w:val="11"/>
              </w:rPr>
              <w:t xml:space="preserve">          "const": true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"analysisQuestionnaireResponse": {</w:t>
            </w:r>
          </w:p>
          <w:p>
            <w:pPr>
              <w:spacing w:after="0"/>
            </w:pPr>
            <w:r>
              <w:rPr>
                <w:rFonts w:ascii="Consolas" w:hAnsi="Consolas"/>
                <w:b w:val="0"/>
                <w:i w:val="0"/>
                <w:sz w:val="11"/>
              </w:rPr>
              <w:t xml:space="preserve">      "description": "Analysis-ingress form of the completed response. Structure and all non-roster identity fields remain exact; provider_roster_version_iri is admitted as an absolute HTTPS IRI so Section 9.2 can deterministically classify cross-artifact compatibility at stage 9.",</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"questionnaire_status",</w:t>
            </w:r>
          </w:p>
          <w:p>
            <w:pPr>
              <w:spacing w:after="0"/>
            </w:pPr>
            <w:r>
              <w:rPr>
                <w:rFonts w:ascii="Consolas" w:hAnsi="Consolas"/>
                <w:b w:val="0"/>
                <w:i w:val="0"/>
                <w:sz w:val="11"/>
              </w:rPr>
              <w:t xml:space="preserve">        "response_model_iri",</w:t>
            </w:r>
          </w:p>
          <w:p>
            <w:pPr>
              <w:spacing w:after="0"/>
            </w:pPr>
            <w:r>
              <w:rPr>
                <w:rFonts w:ascii="Consolas" w:hAnsi="Consolas"/>
                <w:b w:val="0"/>
                <w:i w:val="0"/>
                <w:sz w:val="11"/>
              </w:rPr>
              <w:t xml:space="preserve">        "provider_roster_version_iri",</w:t>
            </w:r>
          </w:p>
          <w:p>
            <w:pPr>
              <w:spacing w:after="0"/>
            </w:pPr>
            <w:r>
              <w:rPr>
                <w:rFonts w:ascii="Consolas" w:hAnsi="Consolas"/>
                <w:b w:val="0"/>
                <w:i w:val="0"/>
                <w:sz w:val="11"/>
              </w:rPr>
              <w:t xml:space="preserve">        "response_projection",</w:t>
            </w:r>
          </w:p>
          <w:p>
            <w:pPr>
              <w:spacing w:after="0"/>
            </w:pPr>
            <w:r>
              <w:rPr>
                <w:rFonts w:ascii="Consolas" w:hAnsi="Consolas"/>
                <w:b w:val="0"/>
                <w:i w:val="0"/>
                <w:sz w:val="11"/>
              </w:rPr>
              <w:t xml:space="preserve">        "confirmed"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"questionnaire_status": {</w:t>
            </w:r>
          </w:p>
          <w:p>
            <w:pPr>
              <w:spacing w:after="0"/>
            </w:pPr>
            <w:r>
              <w:rPr>
                <w:rFonts w:ascii="Consolas" w:hAnsi="Consolas"/>
                <w:b w:val="0"/>
                <w:i w:val="0"/>
                <w:sz w:val="11"/>
              </w:rPr>
              <w:t xml:space="preserve">          "const": "completed"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"response_model_iri": {</w:t>
            </w:r>
          </w:p>
          <w:p>
            <w:pPr>
              <w:spacing w:after="0"/>
            </w:pPr>
            <w:r>
              <w:rPr>
                <w:rFonts w:ascii="Consolas" w:hAnsi="Consolas"/>
                <w:b w:val="0"/>
                <w:i w:val="0"/>
                <w:sz w:val="11"/>
              </w:rPr>
              <w:t xml:space="preserve">          "const": "https://kgrid.org/cks/dfu-hbot-burden/response-models/1.0"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"provider_roster_version_iri":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"^https://[^\\s]+$"</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"response_projection": {</w:t>
            </w:r>
          </w:p>
          <w:p>
            <w:pPr>
              <w:spacing w:after="0"/>
            </w:pPr>
            <w:r>
              <w:rPr>
                <w:rFonts w:ascii="Consolas" w:hAnsi="Consolas"/>
                <w:b w:val="0"/>
                <w:i w:val="0"/>
                <w:sz w:val="11"/>
              </w:rPr>
              <w:t xml:space="preserve">          "$ref": "#/$defs/responseProjection"</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"confirmed": {</w:t>
            </w:r>
          </w:p>
          <w:p>
            <w:pPr>
              <w:spacing w:after="0"/>
            </w:pPr>
            <w:r>
              <w:rPr>
                <w:rFonts w:ascii="Consolas" w:hAnsi="Consolas"/>
                <w:b w:val="0"/>
                <w:i w:val="0"/>
                <w:sz w:val="11"/>
              </w:rPr>
              <w:t xml:space="preserve">          "const": true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"responseProjection":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"hyperbaric_oxygen_therapy_location",</w:t>
            </w:r>
          </w:p>
          <w:p>
            <w:pPr>
              <w:spacing w:after="0"/>
            </w:pPr>
            <w:r>
              <w:rPr>
                <w:rFonts w:ascii="Consolas" w:hAnsi="Consolas"/>
                <w:b w:val="0"/>
                <w:i w:val="0"/>
                <w:sz w:val="11"/>
              </w:rPr>
              <w:t xml:space="preserve">        "one_way_miles",</w:t>
            </w:r>
          </w:p>
          <w:p>
            <w:pPr>
              <w:spacing w:after="0"/>
            </w:pPr>
            <w:r>
              <w:rPr>
                <w:rFonts w:ascii="Consolas" w:hAnsi="Consolas"/>
                <w:b w:val="0"/>
                <w:i w:val="0"/>
                <w:sz w:val="11"/>
              </w:rPr>
              <w:t xml:space="preserve">        "one_way_travel_minutes",</w:t>
            </w:r>
          </w:p>
          <w:p>
            <w:pPr>
              <w:spacing w:after="0"/>
            </w:pPr>
            <w:r>
              <w:rPr>
                <w:rFonts w:ascii="Consolas" w:hAnsi="Consolas"/>
                <w:b w:val="0"/>
                <w:i w:val="0"/>
                <w:sz w:val="11"/>
              </w:rPr>
              <w:t xml:space="preserve">        "weekday_attendance_difficulty"</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"hyperbaric_oxygen_therapy_location":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"^https://kgrid\\.org/cks/dfu-hbot-burden/providers/e-(00[1-9]|0[1-9][0-9]|1[0-3][0-9]|14[01])$"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"one_way_miles":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"maximum": 1000</w:t>
            </w:r>
          </w:p>
          <w:p>
            <w:pPr>
              <w:spacing w:after="0"/>
            </w:pPr>
            <w:r>
              <w:rPr>
                <w:rFonts w:ascii="Consolas" w:hAnsi="Consolas"/>
                <w:b w:val="0"/>
                <w:i w:val="0"/>
                <w:sz w:val="11"/>
              </w:rPr>
              <w:t xml:space="preserve">        },</w:t>
            </w:r>
          </w:p>
          <w:p>
            <w:pPr>
              <w:spacing w:after="0"/>
            </w:pPr>
            <w:r>
              <w:rPr>
                <w:rFonts w:ascii="Consolas" w:hAnsi="Consolas"/>
                <w:b w:val="0"/>
                <w:i w:val="0"/>
                <w:sz w:val="11"/>
              </w:rPr>
              <w:t xml:space="preserve">        "one_way_travel_minutes":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"maximum": 1440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"weekday_attendance_difficulty":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"none",</w:t>
            </w:r>
          </w:p>
          <w:p>
            <w:pPr>
              <w:spacing w:after="0"/>
            </w:pPr>
            <w:r>
              <w:rPr>
                <w:rFonts w:ascii="Consolas" w:hAnsi="Consolas"/>
                <w:b w:val="0"/>
                <w:i w:val="0"/>
                <w:sz w:val="11"/>
              </w:rPr>
              <w:t xml:space="preserve">            "some",</w:t>
            </w:r>
          </w:p>
          <w:p>
            <w:pPr>
              <w:spacing w:after="0"/>
            </w:pPr>
            <w:r>
              <w:rPr>
                <w:rFonts w:ascii="Consolas" w:hAnsi="Consolas"/>
                <w:b w:val="0"/>
                <w:i w:val="0"/>
                <w:sz w:val="11"/>
              </w:rPr>
              <w:t xml:space="preserve">            "major"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"description": "Subjective ordinal report of anticipated non-travel difficulty attending the scheduled HBOT course at the confirmed location, using the Q04 anchors in Section 4.2."</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"analysisRequest": {</w:t>
            </w:r>
          </w:p>
          <w:p>
            <w:pPr>
              <w:spacing w:after="0"/>
            </w:pPr>
            <w:r>
              <w:rPr>
                <w:rFonts w:ascii="Consolas" w:hAnsi="Consolas"/>
                <w:b w:val="0"/>
                <w:i w:val="0"/>
                <w:sz w:val="11"/>
              </w:rPr>
              <w:t xml:space="preserve">      "$anchor": "analysisRequest",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"request_type",</w:t>
            </w:r>
          </w:p>
          <w:p>
            <w:pPr>
              <w:spacing w:after="0"/>
            </w:pPr>
            <w:r>
              <w:rPr>
                <w:rFonts w:ascii="Consolas" w:hAnsi="Consolas"/>
                <w:b w:val="0"/>
                <w:i w:val="0"/>
                <w:sz w:val="11"/>
              </w:rPr>
              <w:t xml:space="preserve">        "provider_roster_version_iri",</w:t>
            </w:r>
          </w:p>
          <w:p>
            <w:pPr>
              <w:spacing w:after="0"/>
            </w:pPr>
            <w:r>
              <w:rPr>
                <w:rFonts w:ascii="Consolas" w:hAnsi="Consolas"/>
                <w:b w:val="0"/>
                <w:i w:val="0"/>
                <w:sz w:val="11"/>
              </w:rPr>
              <w:t xml:space="preserve">        "questionnaire_response",</w:t>
            </w:r>
          </w:p>
          <w:p>
            <w:pPr>
              <w:spacing w:after="0"/>
            </w:pPr>
            <w:r>
              <w:rPr>
                <w:rFonts w:ascii="Consolas" w:hAnsi="Consolas"/>
                <w:b w:val="0"/>
                <w:i w:val="0"/>
                <w:sz w:val="11"/>
              </w:rPr>
              <w:t xml:space="preserve">        "fixed_regimen_range_response"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"request_type": {</w:t>
            </w:r>
          </w:p>
          <w:p>
            <w:pPr>
              <w:spacing w:after="0"/>
            </w:pPr>
            <w:r>
              <w:rPr>
                <w:rFonts w:ascii="Consolas" w:hAnsi="Consolas"/>
                <w:b w:val="0"/>
                <w:i w:val="0"/>
                <w:sz w:val="11"/>
              </w:rPr>
              <w:t xml:space="preserve">          "const": "calculate_burden_range"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"provider_roster_version_iri": {</w:t>
            </w:r>
          </w:p>
          <w:p>
            <w:pPr>
              <w:spacing w:after="0"/>
            </w:pPr>
            <w:r>
              <w:rPr>
                <w:rFonts w:ascii="Consolas" w:hAnsi="Consolas"/>
                <w:b w:val="0"/>
                <w:i w:val="0"/>
                <w:sz w:val="11"/>
              </w:rPr>
              <w:t xml:space="preserve">          "const": "https://kgrid.org/cks/dfu-hbot-burden/provider-rosters/appendix-e/versions/1.0"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"questionnaire_response": {</w:t>
            </w:r>
          </w:p>
          <w:p>
            <w:pPr>
              <w:spacing w:after="0"/>
            </w:pPr>
            <w:r>
              <w:rPr>
                <w:rFonts w:ascii="Consolas" w:hAnsi="Consolas"/>
                <w:b w:val="0"/>
                <w:i w:val="0"/>
                <w:sz w:val="11"/>
              </w:rPr>
              <w:t xml:space="preserve">          "$ref": "#/$defs/analysisQuestionnaireResponse"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"fixed_regimen_range_response": {</w:t>
            </w:r>
          </w:p>
          <w:p>
            <w:pPr>
              <w:spacing w:after="0"/>
            </w:pPr>
            <w:r>
              <w:rPr>
                <w:rFonts w:ascii="Consolas" w:hAnsi="Consolas"/>
                <w:b w:val="0"/>
                <w:i w:val="0"/>
                <w:sz w:val="11"/>
              </w:rPr>
              <w:t xml:space="preserve">          "$ref": "#/$defs/fixedRegimenRangeResponse"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"hyperbaricOxygenTherapyLocationRecord": {</w:t>
            </w:r>
          </w:p>
          <w:p>
            <w:pPr>
              <w:spacing w:after="0"/>
            </w:pPr>
            <w:r>
              <w:rPr>
                <w:rFonts w:ascii="Consolas" w:hAnsi="Consolas"/>
                <w:b w:val="0"/>
                <w:i w:val="0"/>
                <w:sz w:val="11"/>
              </w:rPr>
              <w:t xml:space="preserve">      "$anchor": "hyperbaricOxygenTherapyLocationRecord",</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"roster_version_iri",</w:t>
            </w:r>
          </w:p>
          <w:p>
            <w:pPr>
              <w:spacing w:after="0"/>
            </w:pPr>
            <w:r>
              <w:rPr>
                <w:rFonts w:ascii="Consolas" w:hAnsi="Consolas"/>
                <w:b w:val="0"/>
                <w:i w:val="0"/>
                <w:sz w:val="11"/>
              </w:rPr>
              <w:t xml:space="preserve">        "roster_record_iri",</w:t>
            </w:r>
          </w:p>
          <w:p>
            <w:pPr>
              <w:spacing w:after="0"/>
            </w:pPr>
            <w:r>
              <w:rPr>
                <w:rFonts w:ascii="Consolas" w:hAnsi="Consolas"/>
                <w:b w:val="0"/>
                <w:i w:val="0"/>
                <w:sz w:val="11"/>
              </w:rPr>
              <w:t xml:space="preserve">        "provider_iri",</w:t>
            </w:r>
          </w:p>
          <w:p>
            <w:pPr>
              <w:spacing w:after="0"/>
            </w:pPr>
            <w:r>
              <w:rPr>
                <w:rFonts w:ascii="Consolas" w:hAnsi="Consolas"/>
                <w:b w:val="0"/>
                <w:i w:val="0"/>
                <w:sz w:val="11"/>
              </w:rPr>
              <w:t xml:space="preserve">        "compact_id",</w:t>
            </w:r>
          </w:p>
          <w:p>
            <w:pPr>
              <w:spacing w:after="0"/>
            </w:pPr>
            <w:r>
              <w:rPr>
                <w:rFonts w:ascii="Consolas" w:hAnsi="Consolas"/>
                <w:b w:val="0"/>
                <w:i w:val="0"/>
                <w:sz w:val="11"/>
              </w:rPr>
              <w:t xml:space="preserve">        "record_status",</w:t>
            </w:r>
          </w:p>
          <w:p>
            <w:pPr>
              <w:spacing w:after="0"/>
            </w:pPr>
            <w:r>
              <w:rPr>
                <w:rFonts w:ascii="Consolas" w:hAnsi="Consolas"/>
                <w:b w:val="0"/>
                <w:i w:val="0"/>
                <w:sz w:val="11"/>
              </w:rPr>
              <w:t xml:space="preserve">        "selectable",</w:t>
            </w:r>
          </w:p>
          <w:p>
            <w:pPr>
              <w:spacing w:after="0"/>
            </w:pPr>
            <w:r>
              <w:rPr>
                <w:rFonts w:ascii="Consolas" w:hAnsi="Consolas"/>
                <w:b w:val="0"/>
                <w:i w:val="0"/>
                <w:sz w:val="11"/>
              </w:rPr>
              <w:t xml:space="preserve">        "successor_provider_iris",</w:t>
            </w:r>
          </w:p>
          <w:p>
            <w:pPr>
              <w:spacing w:after="0"/>
            </w:pPr>
            <w:r>
              <w:rPr>
                <w:rFonts w:ascii="Consolas" w:hAnsi="Consolas"/>
                <w:b w:val="0"/>
                <w:i w:val="0"/>
                <w:sz w:val="11"/>
              </w:rPr>
              <w:t xml:space="preserve">        "address_verification_required",</w:t>
            </w:r>
          </w:p>
          <w:p>
            <w:pPr>
              <w:spacing w:after="0"/>
            </w:pPr>
            <w:r>
              <w:rPr>
                <w:rFonts w:ascii="Consolas" w:hAnsi="Consolas"/>
                <w:b w:val="0"/>
                <w:i w:val="0"/>
                <w:sz w:val="11"/>
              </w:rPr>
              <w:t xml:space="preserve">        "facility_listing",</w:t>
            </w:r>
          </w:p>
          <w:p>
            <w:pPr>
              <w:spacing w:after="0"/>
            </w:pPr>
            <w:r>
              <w:rPr>
                <w:rFonts w:ascii="Consolas" w:hAnsi="Consolas"/>
                <w:b w:val="0"/>
                <w:i w:val="0"/>
                <w:sz w:val="11"/>
              </w:rPr>
              <w:t xml:space="preserve">        "jurisdiction",</w:t>
            </w:r>
          </w:p>
          <w:p>
            <w:pPr>
              <w:spacing w:after="0"/>
            </w:pPr>
            <w:r>
              <w:rPr>
                <w:rFonts w:ascii="Consolas" w:hAnsi="Consolas"/>
                <w:b w:val="0"/>
                <w:i w:val="0"/>
                <w:sz w:val="11"/>
              </w:rPr>
              <w:t xml:space="preserve">        "normalized_address_candidate",</w:t>
            </w:r>
          </w:p>
          <w:p>
            <w:pPr>
              <w:spacing w:after="0"/>
            </w:pPr>
            <w:r>
              <w:rPr>
                <w:rFonts w:ascii="Consolas" w:hAnsi="Consolas"/>
                <w:b w:val="0"/>
                <w:i w:val="0"/>
                <w:sz w:val="11"/>
              </w:rPr>
              <w:t xml:space="preserve">        "address_status",</w:t>
            </w:r>
          </w:p>
          <w:p>
            <w:pPr>
              <w:spacing w:after="0"/>
            </w:pPr>
            <w:r>
              <w:rPr>
                <w:rFonts w:ascii="Consolas" w:hAnsi="Consolas"/>
                <w:b w:val="0"/>
                <w:i w:val="0"/>
                <w:sz w:val="11"/>
              </w:rPr>
              <w:t xml:space="preserve">        "uhms_distinction",</w:t>
            </w:r>
          </w:p>
          <w:p>
            <w:pPr>
              <w:spacing w:after="0"/>
            </w:pPr>
            <w:r>
              <w:rPr>
                <w:rFonts w:ascii="Consolas" w:hAnsi="Consolas"/>
                <w:b w:val="0"/>
                <w:i w:val="0"/>
                <w:sz w:val="11"/>
              </w:rPr>
              <w:t xml:space="preserve">        "joint_commission_mark",</w:t>
            </w:r>
          </w:p>
          <w:p>
            <w:pPr>
              <w:spacing w:after="0"/>
            </w:pPr>
            <w:r>
              <w:rPr>
                <w:rFonts w:ascii="Consolas" w:hAnsi="Consolas"/>
                <w:b w:val="0"/>
                <w:i w:val="0"/>
                <w:sz w:val="11"/>
              </w:rPr>
              <w:t xml:space="preserve">        "address_source"</w:t>
            </w:r>
          </w:p>
          <w:p>
            <w:pPr>
              <w:spacing w:after="0"/>
            </w:pPr>
            <w:r>
              <w:rPr>
                <w:rFonts w:ascii="Consolas" w:hAnsi="Consolas"/>
                <w:b w:val="0"/>
                <w:i w:val="0"/>
                <w:sz w:val="11"/>
              </w:rPr>
              <w:t xml:space="preserve">      ],</w:t>
            </w:r>
          </w:p>
          <w:p>
            <w:pPr>
              <w:spacing w:after="0"/>
            </w:pPr>
            <w:r>
              <w:rPr>
                <w:rFonts w:ascii="Consolas" w:hAnsi="Consolas"/>
                <w:b w:val="0"/>
                <w:i w:val="0"/>
                <w:sz w:val="11"/>
              </w:rPr>
              <w:t xml:space="preserve">      "allOf":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"record_status": {</w:t>
            </w:r>
          </w:p>
          <w:p>
            <w:pPr>
              <w:spacing w:after="0"/>
            </w:pPr>
            <w:r>
              <w:rPr>
                <w:rFonts w:ascii="Consolas" w:hAnsi="Consolas"/>
                <w:b w:val="0"/>
                <w:i w:val="0"/>
                <w:sz w:val="11"/>
              </w:rPr>
              <w:t xml:space="preserve">                "const": "listed"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"record_status"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"successor_provider_iris": {</w:t>
            </w:r>
          </w:p>
          <w:p>
            <w:pPr>
              <w:spacing w:after="0"/>
            </w:pPr>
            <w:r>
              <w:rPr>
                <w:rFonts w:ascii="Consolas" w:hAnsi="Consolas"/>
                <w:b w:val="0"/>
                <w:i w:val="0"/>
                <w:sz w:val="11"/>
              </w:rPr>
              <w:t xml:space="preserve">                "maxItems":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"record_status":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"retired",</w:t>
            </w:r>
          </w:p>
          <w:p>
            <w:pPr>
              <w:spacing w:after="0"/>
            </w:pPr>
            <w:r>
              <w:rPr>
                <w:rFonts w:ascii="Consolas" w:hAnsi="Consolas"/>
                <w:b w:val="0"/>
                <w:i w:val="0"/>
                <w:sz w:val="11"/>
              </w:rPr>
              <w:t xml:space="preserve">                  "superseded",</w:t>
            </w:r>
          </w:p>
          <w:p>
            <w:pPr>
              <w:spacing w:after="0"/>
            </w:pPr>
            <w:r>
              <w:rPr>
                <w:rFonts w:ascii="Consolas" w:hAnsi="Consolas"/>
                <w:b w:val="0"/>
                <w:i w:val="0"/>
                <w:sz w:val="11"/>
              </w:rPr>
              <w:t xml:space="preserve">                  "unresolved"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"record_status"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"selectable": {</w:t>
            </w:r>
          </w:p>
          <w:p>
            <w:pPr>
              <w:spacing w:after="0"/>
            </w:pPr>
            <w:r>
              <w:rPr>
                <w:rFonts w:ascii="Consolas" w:hAnsi="Consolas"/>
                <w:b w:val="0"/>
                <w:i w:val="0"/>
                <w:sz w:val="11"/>
              </w:rPr>
              <w:t xml:space="preserve">                "const": false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"address_status":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"incomplete",</w:t>
            </w:r>
          </w:p>
          <w:p>
            <w:pPr>
              <w:spacing w:after="0"/>
            </w:pPr>
            <w:r>
              <w:rPr>
                <w:rFonts w:ascii="Consolas" w:hAnsi="Consolas"/>
                <w:b w:val="0"/>
                <w:i w:val="0"/>
                <w:sz w:val="11"/>
              </w:rPr>
              <w:t xml:space="preserve">                  "unavailable"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"address_status"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"selectable": {</w:t>
            </w:r>
          </w:p>
          <w:p>
            <w:pPr>
              <w:spacing w:after="0"/>
            </w:pPr>
            <w:r>
              <w:rPr>
                <w:rFonts w:ascii="Consolas" w:hAnsi="Consolas"/>
                <w:b w:val="0"/>
                <w:i w:val="0"/>
                <w:sz w:val="11"/>
              </w:rPr>
              <w:t xml:space="preserve">                "const": false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"address_verification_required": {</w:t>
            </w:r>
          </w:p>
          <w:p>
            <w:pPr>
              <w:spacing w:after="0"/>
            </w:pPr>
            <w:r>
              <w:rPr>
                <w:rFonts w:ascii="Consolas" w:hAnsi="Consolas"/>
                <w:b w:val="0"/>
                <w:i w:val="0"/>
                <w:sz w:val="11"/>
              </w:rPr>
              <w:t xml:space="preserve">                "const": true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"address_verification_required"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"selectable": {</w:t>
            </w:r>
          </w:p>
          <w:p>
            <w:pPr>
              <w:spacing w:after="0"/>
            </w:pPr>
            <w:r>
              <w:rPr>
                <w:rFonts w:ascii="Consolas" w:hAnsi="Consolas"/>
                <w:b w:val="0"/>
                <w:i w:val="0"/>
                <w:sz w:val="11"/>
              </w:rPr>
              <w:t xml:space="preserve">                "const": false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"selectable": {</w:t>
            </w:r>
          </w:p>
          <w:p>
            <w:pPr>
              <w:spacing w:after="0"/>
            </w:pPr>
            <w:r>
              <w:rPr>
                <w:rFonts w:ascii="Consolas" w:hAnsi="Consolas"/>
                <w:b w:val="0"/>
                <w:i w:val="0"/>
                <w:sz w:val="11"/>
              </w:rPr>
              <w:t xml:space="preserve">                "const": true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"selectable"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"record_status": {</w:t>
            </w:r>
          </w:p>
          <w:p>
            <w:pPr>
              <w:spacing w:after="0"/>
            </w:pPr>
            <w:r>
              <w:rPr>
                <w:rFonts w:ascii="Consolas" w:hAnsi="Consolas"/>
                <w:b w:val="0"/>
                <w:i w:val="0"/>
                <w:sz w:val="11"/>
              </w:rPr>
              <w:t xml:space="preserve">                "const": "listed"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"address_status": {</w:t>
            </w:r>
          </w:p>
          <w:p>
            <w:pPr>
              <w:spacing w:after="0"/>
            </w:pPr>
            <w:r>
              <w:rPr>
                <w:rFonts w:ascii="Consolas" w:hAnsi="Consolas"/>
                <w:b w:val="0"/>
                <w:i w:val="0"/>
                <w:sz w:val="11"/>
              </w:rPr>
              <w:t xml:space="preserve">                "const": "candidate"</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"address_verification_required": {</w:t>
            </w:r>
          </w:p>
          <w:p>
            <w:pPr>
              <w:spacing w:after="0"/>
            </w:pPr>
            <w:r>
              <w:rPr>
                <w:rFonts w:ascii="Consolas" w:hAnsi="Consolas"/>
                <w:b w:val="0"/>
                <w:i w:val="0"/>
                <w:sz w:val="11"/>
              </w:rPr>
              <w:t xml:space="preserve">                "const": false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"normalized_address_candidate": {</w:t>
            </w:r>
          </w:p>
          <w:p>
            <w:pPr>
              <w:spacing w:after="0"/>
            </w:pPr>
            <w:r>
              <w:rPr>
                <w:rFonts w:ascii="Consolas" w:hAnsi="Consolas"/>
                <w:b w:val="0"/>
                <w:i w:val="0"/>
                <w:sz w:val="11"/>
              </w:rPr>
              <w:t xml:space="preserve">                "not": {</w:t>
            </w:r>
          </w:p>
          <w:p>
            <w:pPr>
              <w:spacing w:after="0"/>
            </w:pPr>
            <w:r>
              <w:rPr>
                <w:rFonts w:ascii="Consolas" w:hAnsi="Consolas"/>
                <w:b w:val="0"/>
                <w:i w:val="0"/>
                <w:sz w:val="11"/>
              </w:rPr>
              <w:t xml:space="preserve">                  "const": "No matched live-directory address"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"record_status": {</w:t>
            </w:r>
          </w:p>
          <w:p>
            <w:pPr>
              <w:spacing w:after="0"/>
            </w:pPr>
            <w:r>
              <w:rPr>
                <w:rFonts w:ascii="Consolas" w:hAnsi="Consolas"/>
                <w:b w:val="0"/>
                <w:i w:val="0"/>
                <w:sz w:val="11"/>
              </w:rPr>
              <w:t xml:space="preserve">                "const": "listed"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"address_status": {</w:t>
            </w:r>
          </w:p>
          <w:p>
            <w:pPr>
              <w:spacing w:after="0"/>
            </w:pPr>
            <w:r>
              <w:rPr>
                <w:rFonts w:ascii="Consolas" w:hAnsi="Consolas"/>
                <w:b w:val="0"/>
                <w:i w:val="0"/>
                <w:sz w:val="11"/>
              </w:rPr>
              <w:t xml:space="preserve">                "const": "candidate"</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"address_verification_required": {</w:t>
            </w:r>
          </w:p>
          <w:p>
            <w:pPr>
              <w:spacing w:after="0"/>
            </w:pPr>
            <w:r>
              <w:rPr>
                <w:rFonts w:ascii="Consolas" w:hAnsi="Consolas"/>
                <w:b w:val="0"/>
                <w:i w:val="0"/>
                <w:sz w:val="11"/>
              </w:rPr>
              <w:t xml:space="preserve">                "const": false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"record_status",</w:t>
            </w:r>
          </w:p>
          <w:p>
            <w:pPr>
              <w:spacing w:after="0"/>
            </w:pPr>
            <w:r>
              <w:rPr>
                <w:rFonts w:ascii="Consolas" w:hAnsi="Consolas"/>
                <w:b w:val="0"/>
                <w:i w:val="0"/>
                <w:sz w:val="11"/>
              </w:rPr>
              <w:t xml:space="preserve">              "address_status",</w:t>
            </w:r>
          </w:p>
          <w:p>
            <w:pPr>
              <w:spacing w:after="0"/>
            </w:pPr>
            <w:r>
              <w:rPr>
                <w:rFonts w:ascii="Consolas" w:hAnsi="Consolas"/>
                <w:b w:val="0"/>
                <w:i w:val="0"/>
                <w:sz w:val="11"/>
              </w:rPr>
              <w:t xml:space="preserve">              "address_verification_required"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"selectable": {</w:t>
            </w:r>
          </w:p>
          <w:p>
            <w:pPr>
              <w:spacing w:after="0"/>
            </w:pPr>
            <w:r>
              <w:rPr>
                <w:rFonts w:ascii="Consolas" w:hAnsi="Consolas"/>
                <w:b w:val="0"/>
                <w:i w:val="0"/>
                <w:sz w:val="11"/>
              </w:rPr>
              <w:t xml:space="preserve">                "const": true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"address_status": {</w:t>
            </w:r>
          </w:p>
          <w:p>
            <w:pPr>
              <w:spacing w:after="0"/>
            </w:pPr>
            <w:r>
              <w:rPr>
                <w:rFonts w:ascii="Consolas" w:hAnsi="Consolas"/>
                <w:b w:val="0"/>
                <w:i w:val="0"/>
                <w:sz w:val="11"/>
              </w:rPr>
              <w:t xml:space="preserve">                "const": "unavailable"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"address_status"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"normalized_address_candidate": {</w:t>
            </w:r>
          </w:p>
          <w:p>
            <w:pPr>
              <w:spacing w:after="0"/>
            </w:pPr>
            <w:r>
              <w:rPr>
                <w:rFonts w:ascii="Consolas" w:hAnsi="Consolas"/>
                <w:b w:val="0"/>
                <w:i w:val="0"/>
                <w:sz w:val="11"/>
              </w:rPr>
              <w:t xml:space="preserve">                "const": "No matched live-directory address"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"roster_version_iri": {</w:t>
            </w:r>
          </w:p>
          <w:p>
            <w:pPr>
              <w:spacing w:after="0"/>
            </w:pPr>
            <w:r>
              <w:rPr>
                <w:rFonts w:ascii="Consolas" w:hAnsi="Consolas"/>
                <w:b w:val="0"/>
                <w:i w:val="0"/>
                <w:sz w:val="11"/>
              </w:rPr>
              <w:t xml:space="preserve">          "const": "https://kgrid.org/cks/dfu-hbot-burden/provider-rosters/appendix-e/versions/1.0"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"roster_record_iri":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"^https://kgrid\\.org/cks/dfu-hbot-burden/provider-rosters/appendix-e/versions/1\\.0/records/e-(00[1-9]|0[1-9][0-9]|1[0-3][0-9]|14[01])$"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"^https://kgrid\\.org/cks/dfu-hbot-burden/providers/e-(00[1-9]|0[1-9][0-9]|1[0-3][0-9]|14[01])$"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"compact_id":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"^E-(00[1-9]|0[1-9][0-9]|1[0-3][0-9]|14[01])$"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"record_status":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"listed",</w:t>
            </w:r>
          </w:p>
          <w:p>
            <w:pPr>
              <w:spacing w:after="0"/>
            </w:pPr>
            <w:r>
              <w:rPr>
                <w:rFonts w:ascii="Consolas" w:hAnsi="Consolas"/>
                <w:b w:val="0"/>
                <w:i w:val="0"/>
                <w:sz w:val="11"/>
              </w:rPr>
              <w:t xml:space="preserve">            "retired",</w:t>
            </w:r>
          </w:p>
          <w:p>
            <w:pPr>
              <w:spacing w:after="0"/>
            </w:pPr>
            <w:r>
              <w:rPr>
                <w:rFonts w:ascii="Consolas" w:hAnsi="Consolas"/>
                <w:b w:val="0"/>
                <w:i w:val="0"/>
                <w:sz w:val="11"/>
              </w:rPr>
              <w:t xml:space="preserve">            "superseded",</w:t>
            </w:r>
          </w:p>
          <w:p>
            <w:pPr>
              <w:spacing w:after="0"/>
            </w:pPr>
            <w:r>
              <w:rPr>
                <w:rFonts w:ascii="Consolas" w:hAnsi="Consolas"/>
                <w:b w:val="0"/>
                <w:i w:val="0"/>
                <w:sz w:val="11"/>
              </w:rPr>
              <w:t xml:space="preserve">            "unresolved"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"selectable": {</w:t>
            </w:r>
          </w:p>
          <w:p>
            <w:pPr>
              <w:spacing w:after="0"/>
            </w:pPr>
            <w:r>
              <w:rPr>
                <w:rFonts w:ascii="Consolas" w:hAnsi="Consolas"/>
                <w:b w:val="0"/>
                <w:i w:val="0"/>
                <w:sz w:val="11"/>
              </w:rPr>
              <w:t xml:space="preserve">          "type": "boolean"</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"address_verification_required": {</w:t>
            </w:r>
          </w:p>
          <w:p>
            <w:pPr>
              <w:spacing w:after="0"/>
            </w:pPr>
            <w:r>
              <w:rPr>
                <w:rFonts w:ascii="Consolas" w:hAnsi="Consolas"/>
                <w:b w:val="0"/>
                <w:i w:val="0"/>
                <w:sz w:val="11"/>
              </w:rPr>
              <w:t xml:space="preserve">          "type": "boolean"</w:t>
            </w:r>
          </w:p>
          <w:p>
            <w:pPr>
              <w:spacing w:after="0"/>
            </w:pPr>
            <w:r>
              <w:rPr>
                <w:rFonts w:ascii="Consolas" w:hAnsi="Consolas"/>
                <w:b w:val="0"/>
                <w:i w:val="0"/>
                <w:sz w:val="11"/>
              </w:rPr>
              <w:t xml:space="preserve">        },</w:t>
            </w:r>
          </w:p>
          <w:p>
            <w:pPr>
              <w:spacing w:after="0"/>
            </w:pPr>
            <w:r>
              <w:rPr>
                <w:rFonts w:ascii="Consolas" w:hAnsi="Consolas"/>
                <w:b w:val="0"/>
                <w:i w:val="0"/>
                <w:sz w:val="11"/>
              </w:rPr>
              <w:t xml:space="preserve">        "successor_provider_iris":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"uniqueItems": true,</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"^https://kgrid\\.org/cks/dfu-hbot-burden/providers/e-[0-9]{3,}$"</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"facility_listing":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"^(?!\\s)(?!.*\\s$)[^\\u0000-\\u001F\\u007F-\\u009F]+$"</w:t>
            </w:r>
          </w:p>
          <w:p>
            <w:pPr>
              <w:spacing w:after="0"/>
            </w:pPr>
            <w:r>
              <w:rPr>
                <w:rFonts w:ascii="Consolas" w:hAnsi="Consolas"/>
                <w:b w:val="0"/>
                <w:i w:val="0"/>
                <w:sz w:val="11"/>
              </w:rPr>
              <w:t xml:space="preserve">        },</w:t>
            </w:r>
          </w:p>
          <w:p>
            <w:pPr>
              <w:spacing w:after="0"/>
            </w:pPr>
            <w:r>
              <w:rPr>
                <w:rFonts w:ascii="Consolas" w:hAnsi="Consolas"/>
                <w:b w:val="0"/>
                <w:i w:val="0"/>
                <w:sz w:val="11"/>
              </w:rPr>
              <w:t xml:space="preserve">        "jurisdiction":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"^(?!\\s)(?!.*\\s$)[^\\u0000-\\u001F\\u007F-\\u009F]+$"</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"normalized_address_candidate":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"^(?!\\s)(?!.*\\s$)[^\\u0000-\\u001F\\u007F-\\u009F]+$"</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"address_status":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"candidate",</w:t>
            </w:r>
          </w:p>
          <w:p>
            <w:pPr>
              <w:spacing w:after="0"/>
            </w:pPr>
            <w:r>
              <w:rPr>
                <w:rFonts w:ascii="Consolas" w:hAnsi="Consolas"/>
                <w:b w:val="0"/>
                <w:i w:val="0"/>
                <w:sz w:val="11"/>
              </w:rPr>
              <w:t xml:space="preserve">            "incomplete",</w:t>
            </w:r>
          </w:p>
          <w:p>
            <w:pPr>
              <w:spacing w:after="0"/>
            </w:pPr>
            <w:r>
              <w:rPr>
                <w:rFonts w:ascii="Consolas" w:hAnsi="Consolas"/>
                <w:b w:val="0"/>
                <w:i w:val="0"/>
                <w:sz w:val="11"/>
              </w:rPr>
              <w:t xml:space="preserve">            "unavailable"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"uhms_distinction":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"Yes",</w:t>
            </w:r>
          </w:p>
          <w:p>
            <w:pPr>
              <w:spacing w:after="0"/>
            </w:pPr>
            <w:r>
              <w:rPr>
                <w:rFonts w:ascii="Consolas" w:hAnsi="Consolas"/>
                <w:b w:val="0"/>
                <w:i w:val="0"/>
                <w:sz w:val="11"/>
              </w:rPr>
              <w:t xml:space="preserve">            "No"</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"joint_commission_mark":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"Yes",</w:t>
            </w:r>
          </w:p>
          <w:p>
            <w:pPr>
              <w:spacing w:after="0"/>
            </w:pPr>
            <w:r>
              <w:rPr>
                <w:rFonts w:ascii="Consolas" w:hAnsi="Consolas"/>
                <w:b w:val="0"/>
                <w:i w:val="0"/>
                <w:sz w:val="11"/>
              </w:rPr>
              <w:t xml:space="preserve">            "No"</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"address_source": {</w:t>
            </w:r>
          </w:p>
          <w:p>
            <w:pPr>
              <w:spacing w:after="0"/>
            </w:pPr>
            <w:r>
              <w:rPr>
                <w:rFonts w:ascii="Consolas" w:hAnsi="Consolas"/>
                <w:b w:val="0"/>
                <w:i w:val="0"/>
                <w:sz w:val="11"/>
              </w:rPr>
              <w:t xml:space="preserve">          "oneOf":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"const": "Unavailable"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"format": "uri",</w:t>
            </w:r>
          </w:p>
          <w:p>
            <w:pPr>
              <w:spacing w:after="0"/>
            </w:pPr>
            <w:r>
              <w:rPr>
                <w:rFonts w:ascii="Consolas" w:hAnsi="Consolas"/>
                <w:b w:val="0"/>
                <w:i w:val="0"/>
                <w:sz w:val="11"/>
              </w:rPr>
              <w:t xml:space="preserve">              "pattern": "^https://"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"providerRosterSnapshot": {</w:t>
            </w:r>
          </w:p>
          <w:p>
            <w:pPr>
              <w:spacing w:after="0"/>
            </w:pPr>
            <w:r>
              <w:rPr>
                <w:rFonts w:ascii="Consolas" w:hAnsi="Consolas"/>
                <w:b w:val="0"/>
                <w:i w:val="0"/>
                <w:sz w:val="11"/>
              </w:rPr>
              <w:t xml:space="preserve">      "$anchor": "providerRosterSnapshot",</w:t>
            </w:r>
          </w:p>
          <w:p>
            <w:pPr>
              <w:spacing w:after="0"/>
            </w:pPr>
            <w:r>
              <w:rPr>
                <w:rFonts w:ascii="Consolas" w:hAnsi="Consolas"/>
                <w:b w:val="0"/>
                <w:i w:val="0"/>
                <w:sz w:val="11"/>
              </w:rPr>
              <w:t xml:space="preserve">      "title": "Canonical provider-roster snapshot",</w:t>
            </w:r>
          </w:p>
          <w:p>
            <w:pPr>
              <w:spacing w:after="0"/>
            </w:pPr>
            <w:r>
              <w:rPr>
                <w:rFonts w:ascii="Consolas" w:hAnsi="Consolas"/>
                <w:b w:val="0"/>
                <w:i w:val="0"/>
                <w:sz w:val="11"/>
              </w:rPr>
              <w:t xml:space="preserve">      "description": "The complete, closed, versioned JSON value used as the provider-roster dependency for identification, validation, RFC 8785 canonical-content fingerprinting, audit, and reproducible replay. It is not a source document, working file, database representation, selected record, or formatted JSON file's raw bytes.",</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"roster_version_iri",</w:t>
            </w:r>
          </w:p>
          <w:p>
            <w:pPr>
              <w:spacing w:after="0"/>
            </w:pPr>
            <w:r>
              <w:rPr>
                <w:rFonts w:ascii="Consolas" w:hAnsi="Consolas"/>
                <w:b w:val="0"/>
                <w:i w:val="0"/>
                <w:sz w:val="11"/>
              </w:rPr>
              <w:t xml:space="preserve">        "record_count",</w:t>
            </w:r>
          </w:p>
          <w:p>
            <w:pPr>
              <w:spacing w:after="0"/>
            </w:pPr>
            <w:r>
              <w:rPr>
                <w:rFonts w:ascii="Consolas" w:hAnsi="Consolas"/>
                <w:b w:val="0"/>
                <w:i w:val="0"/>
                <w:sz w:val="11"/>
              </w:rPr>
              <w:t xml:space="preserve">        "record_order",</w:t>
            </w:r>
          </w:p>
          <w:p>
            <w:pPr>
              <w:spacing w:after="0"/>
            </w:pPr>
            <w:r>
              <w:rPr>
                <w:rFonts w:ascii="Consolas" w:hAnsi="Consolas"/>
                <w:b w:val="0"/>
                <w:i w:val="0"/>
                <w:sz w:val="11"/>
              </w:rPr>
              <w:t xml:space="preserve">        "records"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"roster_version_iri": {</w:t>
            </w:r>
          </w:p>
          <w:p>
            <w:pPr>
              <w:spacing w:after="0"/>
            </w:pPr>
            <w:r>
              <w:rPr>
                <w:rFonts w:ascii="Consolas" w:hAnsi="Consolas"/>
                <w:b w:val="0"/>
                <w:i w:val="0"/>
                <w:sz w:val="11"/>
              </w:rPr>
              <w:t xml:space="preserve">          "const": "https://kgrid.org/cks/dfu-hbot-burden/provider-rosters/appendix-e/versions/1.0",</w:t>
            </w:r>
          </w:p>
          <w:p>
            <w:pPr>
              <w:spacing w:after="0"/>
            </w:pPr>
            <w:r>
              <w:rPr>
                <w:rFonts w:ascii="Consolas" w:hAnsi="Consolas"/>
                <w:b w:val="0"/>
                <w:i w:val="0"/>
                <w:sz w:val="11"/>
              </w:rPr>
              <w:t xml:space="preserve">          "description": "Exact immutable roster-version IRI represented by this snapshot."</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"record_count": {</w:t>
            </w:r>
          </w:p>
          <w:p>
            <w:pPr>
              <w:spacing w:after="0"/>
            </w:pPr>
            <w:r>
              <w:rPr>
                <w:rFonts w:ascii="Consolas" w:hAnsi="Consolas"/>
                <w:b w:val="0"/>
                <w:i w:val="0"/>
                <w:sz w:val="11"/>
              </w:rPr>
              <w:t xml:space="preserve">          "const": 141,</w:t>
            </w:r>
          </w:p>
          <w:p>
            <w:pPr>
              <w:spacing w:after="0"/>
            </w:pPr>
            <w:r>
              <w:rPr>
                <w:rFonts w:ascii="Consolas" w:hAnsi="Consolas"/>
                <w:b w:val="0"/>
                <w:i w:val="0"/>
                <w:sz w:val="11"/>
              </w:rPr>
              <w:t xml:space="preserve">          "description": "Must equal both 141 and the actual records-array length."</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"record_order": {</w:t>
            </w:r>
          </w:p>
          <w:p>
            <w:pPr>
              <w:spacing w:after="0"/>
            </w:pPr>
            <w:r>
              <w:rPr>
                <w:rFonts w:ascii="Consolas" w:hAnsi="Consolas"/>
                <w:b w:val="0"/>
                <w:i w:val="0"/>
                <w:sz w:val="11"/>
              </w:rPr>
              <w:t xml:space="preserve">          "const": "ascending_compact_id",</w:t>
            </w:r>
          </w:p>
          <w:p>
            <w:pPr>
              <w:spacing w:after="0"/>
            </w:pPr>
            <w:r>
              <w:rPr>
                <w:rFonts w:ascii="Consolas" w:hAnsi="Consolas"/>
                <w:b w:val="0"/>
                <w:i w:val="0"/>
                <w:sz w:val="11"/>
              </w:rPr>
              <w:t xml:space="preserve">          "description": "Records must occur in ascending compact_id order, E-001 through E-141."</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"records": {</w:t>
            </w:r>
          </w:p>
          <w:p>
            <w:pPr>
              <w:spacing w:after="0"/>
            </w:pPr>
            <w:r>
              <w:rPr>
                <w:rFonts w:ascii="Consolas" w:hAnsi="Consolas"/>
                <w:b w:val="0"/>
                <w:i w:val="0"/>
                <w:sz w:val="11"/>
              </w:rPr>
              <w:t xml:space="preserve">          "description": "Every complete roster record exactly once, ordered by ascending compact_id.",</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"minItems": 141,</w:t>
            </w:r>
          </w:p>
          <w:p>
            <w:pPr>
              <w:spacing w:after="0"/>
            </w:pPr>
            <w:r>
              <w:rPr>
                <w:rFonts w:ascii="Consolas" w:hAnsi="Consolas"/>
                <w:b w:val="0"/>
                <w:i w:val="0"/>
                <w:sz w:val="11"/>
              </w:rPr>
              <w:t xml:space="preserve">          "maxItems": 141,</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"$ref": "#/$defs/hyperbaricOxygenTherapyLocationRecord"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"errorObject": {</w:t>
            </w:r>
          </w:p>
          <w:p>
            <w:pPr>
              <w:spacing w:after="0"/>
            </w:pPr>
            <w:r>
              <w:rPr>
                <w:rFonts w:ascii="Consolas" w:hAnsi="Consolas"/>
                <w:b w:val="0"/>
                <w:i w:val="0"/>
                <w:sz w:val="11"/>
              </w:rPr>
              <w:t xml:space="preserve">      "$anchor": "errorObject",</w:t>
            </w:r>
          </w:p>
          <w:p>
            <w:pPr>
              <w:spacing w:after="0"/>
            </w:pPr>
            <w:r>
              <w:rPr>
                <w:rFonts w:ascii="Consolas" w:hAnsi="Consolas"/>
                <w:b w:val="0"/>
                <w:i w:val="0"/>
                <w:sz w:val="11"/>
              </w:rPr>
              <w:t xml:space="preserve">      "oneOf":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"#/$defs/error02"</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"#/$defs/error03"</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"#/$defs/error04"</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"#/$defs/error05"</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"#/$defs/error06"</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"#/$defs/error07"</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"#/$defs/error08"</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"#/$defs/error09"</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"error01": {</w:t>
            </w:r>
          </w:p>
          <w:p>
            <w:pPr>
              <w:spacing w:after="0"/>
            </w:pPr>
            <w:r>
              <w:rPr>
                <w:rFonts w:ascii="Consolas" w:hAnsi="Consolas"/>
                <w:b w:val="0"/>
                <w:i w:val="0"/>
                <w:sz w:val="11"/>
              </w:rPr>
              <w:t xml:space="preserve">      "$ref": "#/$defs/error01Object"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"error02": {</w:t>
            </w:r>
          </w:p>
          <w:p>
            <w:pPr>
              <w:spacing w:after="0"/>
            </w:pPr>
            <w:r>
              <w:rPr>
                <w:rFonts w:ascii="Consolas" w:hAnsi="Consolas"/>
                <w:b w:val="0"/>
                <w:i w:val="0"/>
                <w:sz w:val="11"/>
              </w:rPr>
              <w:t xml:space="preserve">      "$ref": "#/$defs/error02Object"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"error03": {</w:t>
            </w:r>
          </w:p>
          <w:p>
            <w:pPr>
              <w:spacing w:after="0"/>
            </w:pPr>
            <w:r>
              <w:rPr>
                <w:rFonts w:ascii="Consolas" w:hAnsi="Consolas"/>
                <w:b w:val="0"/>
                <w:i w:val="0"/>
                <w:sz w:val="11"/>
              </w:rPr>
              <w:t xml:space="preserve">      "$ref": "#/$defs/error03Object"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"error04": {</w:t>
            </w:r>
          </w:p>
          <w:p>
            <w:pPr>
              <w:spacing w:after="0"/>
            </w:pPr>
            <w:r>
              <w:rPr>
                <w:rFonts w:ascii="Consolas" w:hAnsi="Consolas"/>
                <w:b w:val="0"/>
                <w:i w:val="0"/>
                <w:sz w:val="11"/>
              </w:rPr>
              <w:t xml:space="preserve">      "$ref": "#/$defs/error04Object"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"error05": {</w:t>
            </w:r>
          </w:p>
          <w:p>
            <w:pPr>
              <w:spacing w:after="0"/>
            </w:pPr>
            <w:r>
              <w:rPr>
                <w:rFonts w:ascii="Consolas" w:hAnsi="Consolas"/>
                <w:b w:val="0"/>
                <w:i w:val="0"/>
                <w:sz w:val="11"/>
              </w:rPr>
              <w:t xml:space="preserve">      "$ref": "#/$defs/error05Object"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"error06": {</w:t>
            </w:r>
          </w:p>
          <w:p>
            <w:pPr>
              <w:spacing w:after="0"/>
            </w:pPr>
            <w:r>
              <w:rPr>
                <w:rFonts w:ascii="Consolas" w:hAnsi="Consolas"/>
                <w:b w:val="0"/>
                <w:i w:val="0"/>
                <w:sz w:val="11"/>
              </w:rPr>
              <w:t xml:space="preserve">      "$ref": "#/$defs/error06Object"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"error07": {</w:t>
            </w:r>
          </w:p>
          <w:p>
            <w:pPr>
              <w:spacing w:after="0"/>
            </w:pPr>
            <w:r>
              <w:rPr>
                <w:rFonts w:ascii="Consolas" w:hAnsi="Consolas"/>
                <w:b w:val="0"/>
                <w:i w:val="0"/>
                <w:sz w:val="11"/>
              </w:rPr>
              <w:t xml:space="preserve">      "$ref": "#/$defs/error07Object"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"error08": {</w:t>
            </w:r>
          </w:p>
          <w:p>
            <w:pPr>
              <w:spacing w:after="0"/>
            </w:pPr>
            <w:r>
              <w:rPr>
                <w:rFonts w:ascii="Consolas" w:hAnsi="Consolas"/>
                <w:b w:val="0"/>
                <w:i w:val="0"/>
                <w:sz w:val="11"/>
              </w:rPr>
              <w:t xml:space="preserve">      "$ref": "#/$defs/error08Object"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"error09": {</w:t>
            </w:r>
          </w:p>
          <w:p>
            <w:pPr>
              <w:spacing w:after="0"/>
            </w:pPr>
            <w:r>
              <w:rPr>
                <w:rFonts w:ascii="Consolas" w:hAnsi="Consolas"/>
                <w:b w:val="0"/>
                <w:i w:val="0"/>
                <w:sz w:val="11"/>
              </w:rPr>
              <w:t xml:space="preserve">      "$ref": "#/$defs/error09Object"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"error10": {</w:t>
            </w:r>
          </w:p>
          <w:p>
            <w:pPr>
              <w:spacing w:after="0"/>
            </w:pPr>
            <w:r>
              <w:rPr>
                <w:rFonts w:ascii="Consolas" w:hAnsi="Consolas"/>
                <w:b w:val="0"/>
                <w:i w:val="0"/>
                <w:sz w:val="11"/>
              </w:rPr>
              <w:t xml:space="preserve">      "$ref": "#/$defs/error10Object"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"error01Object":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"Input object is required."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"error02Object":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"ERR-02"</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"Top-level input must be an 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"error03Object":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"ERR-03"</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"Input has an invalid data type."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"error04Object":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"ERR-04"</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"Unexpected input property is not permitted."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"error05Object":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"ERR-05"</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"Input artifact identity, status, or version is invalid."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"error06Object":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"ERR-06"</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"Duplicate property name is not permitted."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"error07Object":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"ERR-07"</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"Required input is missing."</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"error08Object":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"ERR-08"</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"Required input must not be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"error09Object":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"ERR-09"</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"Input value is outside the closed value set or constraint."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"error10Object":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"error_field",</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"ERR-10"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"error_field": {</w:t>
            </w:r>
          </w:p>
          <w:p>
            <w:pPr>
              <w:spacing w:after="0"/>
            </w:pPr>
            <w:r>
              <w:rPr>
                <w:rFonts w:ascii="Consolas" w:hAnsi="Consolas"/>
                <w:b w:val="0"/>
                <w:i w:val="0"/>
                <w:sz w:val="11"/>
              </w:rPr>
              <w:t xml:space="preserve">          "const": "provider_roster_dependency"</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"Required provider roster is unavailable or invalid."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"numberRange":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w:t>
            </w:r>
          </w:p>
          <w:p>
            <w:pPr>
              <w:spacing w:after="0"/>
            </w:pPr>
            <w:r>
              <w:rPr>
                <w:rFonts w:ascii="Consolas" w:hAnsi="Consolas"/>
                <w:b w:val="0"/>
                <w:i w:val="0"/>
                <w:sz w:val="11"/>
              </w:rPr>
              <w:t xml:space="preserve">      "minItems": 2,</w:t>
            </w:r>
          </w:p>
          <w:p>
            <w:pPr>
              <w:spacing w:after="0"/>
            </w:pPr>
            <w:r>
              <w:rPr>
                <w:rFonts w:ascii="Consolas" w:hAnsi="Consolas"/>
                <w:b w:val="0"/>
                <w:i w:val="0"/>
                <w:sz w:val="11"/>
              </w:rPr>
              <w:t xml:space="preserve">      "maxItems": 2</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"integerRange":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"type": "integer"</w:t>
            </w:r>
          </w:p>
          <w:p>
            <w:pPr>
              <w:spacing w:after="0"/>
            </w:pPr>
            <w:r>
              <w:rPr>
                <w:rFonts w:ascii="Consolas" w:hAnsi="Consolas"/>
                <w:b w:val="0"/>
                <w:i w:val="0"/>
                <w:sz w:val="11"/>
              </w:rPr>
              <w:t xml:space="preserve">      },</w:t>
            </w:r>
          </w:p>
          <w:p>
            <w:pPr>
              <w:spacing w:after="0"/>
            </w:pPr>
            <w:r>
              <w:rPr>
                <w:rFonts w:ascii="Consolas" w:hAnsi="Consolas"/>
                <w:b w:val="0"/>
                <w:i w:val="0"/>
                <w:sz w:val="11"/>
              </w:rPr>
              <w:t xml:space="preserve">      "minItems": 2,</w:t>
            </w:r>
          </w:p>
          <w:p>
            <w:pPr>
              <w:spacing w:after="0"/>
            </w:pPr>
            <w:r>
              <w:rPr>
                <w:rFonts w:ascii="Consolas" w:hAnsi="Consolas"/>
                <w:b w:val="0"/>
                <w:i w:val="0"/>
                <w:sz w:val="11"/>
              </w:rPr>
              <w:t xml:space="preserve">      "maxItems": 2</w:t>
            </w:r>
          </w:p>
          <w:p>
            <w:pPr>
              <w:spacing w:after="0"/>
            </w:pPr>
            <w:r>
              <w:rPr>
                <w:rFonts w:ascii="Consolas" w:hAnsi="Consolas"/>
                <w:b w:val="0"/>
                <w:i w:val="0"/>
                <w:sz w:val="11"/>
              </w:rPr>
              <w:t xml:space="preserve">    },</w:t>
            </w:r>
          </w:p>
          <w:p>
            <w:pPr>
              <w:spacing w:after="0"/>
            </w:pPr>
            <w:r>
              <w:rPr>
                <w:rFonts w:ascii="Consolas" w:hAnsi="Consolas"/>
                <w:b w:val="0"/>
                <w:i w:val="0"/>
                <w:sz w:val="11"/>
              </w:rPr>
              <w:t xml:space="preserve">    "scenarioBurden": {</w:t>
            </w:r>
          </w:p>
          <w:p>
            <w:pPr>
              <w:spacing w:after="0"/>
            </w:pPr>
            <w:r>
              <w:rPr>
                <w:rFonts w:ascii="Consolas" w:hAnsi="Consolas"/>
                <w:b w:val="0"/>
                <w:i w:val="0"/>
                <w:sz w:val="11"/>
              </w:rPr>
              <w:t xml:space="preserve">      "description": "Presentation-ready scenario values. Shorter-scenario travel, total, and distance use Section 6.3 lower_endpoint serialization; longer-scenario values use upper_endpoint serialization. Facility hours are exact.",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"episodes",</w:t>
            </w:r>
          </w:p>
          <w:p>
            <w:pPr>
              <w:spacing w:after="0"/>
            </w:pPr>
            <w:r>
              <w:rPr>
                <w:rFonts w:ascii="Consolas" w:hAnsi="Consolas"/>
                <w:b w:val="0"/>
                <w:i w:val="0"/>
                <w:sz w:val="11"/>
              </w:rPr>
              <w:t xml:space="preserve">        "course_weeks",</w:t>
            </w:r>
          </w:p>
          <w:p>
            <w:pPr>
              <w:spacing w:after="0"/>
            </w:pPr>
            <w:r>
              <w:rPr>
                <w:rFonts w:ascii="Consolas" w:hAnsi="Consolas"/>
                <w:b w:val="0"/>
                <w:i w:val="0"/>
                <w:sz w:val="11"/>
              </w:rPr>
              <w:t xml:space="preserve">        "travel_hours",</w:t>
            </w:r>
          </w:p>
          <w:p>
            <w:pPr>
              <w:spacing w:after="0"/>
            </w:pPr>
            <w:r>
              <w:rPr>
                <w:rFonts w:ascii="Consolas" w:hAnsi="Consolas"/>
                <w:b w:val="0"/>
                <w:i w:val="0"/>
                <w:sz w:val="11"/>
              </w:rPr>
              <w:t xml:space="preserve">        "facility_hours",</w:t>
            </w:r>
          </w:p>
          <w:p>
            <w:pPr>
              <w:spacing w:after="0"/>
            </w:pPr>
            <w:r>
              <w:rPr>
                <w:rFonts w:ascii="Consolas" w:hAnsi="Consolas"/>
                <w:b w:val="0"/>
                <w:i w:val="0"/>
                <w:sz w:val="11"/>
              </w:rPr>
              <w:t xml:space="preserve">        "total_patient_hours",</w:t>
            </w:r>
          </w:p>
          <w:p>
            <w:pPr>
              <w:spacing w:after="0"/>
            </w:pPr>
            <w:r>
              <w:rPr>
                <w:rFonts w:ascii="Consolas" w:hAnsi="Consolas"/>
                <w:b w:val="0"/>
                <w:i w:val="0"/>
                <w:sz w:val="11"/>
              </w:rPr>
              <w:t xml:space="preserve">        "course_miles"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"episodes": {</w:t>
            </w:r>
          </w:p>
          <w:p>
            <w:pPr>
              <w:spacing w:after="0"/>
            </w:pPr>
            <w:r>
              <w:rPr>
                <w:rFonts w:ascii="Consolas" w:hAnsi="Consolas"/>
                <w:b w:val="0"/>
                <w:i w:val="0"/>
                <w:sz w:val="11"/>
              </w:rPr>
              <w:t xml:space="preserve">          "type": "integer",</w:t>
            </w:r>
          </w:p>
          <w:p>
            <w:pPr>
              <w:spacing w:after="0"/>
            </w:pPr>
            <w:r>
              <w:rPr>
                <w:rFonts w:ascii="Consolas" w:hAnsi="Consolas"/>
                <w:b w:val="0"/>
                <w:i w:val="0"/>
                <w:sz w:val="11"/>
              </w:rPr>
              <w:t xml:space="preserve">          "minimum":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"course_weeks":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"exclusiveMinimum":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"travel_hours":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"facility_hours":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"total_patient_hours":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"course_miles":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"locationReference":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"provider_roster_version_iri",</w:t>
            </w:r>
          </w:p>
          <w:p>
            <w:pPr>
              <w:spacing w:after="0"/>
            </w:pPr>
            <w:r>
              <w:rPr>
                <w:rFonts w:ascii="Consolas" w:hAnsi="Consolas"/>
                <w:b w:val="0"/>
                <w:i w:val="0"/>
                <w:sz w:val="11"/>
              </w:rPr>
              <w:t xml:space="preserve">        "roster_record_iri",</w:t>
            </w:r>
          </w:p>
          <w:p>
            <w:pPr>
              <w:spacing w:after="0"/>
            </w:pPr>
            <w:r>
              <w:rPr>
                <w:rFonts w:ascii="Consolas" w:hAnsi="Consolas"/>
                <w:b w:val="0"/>
                <w:i w:val="0"/>
                <w:sz w:val="11"/>
              </w:rPr>
              <w:t xml:space="preserve">        "provider_iri",</w:t>
            </w:r>
          </w:p>
          <w:p>
            <w:pPr>
              <w:spacing w:after="0"/>
            </w:pPr>
            <w:r>
              <w:rPr>
                <w:rFonts w:ascii="Consolas" w:hAnsi="Consolas"/>
                <w:b w:val="0"/>
                <w:i w:val="0"/>
                <w:sz w:val="11"/>
              </w:rPr>
              <w:t xml:space="preserve">        "compact_id",</w:t>
            </w:r>
          </w:p>
          <w:p>
            <w:pPr>
              <w:spacing w:after="0"/>
            </w:pPr>
            <w:r>
              <w:rPr>
                <w:rFonts w:ascii="Consolas" w:hAnsi="Consolas"/>
                <w:b w:val="0"/>
                <w:i w:val="0"/>
                <w:sz w:val="11"/>
              </w:rPr>
              <w:t xml:space="preserve">        "facility_listing",</w:t>
            </w:r>
          </w:p>
          <w:p>
            <w:pPr>
              <w:spacing w:after="0"/>
            </w:pPr>
            <w:r>
              <w:rPr>
                <w:rFonts w:ascii="Consolas" w:hAnsi="Consolas"/>
                <w:b w:val="0"/>
                <w:i w:val="0"/>
                <w:sz w:val="11"/>
              </w:rPr>
              <w:t xml:space="preserve">        "jurisdiction",</w:t>
            </w:r>
          </w:p>
          <w:p>
            <w:pPr>
              <w:spacing w:after="0"/>
            </w:pPr>
            <w:r>
              <w:rPr>
                <w:rFonts w:ascii="Consolas" w:hAnsi="Consolas"/>
                <w:b w:val="0"/>
                <w:i w:val="0"/>
                <w:sz w:val="11"/>
              </w:rPr>
              <w:t xml:space="preserve">        "address_status",</w:t>
            </w:r>
          </w:p>
          <w:p>
            <w:pPr>
              <w:spacing w:after="0"/>
            </w:pPr>
            <w:r>
              <w:rPr>
                <w:rFonts w:ascii="Consolas" w:hAnsi="Consolas"/>
                <w:b w:val="0"/>
                <w:i w:val="0"/>
                <w:sz w:val="11"/>
              </w:rPr>
              <w:t xml:space="preserve">        "normalized_address_candidate"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"provider_roster_version_iri": {</w:t>
            </w:r>
          </w:p>
          <w:p>
            <w:pPr>
              <w:spacing w:after="0"/>
            </w:pPr>
            <w:r>
              <w:rPr>
                <w:rFonts w:ascii="Consolas" w:hAnsi="Consolas"/>
                <w:b w:val="0"/>
                <w:i w:val="0"/>
                <w:sz w:val="11"/>
              </w:rPr>
              <w:t xml:space="preserve">          "const": "https://kgrid.org/cks/dfu-hbot-burden/provider-rosters/appendix-e/versions/1.0"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"roster_record_iri":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"^https://kgrid\\.org/cks/dfu-hbot-burden/provider-rosters/appendix-e/versions/1\\.0/records/e-(00[1-9]|0[1-9][0-9]|1[0-3][0-9]|14[01])$"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"^https://kgrid\\.org/cks/dfu-hbot-burden/providers/e-(00[1-9]|0[1-9][0-9]|1[0-3][0-9]|14[01])$"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"compact_id":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"^E-(00[1-9]|0[1-9][0-9]|1[0-3][0-9]|14[01])$"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"facility_listing":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"jurisdiction":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"address_status":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"candidate",</w:t>
            </w:r>
          </w:p>
          <w:p>
            <w:pPr>
              <w:spacing w:after="0"/>
            </w:pPr>
            <w:r>
              <w:rPr>
                <w:rFonts w:ascii="Consolas" w:hAnsi="Consolas"/>
                <w:b w:val="0"/>
                <w:i w:val="0"/>
                <w:sz w:val="11"/>
              </w:rPr>
              <w:t xml:space="preserve">            "incomplete",</w:t>
            </w:r>
          </w:p>
          <w:p>
            <w:pPr>
              <w:spacing w:after="0"/>
            </w:pPr>
            <w:r>
              <w:rPr>
                <w:rFonts w:ascii="Consolas" w:hAnsi="Consolas"/>
                <w:b w:val="0"/>
                <w:i w:val="0"/>
                <w:sz w:val="11"/>
              </w:rPr>
              <w:t xml:space="preserve">            "unavailable"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"normalized_address_candidate":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"objectiveBurden":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"fixed_regimen_range_response",</w:t>
            </w:r>
          </w:p>
          <w:p>
            <w:pPr>
              <w:spacing w:after="0"/>
            </w:pPr>
            <w:r>
              <w:rPr>
                <w:rFonts w:ascii="Consolas" w:hAnsi="Consolas"/>
                <w:b w:val="0"/>
                <w:i w:val="0"/>
                <w:sz w:val="11"/>
              </w:rPr>
              <w:t xml:space="preserve">        "hyperbaric_oxygen_therapy_location_reference",</w:t>
            </w:r>
          </w:p>
          <w:p>
            <w:pPr>
              <w:spacing w:after="0"/>
            </w:pPr>
            <w:r>
              <w:rPr>
                <w:rFonts w:ascii="Consolas" w:hAnsi="Consolas"/>
                <w:b w:val="0"/>
                <w:i w:val="0"/>
                <w:sz w:val="11"/>
              </w:rPr>
              <w:t xml:space="preserve">        "reported_one_way_travel",</w:t>
            </w:r>
          </w:p>
          <w:p>
            <w:pPr>
              <w:spacing w:after="0"/>
            </w:pPr>
            <w:r>
              <w:rPr>
                <w:rFonts w:ascii="Consolas" w:hAnsi="Consolas"/>
                <w:b w:val="0"/>
                <w:i w:val="0"/>
                <w:sz w:val="11"/>
              </w:rPr>
              <w:t xml:space="preserve">        "burden_by_regimen_scenario",</w:t>
            </w:r>
          </w:p>
          <w:p>
            <w:pPr>
              <w:spacing w:after="0"/>
            </w:pPr>
            <w:r>
              <w:rPr>
                <w:rFonts w:ascii="Consolas" w:hAnsi="Consolas"/>
                <w:b w:val="0"/>
                <w:i w:val="0"/>
                <w:sz w:val="11"/>
              </w:rPr>
              <w:t xml:space="preserve">        "overall_burden_range",</w:t>
            </w:r>
          </w:p>
          <w:p>
            <w:pPr>
              <w:spacing w:after="0"/>
            </w:pPr>
            <w:r>
              <w:rPr>
                <w:rFonts w:ascii="Consolas" w:hAnsi="Consolas"/>
                <w:b w:val="0"/>
                <w:i w:val="0"/>
                <w:sz w:val="11"/>
              </w:rPr>
              <w:t xml:space="preserve">        "travel_band"</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"fixed_regimen_range_response": {</w:t>
            </w:r>
          </w:p>
          <w:p>
            <w:pPr>
              <w:spacing w:after="0"/>
            </w:pPr>
            <w:r>
              <w:rPr>
                <w:rFonts w:ascii="Consolas" w:hAnsi="Consolas"/>
                <w:b w:val="0"/>
                <w:i w:val="0"/>
                <w:sz w:val="11"/>
              </w:rPr>
              <w:t xml:space="preserve">          "$ref": "#/$defs/fixedRegimenRangeResponse"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"hyperbaric_oxygen_therapy_location_reference": {</w:t>
            </w:r>
          </w:p>
          <w:p>
            <w:pPr>
              <w:spacing w:after="0"/>
            </w:pPr>
            <w:r>
              <w:rPr>
                <w:rFonts w:ascii="Consolas" w:hAnsi="Consolas"/>
                <w:b w:val="0"/>
                <w:i w:val="0"/>
                <w:sz w:val="11"/>
              </w:rPr>
              <w:t xml:space="preserve">          "$ref": "#/$defs/locationReference"</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"reported_one_way_travel":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"miles",</w:t>
            </w:r>
          </w:p>
          <w:p>
            <w:pPr>
              <w:spacing w:after="0"/>
            </w:pPr>
            <w:r>
              <w:rPr>
                <w:rFonts w:ascii="Consolas" w:hAnsi="Consolas"/>
                <w:b w:val="0"/>
                <w:i w:val="0"/>
                <w:sz w:val="11"/>
              </w:rPr>
              <w:t xml:space="preserve">            "minutes"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"miles":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"maximum": 1000</w:t>
            </w:r>
          </w:p>
          <w:p>
            <w:pPr>
              <w:spacing w:after="0"/>
            </w:pPr>
            <w:r>
              <w:rPr>
                <w:rFonts w:ascii="Consolas" w:hAnsi="Consolas"/>
                <w:b w:val="0"/>
                <w:i w:val="0"/>
                <w:sz w:val="11"/>
              </w:rPr>
              <w:t xml:space="preserve">            },</w:t>
            </w:r>
          </w:p>
          <w:p>
            <w:pPr>
              <w:spacing w:after="0"/>
            </w:pPr>
            <w:r>
              <w:rPr>
                <w:rFonts w:ascii="Consolas" w:hAnsi="Consolas"/>
                <w:b w:val="0"/>
                <w:i w:val="0"/>
                <w:sz w:val="11"/>
              </w:rPr>
              <w:t xml:space="preserve">            "minutes":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"maximum": 1440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"burden_by_regimen_scenario":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"shorter_regimen",</w:t>
            </w:r>
          </w:p>
          <w:p>
            <w:pPr>
              <w:spacing w:after="0"/>
            </w:pPr>
            <w:r>
              <w:rPr>
                <w:rFonts w:ascii="Consolas" w:hAnsi="Consolas"/>
                <w:b w:val="0"/>
                <w:i w:val="0"/>
                <w:sz w:val="11"/>
              </w:rPr>
              <w:t xml:space="preserve">            "longer_regimen"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"shorter_regimen": {</w:t>
            </w:r>
          </w:p>
          <w:p>
            <w:pPr>
              <w:spacing w:after="0"/>
            </w:pPr>
            <w:r>
              <w:rPr>
                <w:rFonts w:ascii="Consolas" w:hAnsi="Consolas"/>
                <w:b w:val="0"/>
                <w:i w:val="0"/>
                <w:sz w:val="11"/>
              </w:rPr>
              <w:t xml:space="preserve">              "$ref": "#/$defs/scenarioBurden"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"longer_regimen": {</w:t>
            </w:r>
          </w:p>
          <w:p>
            <w:pPr>
              <w:spacing w:after="0"/>
            </w:pPr>
            <w:r>
              <w:rPr>
                <w:rFonts w:ascii="Consolas" w:hAnsi="Consolas"/>
                <w:b w:val="0"/>
                <w:i w:val="0"/>
                <w:sz w:val="11"/>
              </w:rPr>
              <w:t xml:space="preserve">              "$ref": "#/$defs/scenarioBurden"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"overall_burden_range":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"episodes",</w:t>
            </w:r>
          </w:p>
          <w:p>
            <w:pPr>
              <w:spacing w:after="0"/>
            </w:pPr>
            <w:r>
              <w:rPr>
                <w:rFonts w:ascii="Consolas" w:hAnsi="Consolas"/>
                <w:b w:val="0"/>
                <w:i w:val="0"/>
                <w:sz w:val="11"/>
              </w:rPr>
              <w:t xml:space="preserve">            "travel_hours",</w:t>
            </w:r>
          </w:p>
          <w:p>
            <w:pPr>
              <w:spacing w:after="0"/>
            </w:pPr>
            <w:r>
              <w:rPr>
                <w:rFonts w:ascii="Consolas" w:hAnsi="Consolas"/>
                <w:b w:val="0"/>
                <w:i w:val="0"/>
                <w:sz w:val="11"/>
              </w:rPr>
              <w:t xml:space="preserve">            "facility_hours",</w:t>
            </w:r>
          </w:p>
          <w:p>
            <w:pPr>
              <w:spacing w:after="0"/>
            </w:pPr>
            <w:r>
              <w:rPr>
                <w:rFonts w:ascii="Consolas" w:hAnsi="Consolas"/>
                <w:b w:val="0"/>
                <w:i w:val="0"/>
                <w:sz w:val="11"/>
              </w:rPr>
              <w:t xml:space="preserve">            "total_patient_hours",</w:t>
            </w:r>
          </w:p>
          <w:p>
            <w:pPr>
              <w:spacing w:after="0"/>
            </w:pPr>
            <w:r>
              <w:rPr>
                <w:rFonts w:ascii="Consolas" w:hAnsi="Consolas"/>
                <w:b w:val="0"/>
                <w:i w:val="0"/>
                <w:sz w:val="11"/>
              </w:rPr>
              <w:t xml:space="preserve">            "course_miles"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"episodes": {</w:t>
            </w:r>
          </w:p>
          <w:p>
            <w:pPr>
              <w:spacing w:after="0"/>
            </w:pPr>
            <w:r>
              <w:rPr>
                <w:rFonts w:ascii="Consolas" w:hAnsi="Consolas"/>
                <w:b w:val="0"/>
                <w:i w:val="0"/>
                <w:sz w:val="11"/>
              </w:rPr>
              <w:t xml:space="preserve">              "$ref": "#/$defs/integerRange"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"travel_hours": {</w:t>
            </w:r>
          </w:p>
          <w:p>
            <w:pPr>
              <w:spacing w:after="0"/>
            </w:pPr>
            <w:r>
              <w:rPr>
                <w:rFonts w:ascii="Consolas" w:hAnsi="Consolas"/>
                <w:b w:val="0"/>
                <w:i w:val="0"/>
                <w:sz w:val="11"/>
              </w:rPr>
              <w:t xml:space="preserve">              "$ref": "#/$defs/numberRange"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"facility_hours": {</w:t>
            </w:r>
          </w:p>
          <w:p>
            <w:pPr>
              <w:spacing w:after="0"/>
            </w:pPr>
            <w:r>
              <w:rPr>
                <w:rFonts w:ascii="Consolas" w:hAnsi="Consolas"/>
                <w:b w:val="0"/>
                <w:i w:val="0"/>
                <w:sz w:val="11"/>
              </w:rPr>
              <w:t xml:space="preserve">              "$ref": "#/$defs/numberRange"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"total_patient_hours": {</w:t>
            </w:r>
          </w:p>
          <w:p>
            <w:pPr>
              <w:spacing w:after="0"/>
            </w:pPr>
            <w:r>
              <w:rPr>
                <w:rFonts w:ascii="Consolas" w:hAnsi="Consolas"/>
                <w:b w:val="0"/>
                <w:i w:val="0"/>
                <w:sz w:val="11"/>
              </w:rPr>
              <w:t xml:space="preserve">              "$ref": "#/$defs/numberRange"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"course_miles": {</w:t>
            </w:r>
          </w:p>
          <w:p>
            <w:pPr>
              <w:spacing w:after="0"/>
            </w:pPr>
            <w:r>
              <w:rPr>
                <w:rFonts w:ascii="Consolas" w:hAnsi="Consolas"/>
                <w:b w:val="0"/>
                <w:i w:val="0"/>
                <w:sz w:val="11"/>
              </w:rPr>
              <w:t xml:space="preserve">              "$ref": "#/$defs/numberRange"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"travel_band":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"value",</w:t>
            </w:r>
          </w:p>
          <w:p>
            <w:pPr>
              <w:spacing w:after="0"/>
            </w:pPr>
            <w:r>
              <w:rPr>
                <w:rFonts w:ascii="Consolas" w:hAnsi="Consolas"/>
                <w:b w:val="0"/>
                <w:i w:val="0"/>
                <w:sz w:val="11"/>
              </w:rPr>
              <w:t xml:space="preserve">            "basis"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"value":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"low",</w:t>
            </w:r>
          </w:p>
          <w:p>
            <w:pPr>
              <w:spacing w:after="0"/>
            </w:pPr>
            <w:r>
              <w:rPr>
                <w:rFonts w:ascii="Consolas" w:hAnsi="Consolas"/>
                <w:b w:val="0"/>
                <w:i w:val="0"/>
                <w:sz w:val="11"/>
              </w:rPr>
              <w:t xml:space="preserve">                "moderate",</w:t>
            </w:r>
          </w:p>
          <w:p>
            <w:pPr>
              <w:spacing w:after="0"/>
            </w:pPr>
            <w:r>
              <w:rPr>
                <w:rFonts w:ascii="Consolas" w:hAnsi="Consolas"/>
                <w:b w:val="0"/>
                <w:i w:val="0"/>
                <w:sz w:val="11"/>
              </w:rPr>
              <w:t xml:space="preserve">                "high",</w:t>
            </w:r>
          </w:p>
          <w:p>
            <w:pPr>
              <w:spacing w:after="0"/>
            </w:pPr>
            <w:r>
              <w:rPr>
                <w:rFonts w:ascii="Consolas" w:hAnsi="Consolas"/>
                <w:b w:val="0"/>
                <w:i w:val="0"/>
                <w:sz w:val="11"/>
              </w:rPr>
              <w:t xml:space="preserve">                "very_high"</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"basis": {</w:t>
            </w:r>
          </w:p>
          <w:p>
            <w:pPr>
              <w:spacing w:after="0"/>
            </w:pPr>
            <w:r>
              <w:rPr>
                <w:rFonts w:ascii="Consolas" w:hAnsi="Consolas"/>
                <w:b w:val="0"/>
                <w:i w:val="0"/>
                <w:sz w:val="11"/>
              </w:rPr>
              <w:t xml:space="preserve">              "const": "reported_one_way_minutes_doubled"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"weekdayAttendanceFeasibility":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"reported_value",</w:t>
            </w:r>
          </w:p>
          <w:p>
            <w:pPr>
              <w:spacing w:after="0"/>
            </w:pPr>
            <w:r>
              <w:rPr>
                <w:rFonts w:ascii="Consolas" w:hAnsi="Consolas"/>
                <w:b w:val="0"/>
                <w:i w:val="0"/>
                <w:sz w:val="11"/>
              </w:rPr>
              <w:t xml:space="preserve">        "display_text"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"reported_value":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"none",</w:t>
            </w:r>
          </w:p>
          <w:p>
            <w:pPr>
              <w:spacing w:after="0"/>
            </w:pPr>
            <w:r>
              <w:rPr>
                <w:rFonts w:ascii="Consolas" w:hAnsi="Consolas"/>
                <w:b w:val="0"/>
                <w:i w:val="0"/>
                <w:sz w:val="11"/>
              </w:rPr>
              <w:t xml:space="preserve">            "some",</w:t>
            </w:r>
          </w:p>
          <w:p>
            <w:pPr>
              <w:spacing w:after="0"/>
            </w:pPr>
            <w:r>
              <w:rPr>
                <w:rFonts w:ascii="Consolas" w:hAnsi="Consolas"/>
                <w:b w:val="0"/>
                <w:i w:val="0"/>
                <w:sz w:val="11"/>
              </w:rPr>
              <w:t xml:space="preserve">            "major"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"allOf":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"reported_value": {</w:t>
            </w:r>
          </w:p>
          <w:p>
            <w:pPr>
              <w:spacing w:after="0"/>
            </w:pPr>
            <w:r>
              <w:rPr>
                <w:rFonts w:ascii="Consolas" w:hAnsi="Consolas"/>
                <w:b w:val="0"/>
                <w:i w:val="0"/>
                <w:sz w:val="11"/>
              </w:rPr>
              <w:t xml:space="preserve">                "const": "none"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"reported_value"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"No weekday-attendance difficulty reported"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"reported_value": {</w:t>
            </w:r>
          </w:p>
          <w:p>
            <w:pPr>
              <w:spacing w:after="0"/>
            </w:pPr>
            <w:r>
              <w:rPr>
                <w:rFonts w:ascii="Consolas" w:hAnsi="Consolas"/>
                <w:b w:val="0"/>
                <w:i w:val="0"/>
                <w:sz w:val="11"/>
              </w:rPr>
              <w:t xml:space="preserve">                "const": "some"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"reported_value"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"Some weekday-attendance difficulty reported"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"reported_value": {</w:t>
            </w:r>
          </w:p>
          <w:p>
            <w:pPr>
              <w:spacing w:after="0"/>
            </w:pPr>
            <w:r>
              <w:rPr>
                <w:rFonts w:ascii="Consolas" w:hAnsi="Consolas"/>
                <w:b w:val="0"/>
                <w:i w:val="0"/>
                <w:sz w:val="11"/>
              </w:rPr>
              <w:t xml:space="preserve">                "const": "major"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"reported_value"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"Major weekday-attendance difficulty reported"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"executionBurdenLevel":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"score",</w:t>
            </w:r>
          </w:p>
          <w:p>
            <w:pPr>
              <w:spacing w:after="0"/>
            </w:pPr>
            <w:r>
              <w:rPr>
                <w:rFonts w:ascii="Consolas" w:hAnsi="Consolas"/>
                <w:b w:val="0"/>
                <w:i w:val="0"/>
                <w:sz w:val="11"/>
              </w:rPr>
              <w:t xml:space="preserve">        "category",</w:t>
            </w:r>
          </w:p>
          <w:p>
            <w:pPr>
              <w:spacing w:after="0"/>
            </w:pPr>
            <w:r>
              <w:rPr>
                <w:rFonts w:ascii="Consolas" w:hAnsi="Consolas"/>
                <w:b w:val="0"/>
                <w:i w:val="0"/>
                <w:sz w:val="11"/>
              </w:rPr>
              <w:t xml:space="preserve">        "primary_driver",</w:t>
            </w:r>
          </w:p>
          <w:p>
            <w:pPr>
              <w:spacing w:after="0"/>
            </w:pPr>
            <w:r>
              <w:rPr>
                <w:rFonts w:ascii="Consolas" w:hAnsi="Consolas"/>
                <w:b w:val="0"/>
                <w:i w:val="0"/>
                <w:sz w:val="11"/>
              </w:rPr>
              <w:t xml:space="preserve">        "secondary_driver",</w:t>
            </w:r>
          </w:p>
          <w:p>
            <w:pPr>
              <w:spacing w:after="0"/>
            </w:pPr>
            <w:r>
              <w:rPr>
                <w:rFonts w:ascii="Consolas" w:hAnsi="Consolas"/>
                <w:b w:val="0"/>
                <w:i w:val="0"/>
                <w:sz w:val="11"/>
              </w:rPr>
              <w:t xml:space="preserve">        "display_text"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"score": {</w:t>
            </w:r>
          </w:p>
          <w:p>
            <w:pPr>
              <w:spacing w:after="0"/>
            </w:pPr>
            <w:r>
              <w:rPr>
                <w:rFonts w:ascii="Consolas" w:hAnsi="Consolas"/>
                <w:b w:val="0"/>
                <w:i w:val="0"/>
                <w:sz w:val="11"/>
              </w:rPr>
              <w:t xml:space="preserve">          "type": "integer",</w:t>
            </w:r>
          </w:p>
          <w:p>
            <w:pPr>
              <w:spacing w:after="0"/>
            </w:pPr>
            <w:r>
              <w:rPr>
                <w:rFonts w:ascii="Consolas" w:hAnsi="Consolas"/>
                <w:b w:val="0"/>
                <w:i w:val="0"/>
                <w:sz w:val="11"/>
              </w:rPr>
              <w:t xml:space="preserve">          "minimum": 1,</w:t>
            </w:r>
          </w:p>
          <w:p>
            <w:pPr>
              <w:spacing w:after="0"/>
            </w:pPr>
            <w:r>
              <w:rPr>
                <w:rFonts w:ascii="Consolas" w:hAnsi="Consolas"/>
                <w:b w:val="0"/>
                <w:i w:val="0"/>
                <w:sz w:val="11"/>
              </w:rPr>
              <w:t xml:space="preserve">          "maximum": 5</w:t>
            </w:r>
          </w:p>
          <w:p>
            <w:pPr>
              <w:spacing w:after="0"/>
            </w:pPr>
            <w:r>
              <w:rPr>
                <w:rFonts w:ascii="Consolas" w:hAnsi="Consolas"/>
                <w:b w:val="0"/>
                <w:i w:val="0"/>
                <w:sz w:val="11"/>
              </w:rPr>
              <w:t xml:space="preserve">        },</w:t>
            </w:r>
          </w:p>
          <w:p>
            <w:pPr>
              <w:spacing w:after="0"/>
            </w:pPr>
            <w:r>
              <w:rPr>
                <w:rFonts w:ascii="Consolas" w:hAnsi="Consolas"/>
                <w:b w:val="0"/>
                <w:i w:val="0"/>
                <w:sz w:val="11"/>
              </w:rPr>
              <w:t xml:space="preserve">        "category":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"low_execution_burden",</w:t>
            </w:r>
          </w:p>
          <w:p>
            <w:pPr>
              <w:spacing w:after="0"/>
            </w:pPr>
            <w:r>
              <w:rPr>
                <w:rFonts w:ascii="Consolas" w:hAnsi="Consolas"/>
                <w:b w:val="0"/>
                <w:i w:val="0"/>
                <w:sz w:val="11"/>
              </w:rPr>
              <w:t xml:space="preserve">            "moderate_execution_burden",</w:t>
            </w:r>
          </w:p>
          <w:p>
            <w:pPr>
              <w:spacing w:after="0"/>
            </w:pPr>
            <w:r>
              <w:rPr>
                <w:rFonts w:ascii="Consolas" w:hAnsi="Consolas"/>
                <w:b w:val="0"/>
                <w:i w:val="0"/>
                <w:sz w:val="11"/>
              </w:rPr>
              <w:t xml:space="preserve">            "high_execution_burden",</w:t>
            </w:r>
          </w:p>
          <w:p>
            <w:pPr>
              <w:spacing w:after="0"/>
            </w:pPr>
            <w:r>
              <w:rPr>
                <w:rFonts w:ascii="Consolas" w:hAnsi="Consolas"/>
                <w:b w:val="0"/>
                <w:i w:val="0"/>
                <w:sz w:val="11"/>
              </w:rPr>
              <w:t xml:space="preserve">            "very_high_execution_burden",</w:t>
            </w:r>
          </w:p>
          <w:p>
            <w:pPr>
              <w:spacing w:after="0"/>
            </w:pPr>
            <w:r>
              <w:rPr>
                <w:rFonts w:ascii="Consolas" w:hAnsi="Consolas"/>
                <w:b w:val="0"/>
                <w:i w:val="0"/>
                <w:sz w:val="11"/>
              </w:rPr>
              <w:t xml:space="preserve">            "extreme_execution_burden"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"primary_driver":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"secondary_driver": {</w:t>
            </w:r>
          </w:p>
          <w:p>
            <w:pPr>
              <w:spacing w:after="0"/>
            </w:pPr>
            <w:r>
              <w:rPr>
                <w:rFonts w:ascii="Consolas" w:hAnsi="Consolas"/>
                <w:b w:val="0"/>
                <w:i w:val="0"/>
                <w:sz w:val="11"/>
              </w:rPr>
              <w:t xml:space="preserve">          "type": [</w:t>
            </w:r>
          </w:p>
          <w:p>
            <w:pPr>
              <w:spacing w:after="0"/>
            </w:pPr>
            <w:r>
              <w:rPr>
                <w:rFonts w:ascii="Consolas" w:hAnsi="Consolas"/>
                <w:b w:val="0"/>
                <w:i w:val="0"/>
                <w:sz w:val="11"/>
              </w:rPr>
              <w:t xml:space="preserve">            "string",</w:t>
            </w:r>
          </w:p>
          <w:p>
            <w:pPr>
              <w:spacing w:after="0"/>
            </w:pPr>
            <w:r>
              <w:rPr>
                <w:rFonts w:ascii="Consolas" w:hAnsi="Consolas"/>
                <w:b w:val="0"/>
                <w:i w:val="0"/>
                <w:sz w:val="11"/>
              </w:rPr>
              <w:t xml:space="preserv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"allOf":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"category": {</w:t>
            </w:r>
          </w:p>
          <w:p>
            <w:pPr>
              <w:spacing w:after="0"/>
            </w:pPr>
            <w:r>
              <w:rPr>
                <w:rFonts w:ascii="Consolas" w:hAnsi="Consolas"/>
                <w:b w:val="0"/>
                <w:i w:val="0"/>
                <w:sz w:val="11"/>
              </w:rPr>
              <w:t xml:space="preserve">                "const": "low_execution_burden"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"category"</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"score": {</w:t>
            </w:r>
          </w:p>
          <w:p>
            <w:pPr>
              <w:spacing w:after="0"/>
            </w:pPr>
            <w:r>
              <w:rPr>
                <w:rFonts w:ascii="Consolas" w:hAnsi="Consolas"/>
                <w:b w:val="0"/>
                <w:i w:val="0"/>
                <w:sz w:val="11"/>
              </w:rPr>
              <w:t xml:space="preserve">                "const":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"Low execution 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"category": {</w:t>
            </w:r>
          </w:p>
          <w:p>
            <w:pPr>
              <w:spacing w:after="0"/>
            </w:pPr>
            <w:r>
              <w:rPr>
                <w:rFonts w:ascii="Consolas" w:hAnsi="Consolas"/>
                <w:b w:val="0"/>
                <w:i w:val="0"/>
                <w:sz w:val="11"/>
              </w:rPr>
              <w:t xml:space="preserve">                "const": "moderate_execution_burden"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"category"</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"score": {</w:t>
            </w:r>
          </w:p>
          <w:p>
            <w:pPr>
              <w:spacing w:after="0"/>
            </w:pPr>
            <w:r>
              <w:rPr>
                <w:rFonts w:ascii="Consolas" w:hAnsi="Consolas"/>
                <w:b w:val="0"/>
                <w:i w:val="0"/>
                <w:sz w:val="11"/>
              </w:rPr>
              <w:t xml:space="preserve">                "const": 2</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"Moderate execution 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"category": {</w:t>
            </w:r>
          </w:p>
          <w:p>
            <w:pPr>
              <w:spacing w:after="0"/>
            </w:pPr>
            <w:r>
              <w:rPr>
                <w:rFonts w:ascii="Consolas" w:hAnsi="Consolas"/>
                <w:b w:val="0"/>
                <w:i w:val="0"/>
                <w:sz w:val="11"/>
              </w:rPr>
              <w:t xml:space="preserve">                "const": "high_execution_burden"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"category"</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"score": {</w:t>
            </w:r>
          </w:p>
          <w:p>
            <w:pPr>
              <w:spacing w:after="0"/>
            </w:pPr>
            <w:r>
              <w:rPr>
                <w:rFonts w:ascii="Consolas" w:hAnsi="Consolas"/>
                <w:b w:val="0"/>
                <w:i w:val="0"/>
                <w:sz w:val="11"/>
              </w:rPr>
              <w:t xml:space="preserve">                "const": 3</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"High execution 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"category": {</w:t>
            </w:r>
          </w:p>
          <w:p>
            <w:pPr>
              <w:spacing w:after="0"/>
            </w:pPr>
            <w:r>
              <w:rPr>
                <w:rFonts w:ascii="Consolas" w:hAnsi="Consolas"/>
                <w:b w:val="0"/>
                <w:i w:val="0"/>
                <w:sz w:val="11"/>
              </w:rPr>
              <w:t xml:space="preserve">                "const": "very_high_execution_burden"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"category"</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"score": {</w:t>
            </w:r>
          </w:p>
          <w:p>
            <w:pPr>
              <w:spacing w:after="0"/>
            </w:pPr>
            <w:r>
              <w:rPr>
                <w:rFonts w:ascii="Consolas" w:hAnsi="Consolas"/>
                <w:b w:val="0"/>
                <w:i w:val="0"/>
                <w:sz w:val="11"/>
              </w:rPr>
              <w:t xml:space="preserve">                "const": 4</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"Very high execution 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"category": {</w:t>
            </w:r>
          </w:p>
          <w:p>
            <w:pPr>
              <w:spacing w:after="0"/>
            </w:pPr>
            <w:r>
              <w:rPr>
                <w:rFonts w:ascii="Consolas" w:hAnsi="Consolas"/>
                <w:b w:val="0"/>
                <w:i w:val="0"/>
                <w:sz w:val="11"/>
              </w:rPr>
              <w:t xml:space="preserve">                "const": "extreme_execution_burden"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"category"</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"score": {</w:t>
            </w:r>
          </w:p>
          <w:p>
            <w:pPr>
              <w:spacing w:after="0"/>
            </w:pPr>
            <w:r>
              <w:rPr>
                <w:rFonts w:ascii="Consolas" w:hAnsi="Consolas"/>
                <w:b w:val="0"/>
                <w:i w:val="0"/>
                <w:sz w:val="11"/>
              </w:rPr>
              <w:t xml:space="preserve">                "const": 5</w:t>
            </w:r>
          </w:p>
          <w:p>
            <w:pPr>
              <w:spacing w:after="0"/>
            </w:pPr>
            <w:r>
              <w:rPr>
                <w:rFonts w:ascii="Consolas" w:hAnsi="Consolas"/>
                <w:b w:val="0"/>
                <w:i w:val="0"/>
                <w:sz w:val="11"/>
              </w:rPr>
              <w:t xml:space="preserve">              },</w:t>
            </w:r>
          </w:p>
          <w:p>
            <w:pPr>
              <w:spacing w:after="0"/>
            </w:pPr>
            <w:r>
              <w:rPr>
                <w:rFonts w:ascii="Consolas" w:hAnsi="Consolas"/>
                <w:b w:val="0"/>
                <w:i w:val="0"/>
                <w:sz w:val="11"/>
              </w:rPr>
              <w:t xml:space="preserve">              "display_text": {</w:t>
            </w:r>
          </w:p>
          <w:p>
            <w:pPr>
              <w:spacing w:after="0"/>
            </w:pPr>
            <w:r>
              <w:rPr>
                <w:rFonts w:ascii="Consolas" w:hAnsi="Consolas"/>
                <w:b w:val="0"/>
                <w:i w:val="0"/>
                <w:sz w:val="11"/>
              </w:rPr>
              <w:t xml:space="preserve">                "const": "Extreme execution 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"sensitivity": {</w:t>
            </w:r>
          </w:p>
          <w:p>
            <w:pPr>
              <w:spacing w:after="0"/>
            </w:pPr>
            <w:r>
              <w:rPr>
                <w:rFonts w:ascii="Consolas" w:hAnsi="Consolas"/>
                <w:b w:val="0"/>
                <w:i w:val="0"/>
                <w:sz w:val="11"/>
              </w:rPr>
              <w:t xml:space="preserve">      "description": "Presentation-ready difference values. Incremental travel hours, total hours, and miles use Section 6.3 nearest_value half-up serialization; facility hours and weeks are exact.",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"longer_minus_shorter_episodes",</w:t>
            </w:r>
          </w:p>
          <w:p>
            <w:pPr>
              <w:spacing w:after="0"/>
            </w:pPr>
            <w:r>
              <w:rPr>
                <w:rFonts w:ascii="Consolas" w:hAnsi="Consolas"/>
                <w:b w:val="0"/>
                <w:i w:val="0"/>
                <w:sz w:val="11"/>
              </w:rPr>
              <w:t xml:space="preserve">        "incremental_travel_hours",</w:t>
            </w:r>
          </w:p>
          <w:p>
            <w:pPr>
              <w:spacing w:after="0"/>
            </w:pPr>
            <w:r>
              <w:rPr>
                <w:rFonts w:ascii="Consolas" w:hAnsi="Consolas"/>
                <w:b w:val="0"/>
                <w:i w:val="0"/>
                <w:sz w:val="11"/>
              </w:rPr>
              <w:t xml:space="preserve">        "incremental_facility_hours",</w:t>
            </w:r>
          </w:p>
          <w:p>
            <w:pPr>
              <w:spacing w:after="0"/>
            </w:pPr>
            <w:r>
              <w:rPr>
                <w:rFonts w:ascii="Consolas" w:hAnsi="Consolas"/>
                <w:b w:val="0"/>
                <w:i w:val="0"/>
                <w:sz w:val="11"/>
              </w:rPr>
              <w:t xml:space="preserve">        "incremental_total_hours",</w:t>
            </w:r>
          </w:p>
          <w:p>
            <w:pPr>
              <w:spacing w:after="0"/>
            </w:pPr>
            <w:r>
              <w:rPr>
                <w:rFonts w:ascii="Consolas" w:hAnsi="Consolas"/>
                <w:b w:val="0"/>
                <w:i w:val="0"/>
                <w:sz w:val="11"/>
              </w:rPr>
              <w:t xml:space="preserve">        "incremental_miles",</w:t>
            </w:r>
          </w:p>
          <w:p>
            <w:pPr>
              <w:spacing w:after="0"/>
            </w:pPr>
            <w:r>
              <w:rPr>
                <w:rFonts w:ascii="Consolas" w:hAnsi="Consolas"/>
                <w:b w:val="0"/>
                <w:i w:val="0"/>
                <w:sz w:val="11"/>
              </w:rPr>
              <w:t xml:space="preserve">        "incremental_weeks"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"longer_minus_shorter_episodes": {</w:t>
            </w:r>
          </w:p>
          <w:p>
            <w:pPr>
              <w:spacing w:after="0"/>
            </w:pPr>
            <w:r>
              <w:rPr>
                <w:rFonts w:ascii="Consolas" w:hAnsi="Consolas"/>
                <w:b w:val="0"/>
                <w:i w:val="0"/>
                <w:sz w:val="11"/>
              </w:rPr>
              <w:t xml:space="preserve">          "const": 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"incremental_travel_hours":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"incremental_facility_hours":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"incremental_total_hours":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"incremental_miles": {</w:t>
            </w:r>
          </w:p>
          <w:p>
            <w:pPr>
              <w:spacing w:after="0"/>
            </w:pPr>
            <w:r>
              <w:rPr>
                <w:rFonts w:ascii="Consolas" w:hAnsi="Consolas"/>
                <w:b w:val="0"/>
                <w:i w:val="0"/>
                <w:sz w:val="11"/>
              </w:rPr>
              <w:t xml:space="preserve">          "type": "number",</w:t>
            </w:r>
          </w:p>
          <w:p>
            <w:pPr>
              <w:spacing w:after="0"/>
            </w:pPr>
            <w:r>
              <w:rPr>
                <w:rFonts w:ascii="Consolas" w:hAnsi="Consolas"/>
                <w:b w:val="0"/>
                <w:i w:val="0"/>
                <w:sz w:val="11"/>
              </w:rPr>
              <w:t xml:space="preserve">          "minimum":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"incremental_weeks": {</w:t>
            </w:r>
          </w:p>
          <w:p>
            <w:pPr>
              <w:spacing w:after="0"/>
            </w:pPr>
            <w:r>
              <w:rPr>
                <w:rFonts w:ascii="Consolas" w:hAnsi="Consolas"/>
                <w:b w:val="0"/>
                <w:i w:val="0"/>
                <w:sz w:val="11"/>
              </w:rPr>
              <w:t xml:space="preserve">          "const": 2.0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"assumption":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"text"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"ASM-01",</w:t>
            </w:r>
          </w:p>
          <w:p>
            <w:pPr>
              <w:spacing w:after="0"/>
            </w:pPr>
            <w:r>
              <w:rPr>
                <w:rFonts w:ascii="Consolas" w:hAnsi="Consolas"/>
                <w:b w:val="0"/>
                <w:i w:val="0"/>
                <w:sz w:val="11"/>
              </w:rPr>
              <w:t xml:space="preserve">            "ASM-02",</w:t>
            </w:r>
          </w:p>
          <w:p>
            <w:pPr>
              <w:spacing w:after="0"/>
            </w:pPr>
            <w:r>
              <w:rPr>
                <w:rFonts w:ascii="Consolas" w:hAnsi="Consolas"/>
                <w:b w:val="0"/>
                <w:i w:val="0"/>
                <w:sz w:val="11"/>
              </w:rPr>
              <w:t xml:space="preserve">            "ASM-03",</w:t>
            </w:r>
          </w:p>
          <w:p>
            <w:pPr>
              <w:spacing w:after="0"/>
            </w:pPr>
            <w:r>
              <w:rPr>
                <w:rFonts w:ascii="Consolas" w:hAnsi="Consolas"/>
                <w:b w:val="0"/>
                <w:i w:val="0"/>
                <w:sz w:val="11"/>
              </w:rPr>
              <w:t xml:space="preserve">            "ASM-04"</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"text":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"completedAssumptions":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"minItems": 4,</w:t>
            </w:r>
          </w:p>
          <w:p>
            <w:pPr>
              <w:spacing w:after="0"/>
            </w:pPr>
            <w:r>
              <w:rPr>
                <w:rFonts w:ascii="Consolas" w:hAnsi="Consolas"/>
                <w:b w:val="0"/>
                <w:i w:val="0"/>
                <w:sz w:val="11"/>
              </w:rPr>
              <w:t xml:space="preserve">      "maxItems": 4,</w:t>
            </w:r>
          </w:p>
          <w:p>
            <w:pPr>
              <w:spacing w:after="0"/>
            </w:pPr>
            <w:r>
              <w:rPr>
                <w:rFonts w:ascii="Consolas" w:hAnsi="Consolas"/>
                <w:b w:val="0"/>
                <w:i w:val="0"/>
                <w:sz w:val="11"/>
              </w:rPr>
              <w:t xml:space="preserve">      "prefixItems":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"text"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"ASM-01"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"text": {</w:t>
            </w:r>
          </w:p>
          <w:p>
            <w:pPr>
              <w:spacing w:after="0"/>
            </w:pPr>
            <w:r>
              <w:rPr>
                <w:rFonts w:ascii="Consolas" w:hAnsi="Consolas"/>
                <w:b w:val="0"/>
                <w:i w:val="0"/>
                <w:sz w:val="11"/>
              </w:rPr>
              <w:t xml:space="preserve">              "const": "General DFU planning regimen range of 30–40 episodes at five sessions per week is used; it was not selected or calculated for the patient."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"text"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"ASM-02"</w:t>
            </w:r>
          </w:p>
          <w:p>
            <w:pPr>
              <w:spacing w:after="0"/>
            </w:pPr>
            <w:r>
              <w:rPr>
                <w:rFonts w:ascii="Consolas" w:hAnsi="Consolas"/>
                <w:b w:val="0"/>
                <w:i w:val="0"/>
                <w:sz w:val="11"/>
              </w:rPr>
              <w:t xml:space="preserve">            },</w:t>
            </w:r>
          </w:p>
          <w:p>
            <w:pPr>
              <w:spacing w:after="0"/>
            </w:pPr>
            <w:r>
              <w:rPr>
                <w:rFonts w:ascii="Consolas" w:hAnsi="Consolas"/>
                <w:b w:val="0"/>
                <w:i w:val="0"/>
                <w:sz w:val="11"/>
              </w:rPr>
              <w:t xml:space="preserve">            "text": {</w:t>
            </w:r>
          </w:p>
          <w:p>
            <w:pPr>
              <w:spacing w:after="0"/>
            </w:pPr>
            <w:r>
              <w:rPr>
                <w:rFonts w:ascii="Consolas" w:hAnsi="Consolas"/>
                <w:b w:val="0"/>
                <w:i w:val="0"/>
                <w:sz w:val="11"/>
              </w:rPr>
              <w:t xml:space="preserve">              "const": "A single fixed three-hour scheduled facility block per treatment episode is used as a conservative, realistic worst-case planning assumption. It is not a validated DFU-specific door-to-door elapsed-time estimate."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"text"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"ASM-03"</w:t>
            </w:r>
          </w:p>
          <w:p>
            <w:pPr>
              <w:spacing w:after="0"/>
            </w:pPr>
            <w:r>
              <w:rPr>
                <w:rFonts w:ascii="Consolas" w:hAnsi="Consolas"/>
                <w:b w:val="0"/>
                <w:i w:val="0"/>
                <w:sz w:val="11"/>
              </w:rPr>
              <w:t xml:space="preserve">            },</w:t>
            </w:r>
          </w:p>
          <w:p>
            <w:pPr>
              <w:spacing w:after="0"/>
            </w:pPr>
            <w:r>
              <w:rPr>
                <w:rFonts w:ascii="Consolas" w:hAnsi="Consolas"/>
                <w:b w:val="0"/>
                <w:i w:val="0"/>
                <w:sz w:val="11"/>
              </w:rPr>
              <w:t xml:space="preserve">            "text": {</w:t>
            </w:r>
          </w:p>
          <w:p>
            <w:pPr>
              <w:spacing w:after="0"/>
            </w:pPr>
            <w:r>
              <w:rPr>
                <w:rFonts w:ascii="Consolas" w:hAnsi="Consolas"/>
                <w:b w:val="0"/>
                <w:i w:val="0"/>
                <w:sz w:val="11"/>
              </w:rPr>
              <w:t xml:space="preserve">              "const": "Round trip is estimated as two times the patient-reported usual one-way miles and minutes."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"text"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"const": "ASM-04"</w:t>
            </w:r>
          </w:p>
          <w:p>
            <w:pPr>
              <w:spacing w:after="0"/>
            </w:pPr>
            <w:r>
              <w:rPr>
                <w:rFonts w:ascii="Consolas" w:hAnsi="Consolas"/>
                <w:b w:val="0"/>
                <w:i w:val="0"/>
                <w:sz w:val="11"/>
              </w:rPr>
              <w:t xml:space="preserve">            },</w:t>
            </w:r>
          </w:p>
          <w:p>
            <w:pPr>
              <w:spacing w:after="0"/>
            </w:pPr>
            <w:r>
              <w:rPr>
                <w:rFonts w:ascii="Consolas" w:hAnsi="Consolas"/>
                <w:b w:val="0"/>
                <w:i w:val="0"/>
                <w:sz w:val="11"/>
              </w:rPr>
              <w:t xml:space="preserve">            "text": {</w:t>
            </w:r>
          </w:p>
          <w:p>
            <w:pPr>
              <w:spacing w:after="0"/>
            </w:pPr>
            <w:r>
              <w:rPr>
                <w:rFonts w:ascii="Consolas" w:hAnsi="Consolas"/>
                <w:b w:val="0"/>
                <w:i w:val="0"/>
                <w:sz w:val="11"/>
              </w:rPr>
              <w:t xml:space="preserve">              "const": "Reported travel values are planning estimates and are not independently verified by the engine."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"items": false</w:t>
            </w:r>
          </w:p>
          <w:p>
            <w:pPr>
              <w:spacing w:after="0"/>
            </w:pPr>
            <w:r>
              <w:rPr>
                <w:rFonts w:ascii="Consolas" w:hAnsi="Consolas"/>
                <w:b w:val="0"/>
                <w:i w:val="0"/>
                <w:sz w:val="11"/>
              </w:rPr>
              <w:t xml:space="preserve">    },</w:t>
            </w:r>
          </w:p>
          <w:p>
            <w:pPr>
              <w:spacing w:after="0"/>
            </w:pPr>
            <w:r>
              <w:rPr>
                <w:rFonts w:ascii="Consolas" w:hAnsi="Consolas"/>
                <w:b w:val="0"/>
                <w:i w:val="0"/>
                <w:sz w:val="11"/>
              </w:rPr>
              <w:t xml:space="preserve">    "evidenceSource":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"source_iri",</w:t>
            </w:r>
          </w:p>
          <w:p>
            <w:pPr>
              <w:spacing w:after="0"/>
            </w:pPr>
            <w:r>
              <w:rPr>
                <w:rFonts w:ascii="Consolas" w:hAnsi="Consolas"/>
                <w:b w:val="0"/>
                <w:i w:val="0"/>
                <w:sz w:val="11"/>
              </w:rPr>
              <w:t xml:space="preserve">        "citation"</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"source_iri":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"format": "uri",</w:t>
            </w:r>
          </w:p>
          <w:p>
            <w:pPr>
              <w:spacing w:after="0"/>
            </w:pPr>
            <w:r>
              <w:rPr>
                <w:rFonts w:ascii="Consolas" w:hAnsi="Consolas"/>
                <w:b w:val="0"/>
                <w:i w:val="0"/>
                <w:sz w:val="11"/>
              </w:rPr>
              <w:t xml:space="preserve">          "pattern": "^https://"</w:t>
            </w:r>
          </w:p>
          <w:p>
            <w:pPr>
              <w:spacing w:after="0"/>
            </w:pPr>
            <w:r>
              <w:rPr>
                <w:rFonts w:ascii="Consolas" w:hAnsi="Consolas"/>
                <w:b w:val="0"/>
                <w:i w:val="0"/>
                <w:sz w:val="11"/>
              </w:rPr>
              <w:t xml:space="preserve">        },</w:t>
            </w:r>
          </w:p>
          <w:p>
            <w:pPr>
              <w:spacing w:after="0"/>
            </w:pPr>
            <w:r>
              <w:rPr>
                <w:rFonts w:ascii="Consolas" w:hAnsi="Consolas"/>
                <w:b w:val="0"/>
                <w:i w:val="0"/>
                <w:sz w:val="11"/>
              </w:rPr>
              <w:t xml:space="preserve">        "citation":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"warning":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"code",</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"code":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"fingerprint":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"algorithm",</w:t>
            </w:r>
          </w:p>
          <w:p>
            <w:pPr>
              <w:spacing w:after="0"/>
            </w:pPr>
            <w:r>
              <w:rPr>
                <w:rFonts w:ascii="Consolas" w:hAnsi="Consolas"/>
                <w:b w:val="0"/>
                <w:i w:val="0"/>
                <w:sz w:val="11"/>
              </w:rPr>
              <w:t xml:space="preserve">        "canonicalization",</w:t>
            </w:r>
          </w:p>
          <w:p>
            <w:pPr>
              <w:spacing w:after="0"/>
            </w:pPr>
            <w:r>
              <w:rPr>
                <w:rFonts w:ascii="Consolas" w:hAnsi="Consolas"/>
                <w:b w:val="0"/>
                <w:i w:val="0"/>
                <w:sz w:val="11"/>
              </w:rPr>
              <w:t xml:space="preserve">        "value"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"algorithm": {</w:t>
            </w:r>
          </w:p>
          <w:p>
            <w:pPr>
              <w:spacing w:after="0"/>
            </w:pPr>
            <w:r>
              <w:rPr>
                <w:rFonts w:ascii="Consolas" w:hAnsi="Consolas"/>
                <w:b w:val="0"/>
                <w:i w:val="0"/>
                <w:sz w:val="11"/>
              </w:rPr>
              <w:t xml:space="preserve">          "const": "SHA-256"</w:t>
            </w:r>
          </w:p>
          <w:p>
            <w:pPr>
              <w:spacing w:after="0"/>
            </w:pPr>
            <w:r>
              <w:rPr>
                <w:rFonts w:ascii="Consolas" w:hAnsi="Consolas"/>
                <w:b w:val="0"/>
                <w:i w:val="0"/>
                <w:sz w:val="11"/>
              </w:rPr>
              <w:t xml:space="preserve">        },</w:t>
            </w:r>
          </w:p>
          <w:p>
            <w:pPr>
              <w:spacing w:after="0"/>
            </w:pPr>
            <w:r>
              <w:rPr>
                <w:rFonts w:ascii="Consolas" w:hAnsi="Consolas"/>
                <w:b w:val="0"/>
                <w:i w:val="0"/>
                <w:sz w:val="11"/>
              </w:rPr>
              <w:t xml:space="preserve">        "canonicalization":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"RFC8785",</w:t>
            </w:r>
          </w:p>
          <w:p>
            <w:pPr>
              <w:spacing w:after="0"/>
            </w:pPr>
            <w:r>
              <w:rPr>
                <w:rFonts w:ascii="Consolas" w:hAnsi="Consolas"/>
                <w:b w:val="0"/>
                <w:i w:val="0"/>
                <w:sz w:val="11"/>
              </w:rPr>
              <w:t xml:space="preserve">            "raw-octets",</w:t>
            </w:r>
          </w:p>
          <w:p>
            <w:pPr>
              <w:spacing w:after="0"/>
            </w:pPr>
            <w:r>
              <w:rPr>
                <w:rFonts w:ascii="Consolas" w:hAnsi="Consolas"/>
                <w:b w:val="0"/>
                <w:i w:val="0"/>
                <w:sz w:val="11"/>
              </w:rPr>
              <w:t xml:space="preserve">            "none"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"value": {</w:t>
            </w:r>
          </w:p>
          <w:p>
            <w:pPr>
              <w:spacing w:after="0"/>
            </w:pPr>
            <w:r>
              <w:rPr>
                <w:rFonts w:ascii="Consolas" w:hAnsi="Consolas"/>
                <w:b w:val="0"/>
                <w:i w:val="0"/>
                <w:sz w:val="11"/>
              </w:rPr>
              <w:t xml:space="preserve">          "type": [</w:t>
            </w:r>
          </w:p>
          <w:p>
            <w:pPr>
              <w:spacing w:after="0"/>
            </w:pPr>
            <w:r>
              <w:rPr>
                <w:rFonts w:ascii="Consolas" w:hAnsi="Consolas"/>
                <w:b w:val="0"/>
                <w:i w:val="0"/>
                <w:sz w:val="11"/>
              </w:rPr>
              <w:t xml:space="preserve">            "string",</w:t>
            </w:r>
          </w:p>
          <w:p>
            <w:pPr>
              <w:spacing w:after="0"/>
            </w:pPr>
            <w:r>
              <w:rPr>
                <w:rFonts w:ascii="Consolas" w:hAnsi="Consolas"/>
                <w:b w:val="0"/>
                <w:i w:val="0"/>
                <w:sz w:val="11"/>
              </w:rPr>
              <w:t xml:space="preserv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"pattern": "^[0-9a-f]{64}$"</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"allOf":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"canonicalization": {</w:t>
            </w:r>
          </w:p>
          <w:p>
            <w:pPr>
              <w:spacing w:after="0"/>
            </w:pPr>
            <w:r>
              <w:rPr>
                <w:rFonts w:ascii="Consolas" w:hAnsi="Consolas"/>
                <w:b w:val="0"/>
                <w:i w:val="0"/>
                <w:sz w:val="11"/>
              </w:rPr>
              <w:t xml:space="preserve">                "const": "none"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"value":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"canonicalization":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"RFC8785",</w:t>
            </w:r>
          </w:p>
          <w:p>
            <w:pPr>
              <w:spacing w:after="0"/>
            </w:pPr>
            <w:r>
              <w:rPr>
                <w:rFonts w:ascii="Consolas" w:hAnsi="Consolas"/>
                <w:b w:val="0"/>
                <w:i w:val="0"/>
                <w:sz w:val="11"/>
              </w:rPr>
              <w:t xml:space="preserve">                  "raw-octets"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"value":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"^[0-9a-f]{64}$"</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"nonNullRfc8785Fingerprint": {</w:t>
            </w:r>
          </w:p>
          <w:p>
            <w:pPr>
              <w:spacing w:after="0"/>
            </w:pPr>
            <w:r>
              <w:rPr>
                <w:rFonts w:ascii="Consolas" w:hAnsi="Consolas"/>
                <w:b w:val="0"/>
                <w:i w:val="0"/>
                <w:sz w:val="11"/>
              </w:rPr>
              <w:t xml:space="preserve">      "allOf":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"#/$defs/fingerprint"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"canonicalization": {</w:t>
            </w:r>
          </w:p>
          <w:p>
            <w:pPr>
              <w:spacing w:after="0"/>
            </w:pPr>
            <w:r>
              <w:rPr>
                <w:rFonts w:ascii="Consolas" w:hAnsi="Consolas"/>
                <w:b w:val="0"/>
                <w:i w:val="0"/>
                <w:sz w:val="11"/>
              </w:rPr>
              <w:t xml:space="preserve">              "const": "RFC8785"</w:t>
            </w:r>
          </w:p>
          <w:p>
            <w:pPr>
              <w:spacing w:after="0"/>
            </w:pPr>
            <w:r>
              <w:rPr>
                <w:rFonts w:ascii="Consolas" w:hAnsi="Consolas"/>
                <w:b w:val="0"/>
                <w:i w:val="0"/>
                <w:sz w:val="11"/>
              </w:rPr>
              <w:t xml:space="preserve">            },</w:t>
            </w:r>
          </w:p>
          <w:p>
            <w:pPr>
              <w:spacing w:after="0"/>
            </w:pPr>
            <w:r>
              <w:rPr>
                <w:rFonts w:ascii="Consolas" w:hAnsi="Consolas"/>
                <w:b w:val="0"/>
                <w:i w:val="0"/>
                <w:sz w:val="11"/>
              </w:rPr>
              <w:t xml:space="preserve">            "value":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"^[0-9a-f]{64}$"</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"resultProvenance":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"engine_implementation_iri",</w:t>
            </w:r>
          </w:p>
          <w:p>
            <w:pPr>
              <w:spacing w:after="0"/>
            </w:pPr>
            <w:r>
              <w:rPr>
                <w:rFonts w:ascii="Consolas" w:hAnsi="Consolas"/>
                <w:b w:val="0"/>
                <w:i w:val="0"/>
                <w:sz w:val="11"/>
              </w:rPr>
              <w:t xml:space="preserve">        "engine_implementation_version",</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"schema_bundle_iri",</w:t>
            </w:r>
          </w:p>
          <w:p>
            <w:pPr>
              <w:spacing w:after="0"/>
            </w:pPr>
            <w:r>
              <w:rPr>
                <w:rFonts w:ascii="Consolas" w:hAnsi="Consolas"/>
                <w:b w:val="0"/>
                <w:i w:val="0"/>
                <w:sz w:val="11"/>
              </w:rPr>
              <w:t xml:space="preserve">        "fixture_bundle_iri",</w:t>
            </w:r>
          </w:p>
          <w:p>
            <w:pPr>
              <w:spacing w:after="0"/>
            </w:pPr>
            <w:r>
              <w:rPr>
                <w:rFonts w:ascii="Consolas" w:hAnsi="Consolas"/>
                <w:b w:val="0"/>
                <w:i w:val="0"/>
                <w:sz w:val="11"/>
              </w:rPr>
              <w:t xml:space="preserve">        "identifier_dependency_manifest_iri",</w:t>
            </w:r>
          </w:p>
          <w:p>
            <w:pPr>
              <w:spacing w:after="0"/>
            </w:pPr>
            <w:r>
              <w:rPr>
                <w:rFonts w:ascii="Consolas" w:hAnsi="Consolas"/>
                <w:b w:val="0"/>
                <w:i w:val="0"/>
                <w:sz w:val="11"/>
              </w:rPr>
              <w:t xml:space="preserve">        "provider_roster_version_iri",</w:t>
            </w:r>
          </w:p>
          <w:p>
            <w:pPr>
              <w:spacing w:after="0"/>
            </w:pPr>
            <w:r>
              <w:rPr>
                <w:rFonts w:ascii="Consolas" w:hAnsi="Consolas"/>
                <w:b w:val="0"/>
                <w:i w:val="0"/>
                <w:sz w:val="11"/>
              </w:rPr>
              <w:t xml:space="preserve">        "input_received_at",</w:t>
            </w:r>
          </w:p>
          <w:p>
            <w:pPr>
              <w:spacing w:after="0"/>
            </w:pPr>
            <w:r>
              <w:rPr>
                <w:rFonts w:ascii="Consolas" w:hAnsi="Consolas"/>
                <w:b w:val="0"/>
                <w:i w:val="0"/>
                <w:sz w:val="11"/>
              </w:rPr>
              <w:t xml:space="preserve">        "input_fingerprint",</w:t>
            </w:r>
          </w:p>
          <w:p>
            <w:pPr>
              <w:spacing w:after="0"/>
            </w:pPr>
            <w:r>
              <w:rPr>
                <w:rFonts w:ascii="Consolas" w:hAnsi="Consolas"/>
                <w:b w:val="0"/>
                <w:i w:val="0"/>
                <w:sz w:val="11"/>
              </w:rPr>
              <w:t xml:space="preserve">        "provider_roster_fingerprint",</w:t>
            </w:r>
          </w:p>
          <w:p>
            <w:pPr>
              <w:spacing w:after="0"/>
            </w:pPr>
            <w:r>
              <w:rPr>
                <w:rFonts w:ascii="Consolas" w:hAnsi="Consolas"/>
                <w:b w:val="0"/>
                <w:i w:val="0"/>
                <w:sz w:val="11"/>
              </w:rPr>
              <w:t xml:space="preserve">        "deterministic_result_fingerprint"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"engine_implementation_iri":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"^https://[^\\s]+$"</w:t>
            </w:r>
          </w:p>
          <w:p>
            <w:pPr>
              <w:spacing w:after="0"/>
            </w:pPr>
            <w:r>
              <w:rPr>
                <w:rFonts w:ascii="Consolas" w:hAnsi="Consolas"/>
                <w:b w:val="0"/>
                <w:i w:val="0"/>
                <w:sz w:val="11"/>
              </w:rPr>
              <w:t xml:space="preserve">        },</w:t>
            </w:r>
          </w:p>
          <w:p>
            <w:pPr>
              <w:spacing w:after="0"/>
            </w:pPr>
            <w:r>
              <w:rPr>
                <w:rFonts w:ascii="Consolas" w:hAnsi="Consolas"/>
                <w:b w:val="0"/>
                <w:i w:val="0"/>
                <w:sz w:val="11"/>
              </w:rPr>
              <w:t xml:space="preserve">        "engine_implementation_version":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"schema_bundle_iri": {</w:t>
            </w:r>
          </w:p>
          <w:p>
            <w:pPr>
              <w:spacing w:after="0"/>
            </w:pPr>
            <w:r>
              <w:rPr>
                <w:rFonts w:ascii="Consolas" w:hAnsi="Consolas"/>
                <w:b w:val="0"/>
                <w:i w:val="0"/>
                <w:sz w:val="11"/>
              </w:rPr>
              <w:t xml:space="preserve">          "const": "https://kgrid.org/cks/dfu-hbot-burden/schema-bundles/versions/1.0"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"fixture_bundle_iri": {</w:t>
            </w:r>
          </w:p>
          <w:p>
            <w:pPr>
              <w:spacing w:after="0"/>
            </w:pPr>
            <w:r>
              <w:rPr>
                <w:rFonts w:ascii="Consolas" w:hAnsi="Consolas"/>
                <w:b w:val="0"/>
                <w:i w:val="0"/>
                <w:sz w:val="11"/>
              </w:rPr>
              <w:t xml:space="preserve">          "const": "https://kgrid.org/cks/dfu-hbot-burden/conformance-fixtures/versions/1.0"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"identifier_dependency_manifest_iri": {</w:t>
            </w:r>
          </w:p>
          <w:p>
            <w:pPr>
              <w:spacing w:after="0"/>
            </w:pPr>
            <w:r>
              <w:rPr>
                <w:rFonts w:ascii="Consolas" w:hAnsi="Consolas"/>
                <w:b w:val="0"/>
                <w:i w:val="0"/>
                <w:sz w:val="11"/>
              </w:rPr>
              <w:t xml:space="preserve">          "const": "https://kgrid.org/cks/dfu-hbot-burden/identifier-dependency-manifests/versions/1.0"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"provider_roster_version_iri": {</w:t>
            </w:r>
          </w:p>
          <w:p>
            <w:pPr>
              <w:spacing w:after="0"/>
            </w:pPr>
            <w:r>
              <w:rPr>
                <w:rFonts w:ascii="Consolas" w:hAnsi="Consolas"/>
                <w:b w:val="0"/>
                <w:i w:val="0"/>
                <w:sz w:val="11"/>
              </w:rPr>
              <w:t xml:space="preserve">          "const": "https://kgrid.org/cks/dfu-hbot-burden/provider-rosters/appendix-e/versions/1.0"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"input_received_at":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"^[0-9]{4}-(0[1-9]|1[0-2])-([0-2][0-9]|3[01])T([01][0-9]|2[0-3]):[0-5][0-9]:[0-5][0-9]\\.[0-9]{3}Z$"</w:t>
            </w:r>
          </w:p>
          <w:p>
            <w:pPr>
              <w:spacing w:after="0"/>
            </w:pPr>
            <w:r>
              <w:rPr>
                <w:rFonts w:ascii="Consolas" w:hAnsi="Consolas"/>
                <w:b w:val="0"/>
                <w:i w:val="0"/>
                <w:sz w:val="11"/>
              </w:rPr>
              <w:t xml:space="preserve">        },</w:t>
            </w:r>
          </w:p>
          <w:p>
            <w:pPr>
              <w:spacing w:after="0"/>
            </w:pPr>
            <w:r>
              <w:rPr>
                <w:rFonts w:ascii="Consolas" w:hAnsi="Consolas"/>
                <w:b w:val="0"/>
                <w:i w:val="0"/>
                <w:sz w:val="11"/>
              </w:rPr>
              <w:t xml:space="preserve">        "input_fingerprint": {</w:t>
            </w:r>
          </w:p>
          <w:p>
            <w:pPr>
              <w:spacing w:after="0"/>
            </w:pPr>
            <w:r>
              <w:rPr>
                <w:rFonts w:ascii="Consolas" w:hAnsi="Consolas"/>
                <w:b w:val="0"/>
                <w:i w:val="0"/>
                <w:sz w:val="11"/>
              </w:rPr>
              <w:t xml:space="preserve">          "$ref": "#/$defs/fingerprint"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"provider_roster_fingerprint": {</w:t>
            </w:r>
          </w:p>
          <w:p>
            <w:pPr>
              <w:spacing w:after="0"/>
            </w:pPr>
            <w:r>
              <w:rPr>
                <w:rFonts w:ascii="Consolas" w:hAnsi="Consolas"/>
                <w:b w:val="0"/>
                <w:i w:val="0"/>
                <w:sz w:val="11"/>
              </w:rPr>
              <w:t xml:space="preserve">          "$ref": "#/$defs/fingerprint"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"deterministic_result_fingerprint": {</w:t>
            </w:r>
          </w:p>
          <w:p>
            <w:pPr>
              <w:spacing w:after="0"/>
            </w:pPr>
            <w:r>
              <w:rPr>
                <w:rFonts w:ascii="Consolas" w:hAnsi="Consolas"/>
                <w:b w:val="0"/>
                <w:i w:val="0"/>
                <w:sz w:val="11"/>
              </w:rPr>
              <w:t xml:space="preserve">          "$ref": "#/$defs/nonNullRfc8785Fingerprint"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"auditValidationOutcome": {</w:t>
            </w:r>
          </w:p>
          <w:p>
            <w:pPr>
              <w:spacing w:after="0"/>
            </w:pPr>
            <w:r>
              <w:rPr>
                <w:rFonts w:ascii="Consolas" w:hAnsi="Consolas"/>
                <w:b w:val="0"/>
                <w:i w:val="0"/>
                <w:sz w:val="11"/>
              </w:rPr>
              <w:t xml:space="preserve">      "$anchor": "auditValidationOutcome",</w:t>
            </w:r>
          </w:p>
          <w:p>
            <w:pPr>
              <w:spacing w:after="0"/>
            </w:pPr>
            <w:r>
              <w:rPr>
                <w:rFonts w:ascii="Consolas" w:hAnsi="Consolas"/>
                <w:b w:val="0"/>
                <w:i w:val="0"/>
                <w:sz w:val="11"/>
              </w:rPr>
              <w:t xml:space="preserve">      "oneOf":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"failure_code",</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"audit_valid"</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"failure_code",</w:t>
            </w:r>
          </w:p>
          <w:p>
            <w:pPr>
              <w:spacing w:after="0"/>
            </w:pPr>
            <w:r>
              <w:rPr>
                <w:rFonts w:ascii="Consolas" w:hAnsi="Consolas"/>
                <w:b w:val="0"/>
                <w:i w:val="0"/>
                <w:sz w:val="11"/>
              </w:rPr>
              <w:t xml:space="preserve">            "message"</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"audit_invalid"</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"AUDIT-01",</w:t>
            </w:r>
          </w:p>
          <w:p>
            <w:pPr>
              <w:spacing w:after="0"/>
            </w:pPr>
            <w:r>
              <w:rPr>
                <w:rFonts w:ascii="Consolas" w:hAnsi="Consolas"/>
                <w:b w:val="0"/>
                <w:i w:val="0"/>
                <w:sz w:val="11"/>
              </w:rPr>
              <w:t xml:space="preserve">                "AUDIT-02",</w:t>
            </w:r>
          </w:p>
          <w:p>
            <w:pPr>
              <w:spacing w:after="0"/>
            </w:pPr>
            <w:r>
              <w:rPr>
                <w:rFonts w:ascii="Consolas" w:hAnsi="Consolas"/>
                <w:b w:val="0"/>
                <w:i w:val="0"/>
                <w:sz w:val="11"/>
              </w:rPr>
              <w:t xml:space="preserve">                "AUDIT-03",</w:t>
            </w:r>
          </w:p>
          <w:p>
            <w:pPr>
              <w:spacing w:after="0"/>
            </w:pPr>
            <w:r>
              <w:rPr>
                <w:rFonts w:ascii="Consolas" w:hAnsi="Consolas"/>
                <w:b w:val="0"/>
                <w:i w:val="0"/>
                <w:sz w:val="11"/>
              </w:rPr>
              <w:t xml:space="preserve">                "AUDIT-04",</w:t>
            </w:r>
          </w:p>
          <w:p>
            <w:pPr>
              <w:spacing w:after="0"/>
            </w:pPr>
            <w:r>
              <w:rPr>
                <w:rFonts w:ascii="Consolas" w:hAnsi="Consolas"/>
                <w:b w:val="0"/>
                <w:i w:val="0"/>
                <w:sz w:val="11"/>
              </w:rPr>
              <w:t xml:space="preserve">                "AUDIT-05",</w:t>
            </w:r>
          </w:p>
          <w:p>
            <w:pPr>
              <w:spacing w:after="0"/>
            </w:pPr>
            <w:r>
              <w:rPr>
                <w:rFonts w:ascii="Consolas" w:hAnsi="Consolas"/>
                <w:b w:val="0"/>
                <w:i w:val="0"/>
                <w:sz w:val="11"/>
              </w:rPr>
              <w:t xml:space="preserve">                "AUDIT-06",</w:t>
            </w:r>
          </w:p>
          <w:p>
            <w:pPr>
              <w:spacing w:after="0"/>
            </w:pPr>
            <w:r>
              <w:rPr>
                <w:rFonts w:ascii="Consolas" w:hAnsi="Consolas"/>
                <w:b w:val="0"/>
                <w:i w:val="0"/>
                <w:sz w:val="11"/>
              </w:rPr>
              <w:t xml:space="preserve">                "AUDIT-07"</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"Result-instance identity is invalid.",</w:t>
            </w:r>
          </w:p>
          <w:p>
            <w:pPr>
              <w:spacing w:after="0"/>
            </w:pPr>
            <w:r>
              <w:rPr>
                <w:rFonts w:ascii="Consolas" w:hAnsi="Consolas"/>
                <w:b w:val="0"/>
                <w:i w:val="0"/>
                <w:sz w:val="11"/>
              </w:rPr>
              <w:t xml:space="preserve">                "Result timestamps are invalid.",</w:t>
            </w:r>
          </w:p>
          <w:p>
            <w:pPr>
              <w:spacing w:after="0"/>
            </w:pPr>
            <w:r>
              <w:rPr>
                <w:rFonts w:ascii="Consolas" w:hAnsi="Consolas"/>
                <w:b w:val="0"/>
                <w:i w:val="0"/>
                <w:sz w:val="11"/>
              </w:rPr>
              <w:t xml:space="preserve">                "Result provenance identity is invalid.",</w:t>
            </w:r>
          </w:p>
          <w:p>
            <w:pPr>
              <w:spacing w:after="0"/>
            </w:pPr>
            <w:r>
              <w:rPr>
                <w:rFonts w:ascii="Consolas" w:hAnsi="Consolas"/>
                <w:b w:val="0"/>
                <w:i w:val="0"/>
                <w:sz w:val="11"/>
              </w:rPr>
              <w:t xml:space="preserve">                "Input fingerprint verification failed.",</w:t>
            </w:r>
          </w:p>
          <w:p>
            <w:pPr>
              <w:spacing w:after="0"/>
            </w:pPr>
            <w:r>
              <w:rPr>
                <w:rFonts w:ascii="Consolas" w:hAnsi="Consolas"/>
                <w:b w:val="0"/>
                <w:i w:val="0"/>
                <w:sz w:val="11"/>
              </w:rPr>
              <w:t xml:space="preserve">                "Provider-roster fingerprint verification failed.",</w:t>
            </w:r>
          </w:p>
          <w:p>
            <w:pPr>
              <w:spacing w:after="0"/>
            </w:pPr>
            <w:r>
              <w:rPr>
                <w:rFonts w:ascii="Consolas" w:hAnsi="Consolas"/>
                <w:b w:val="0"/>
                <w:i w:val="0"/>
                <w:sz w:val="11"/>
              </w:rPr>
              <w:t xml:space="preserve">                "Deterministic result verification failed.",</w:t>
            </w:r>
          </w:p>
          <w:p>
            <w:pPr>
              <w:spacing w:after="0"/>
            </w:pPr>
            <w:r>
              <w:rPr>
                <w:rFonts w:ascii="Consolas" w:hAnsi="Consolas"/>
                <w:b w:val="0"/>
                <w:i w:val="0"/>
                <w:sz w:val="11"/>
              </w:rPr>
              <w:t xml:space="preserve">                "Exact replay dependency is unavailable."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"allOf":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"const": "AUDIT-01"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"Result-instance identity is invalid."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"const": "AUDIT-02"</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"Result timestamps are invalid."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"const": "AUDIT-03"</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"Result provenance identity is invalid."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"const": "AUDIT-04"</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"Input fingerprint verification failed."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"const": "AUDIT-05"</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"Provider-roster fingerprint verification failed."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"const": "AUDIT-06"</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"Deterministic result verification failed."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"failure_code": {</w:t>
            </w:r>
          </w:p>
          <w:p>
            <w:pPr>
              <w:spacing w:after="0"/>
            </w:pPr>
            <w:r>
              <w:rPr>
                <w:rFonts w:ascii="Consolas" w:hAnsi="Consolas"/>
                <w:b w:val="0"/>
                <w:i w:val="0"/>
                <w:sz w:val="11"/>
              </w:rPr>
              <w:t xml:space="preserve">                    "const": "AUDIT-07"</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"message": {</w:t>
            </w:r>
          </w:p>
          <w:p>
            <w:pPr>
              <w:spacing w:after="0"/>
            </w:pPr>
            <w:r>
              <w:rPr>
                <w:rFonts w:ascii="Consolas" w:hAnsi="Consolas"/>
                <w:b w:val="0"/>
                <w:i w:val="0"/>
                <w:sz w:val="11"/>
              </w:rPr>
              <w:t xml:space="preserve">                    "const": "Exact replay dependency is unavailable."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"completedAnalysisResult": {</w:t>
            </w:r>
          </w:p>
          <w:p>
            <w:pPr>
              <w:spacing w:after="0"/>
            </w:pPr>
            <w:r>
              <w:rPr>
                <w:rFonts w:ascii="Consolas" w:hAnsi="Consolas"/>
                <w:b w:val="0"/>
                <w:i w:val="0"/>
                <w:sz w:val="11"/>
              </w:rPr>
              <w:t xml:space="preserve">      "$anchor": "completedAnalysisResult",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"result_instance_iri",</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"result_model_iri",</w:t>
            </w:r>
          </w:p>
          <w:p>
            <w:pPr>
              <w:spacing w:after="0"/>
            </w:pPr>
            <w:r>
              <w:rPr>
                <w:rFonts w:ascii="Consolas" w:hAnsi="Consolas"/>
                <w:b w:val="0"/>
                <w:i w:val="0"/>
                <w:sz w:val="11"/>
              </w:rPr>
              <w:t xml:space="preserve">        "issued_at",</w:t>
            </w:r>
          </w:p>
          <w:p>
            <w:pPr>
              <w:spacing w:after="0"/>
            </w:pPr>
            <w:r>
              <w:rPr>
                <w:rFonts w:ascii="Consolas" w:hAnsi="Consolas"/>
                <w:b w:val="0"/>
                <w:i w:val="0"/>
                <w:sz w:val="11"/>
              </w:rPr>
              <w:t xml:space="preserve">        "provenance",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"result_code",</w:t>
            </w:r>
          </w:p>
          <w:p>
            <w:pPr>
              <w:spacing w:after="0"/>
            </w:pPr>
            <w:r>
              <w:rPr>
                <w:rFonts w:ascii="Consolas" w:hAnsi="Consolas"/>
                <w:b w:val="0"/>
                <w:i w:val="0"/>
                <w:sz w:val="11"/>
              </w:rPr>
              <w:t xml:space="preserve">        "objective_burden",</w:t>
            </w:r>
          </w:p>
          <w:p>
            <w:pPr>
              <w:spacing w:after="0"/>
            </w:pPr>
            <w:r>
              <w:rPr>
                <w:rFonts w:ascii="Consolas" w:hAnsi="Consolas"/>
                <w:b w:val="0"/>
                <w:i w:val="0"/>
                <w:sz w:val="11"/>
              </w:rPr>
              <w:t xml:space="preserve">        "weekday_attendance_feasibility",</w:t>
            </w:r>
          </w:p>
          <w:p>
            <w:pPr>
              <w:spacing w:after="0"/>
            </w:pPr>
            <w:r>
              <w:rPr>
                <w:rFonts w:ascii="Consolas" w:hAnsi="Consolas"/>
                <w:b w:val="0"/>
                <w:i w:val="0"/>
                <w:sz w:val="11"/>
              </w:rPr>
              <w:t xml:space="preserve">        "execution_burden_level",</w:t>
            </w:r>
          </w:p>
          <w:p>
            <w:pPr>
              <w:spacing w:after="0"/>
            </w:pPr>
            <w:r>
              <w:rPr>
                <w:rFonts w:ascii="Consolas" w:hAnsi="Consolas"/>
                <w:b w:val="0"/>
                <w:i w:val="0"/>
                <w:sz w:val="11"/>
              </w:rPr>
              <w:t xml:space="preserve">        "sensitivity",</w:t>
            </w:r>
          </w:p>
          <w:p>
            <w:pPr>
              <w:spacing w:after="0"/>
            </w:pPr>
            <w:r>
              <w:rPr>
                <w:rFonts w:ascii="Consolas" w:hAnsi="Consolas"/>
                <w:b w:val="0"/>
                <w:i w:val="0"/>
                <w:sz w:val="11"/>
              </w:rPr>
              <w:t xml:space="preserve">        "assumptions",</w:t>
            </w:r>
          </w:p>
          <w:p>
            <w:pPr>
              <w:spacing w:after="0"/>
            </w:pPr>
            <w:r>
              <w:rPr>
                <w:rFonts w:ascii="Consolas" w:hAnsi="Consolas"/>
                <w:b w:val="0"/>
                <w:i w:val="0"/>
                <w:sz w:val="11"/>
              </w:rPr>
              <w:t xml:space="preserve">        "evidence_sources",</w:t>
            </w:r>
          </w:p>
          <w:p>
            <w:pPr>
              <w:spacing w:after="0"/>
            </w:pPr>
            <w:r>
              <w:rPr>
                <w:rFonts w:ascii="Consolas" w:hAnsi="Consolas"/>
                <w:b w:val="0"/>
                <w:i w:val="0"/>
                <w:sz w:val="11"/>
              </w:rPr>
              <w:t xml:space="preserve">        "error",</w:t>
            </w:r>
          </w:p>
          <w:p>
            <w:pPr>
              <w:spacing w:after="0"/>
            </w:pPr>
            <w:r>
              <w:rPr>
                <w:rFonts w:ascii="Consolas" w:hAnsi="Consolas"/>
                <w:b w:val="0"/>
                <w:i w:val="0"/>
                <w:sz w:val="11"/>
              </w:rPr>
              <w:t xml:space="preserve">        "warnings"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"result_instance_iri":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"^https://kgrid\\.org/cks/dfu-hbot-burden/result-instances/[0-9a-f]{8}-[0-9a-f]{4}-4[0-9a-f]{3}-[89ab][0-9a-f]{3}-[0-9a-f]{12}$"</w:t>
            </w:r>
          </w:p>
          <w:p>
            <w:pPr>
              <w:spacing w:after="0"/>
            </w:pPr>
            <w:r>
              <w:rPr>
                <w:rFonts w:ascii="Consolas" w:hAnsi="Consolas"/>
                <w:b w:val="0"/>
                <w:i w:val="0"/>
                <w:sz w:val="11"/>
              </w:rPr>
              <w:t xml:space="preserve">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"result_model_iri": {</w:t>
            </w:r>
          </w:p>
          <w:p>
            <w:pPr>
              <w:spacing w:after="0"/>
            </w:pPr>
            <w:r>
              <w:rPr>
                <w:rFonts w:ascii="Consolas" w:hAnsi="Consolas"/>
                <w:b w:val="0"/>
                <w:i w:val="0"/>
                <w:sz w:val="11"/>
              </w:rPr>
              <w:t xml:space="preserve">          "const": "https://kgrid.org/cks/dfu-hbot-burden/output-models/1.0"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"issued_at":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"^[0-9]{4}-(0[1-9]|1[0-2])-([0-2][0-9]|3[01])T([01][0-9]|2[0-3]):[0-5][0-9]:[0-5][0-9]\\.[0-9]{3}Z$"</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"provenance": {</w:t>
            </w:r>
          </w:p>
          <w:p>
            <w:pPr>
              <w:spacing w:after="0"/>
            </w:pPr>
            <w:r>
              <w:rPr>
                <w:rFonts w:ascii="Consolas" w:hAnsi="Consolas"/>
                <w:b w:val="0"/>
                <w:i w:val="0"/>
                <w:sz w:val="11"/>
              </w:rPr>
              <w:t xml:space="preserve">          "$ref": "#/$defs/resultProvenance"</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"completed"</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"^RESULT-[A-Z0-9_-]+$"</w:t>
            </w:r>
          </w:p>
          <w:p>
            <w:pPr>
              <w:spacing w:after="0"/>
            </w:pPr>
            <w:r>
              <w:rPr>
                <w:rFonts w:ascii="Consolas" w:hAnsi="Consolas"/>
                <w:b w:val="0"/>
                <w:i w:val="0"/>
                <w:sz w:val="11"/>
              </w:rPr>
              <w:t xml:space="preserve">        },</w:t>
            </w:r>
          </w:p>
          <w:p>
            <w:pPr>
              <w:spacing w:after="0"/>
            </w:pPr>
            <w:r>
              <w:rPr>
                <w:rFonts w:ascii="Consolas" w:hAnsi="Consolas"/>
                <w:b w:val="0"/>
                <w:i w:val="0"/>
                <w:sz w:val="11"/>
              </w:rPr>
              <w:t xml:space="preserve">        "objective_burden": {</w:t>
            </w:r>
          </w:p>
          <w:p>
            <w:pPr>
              <w:spacing w:after="0"/>
            </w:pPr>
            <w:r>
              <w:rPr>
                <w:rFonts w:ascii="Consolas" w:hAnsi="Consolas"/>
                <w:b w:val="0"/>
                <w:i w:val="0"/>
                <w:sz w:val="11"/>
              </w:rPr>
              <w:t xml:space="preserve">          "$ref": "#/$defs/objectiveBurden"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"weekday_attendance_feasibility": {</w:t>
            </w:r>
          </w:p>
          <w:p>
            <w:pPr>
              <w:spacing w:after="0"/>
            </w:pPr>
            <w:r>
              <w:rPr>
                <w:rFonts w:ascii="Consolas" w:hAnsi="Consolas"/>
                <w:b w:val="0"/>
                <w:i w:val="0"/>
                <w:sz w:val="11"/>
              </w:rPr>
              <w:t xml:space="preserve">          "$ref": "#/$defs/weekdayAttendanceFeasibility"</w:t>
            </w:r>
          </w:p>
          <w:p>
            <w:pPr>
              <w:spacing w:after="0"/>
            </w:pPr>
            <w:r>
              <w:rPr>
                <w:rFonts w:ascii="Consolas" w:hAnsi="Consolas"/>
                <w:b w:val="0"/>
                <w:i w:val="0"/>
                <w:sz w:val="11"/>
              </w:rPr>
              <w:t xml:space="preserve">        },</w:t>
            </w:r>
          </w:p>
          <w:p>
            <w:pPr>
              <w:spacing w:after="0"/>
            </w:pPr>
            <w:r>
              <w:rPr>
                <w:rFonts w:ascii="Consolas" w:hAnsi="Consolas"/>
                <w:b w:val="0"/>
                <w:i w:val="0"/>
                <w:sz w:val="11"/>
              </w:rPr>
              <w:t xml:space="preserve">        "execution_burden_level": {</w:t>
            </w:r>
          </w:p>
          <w:p>
            <w:pPr>
              <w:spacing w:after="0"/>
            </w:pPr>
            <w:r>
              <w:rPr>
                <w:rFonts w:ascii="Consolas" w:hAnsi="Consolas"/>
                <w:b w:val="0"/>
                <w:i w:val="0"/>
                <w:sz w:val="11"/>
              </w:rPr>
              <w:t xml:space="preserve">          "$ref": "#/$defs/executionBurdenLevel"</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"sensitivity": {</w:t>
            </w:r>
          </w:p>
          <w:p>
            <w:pPr>
              <w:spacing w:after="0"/>
            </w:pPr>
            <w:r>
              <w:rPr>
                <w:rFonts w:ascii="Consolas" w:hAnsi="Consolas"/>
                <w:b w:val="0"/>
                <w:i w:val="0"/>
                <w:sz w:val="11"/>
              </w:rPr>
              <w:t xml:space="preserve">          "$ref": "#/$defs/sensitivity"</w:t>
            </w:r>
          </w:p>
          <w:p>
            <w:pPr>
              <w:spacing w:after="0"/>
            </w:pPr>
            <w:r>
              <w:rPr>
                <w:rFonts w:ascii="Consolas" w:hAnsi="Consolas"/>
                <w:b w:val="0"/>
                <w:i w:val="0"/>
                <w:sz w:val="11"/>
              </w:rPr>
              <w:t xml:space="preserve">        },</w:t>
            </w:r>
          </w:p>
          <w:p>
            <w:pPr>
              <w:spacing w:after="0"/>
            </w:pPr>
            <w:r>
              <w:rPr>
                <w:rFonts w:ascii="Consolas" w:hAnsi="Consolas"/>
                <w:b w:val="0"/>
                <w:i w:val="0"/>
                <w:sz w:val="11"/>
              </w:rPr>
              <w:t xml:space="preserve">        "assumptions": {</w:t>
            </w:r>
          </w:p>
          <w:p>
            <w:pPr>
              <w:spacing w:after="0"/>
            </w:pPr>
            <w:r>
              <w:rPr>
                <w:rFonts w:ascii="Consolas" w:hAnsi="Consolas"/>
                <w:b w:val="0"/>
                <w:i w:val="0"/>
                <w:sz w:val="11"/>
              </w:rPr>
              <w:t xml:space="preserve">          "$ref": "#/$defs/completedAssumptions"</w:t>
            </w:r>
          </w:p>
          <w:p>
            <w:pPr>
              <w:spacing w:after="0"/>
            </w:pPr>
            <w:r>
              <w:rPr>
                <w:rFonts w:ascii="Consolas" w:hAnsi="Consolas"/>
                <w:b w:val="0"/>
                <w:i w:val="0"/>
                <w:sz w:val="11"/>
              </w:rPr>
              <w:t xml:space="preserve">        },</w:t>
            </w:r>
          </w:p>
          <w:p>
            <w:pPr>
              <w:spacing w:after="0"/>
            </w:pPr>
            <w:r>
              <w:rPr>
                <w:rFonts w:ascii="Consolas" w:hAnsi="Consolas"/>
                <w:b w:val="0"/>
                <w:i w:val="0"/>
                <w:sz w:val="11"/>
              </w:rPr>
              <w:t xml:space="preserve">        "evidence_sources":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"$ref": "#/$defs/evidenceSource"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"warnings":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"$ref": "#/$defs/warning"</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"errorAnalysisResult": {</w:t>
            </w:r>
          </w:p>
          <w:p>
            <w:pPr>
              <w:spacing w:after="0"/>
            </w:pPr>
            <w:r>
              <w:rPr>
                <w:rFonts w:ascii="Consolas" w:hAnsi="Consolas"/>
                <w:b w:val="0"/>
                <w:i w:val="0"/>
                <w:sz w:val="11"/>
              </w:rPr>
              <w:t xml:space="preserve">      "$anchor": "errorAnalysisResult",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"result_instance_iri",</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"result_model_iri",</w:t>
            </w:r>
          </w:p>
          <w:p>
            <w:pPr>
              <w:spacing w:after="0"/>
            </w:pPr>
            <w:r>
              <w:rPr>
                <w:rFonts w:ascii="Consolas" w:hAnsi="Consolas"/>
                <w:b w:val="0"/>
                <w:i w:val="0"/>
                <w:sz w:val="11"/>
              </w:rPr>
              <w:t xml:space="preserve">        "issued_at",</w:t>
            </w:r>
          </w:p>
          <w:p>
            <w:pPr>
              <w:spacing w:after="0"/>
            </w:pPr>
            <w:r>
              <w:rPr>
                <w:rFonts w:ascii="Consolas" w:hAnsi="Consolas"/>
                <w:b w:val="0"/>
                <w:i w:val="0"/>
                <w:sz w:val="11"/>
              </w:rPr>
              <w:t xml:space="preserve">        "provenance",</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"result_code",</w:t>
            </w:r>
          </w:p>
          <w:p>
            <w:pPr>
              <w:spacing w:after="0"/>
            </w:pPr>
            <w:r>
              <w:rPr>
                <w:rFonts w:ascii="Consolas" w:hAnsi="Consolas"/>
                <w:b w:val="0"/>
                <w:i w:val="0"/>
                <w:sz w:val="11"/>
              </w:rPr>
              <w:t xml:space="preserve">        "objective_burden",</w:t>
            </w:r>
          </w:p>
          <w:p>
            <w:pPr>
              <w:spacing w:after="0"/>
            </w:pPr>
            <w:r>
              <w:rPr>
                <w:rFonts w:ascii="Consolas" w:hAnsi="Consolas"/>
                <w:b w:val="0"/>
                <w:i w:val="0"/>
                <w:sz w:val="11"/>
              </w:rPr>
              <w:t xml:space="preserve">        "weekday_attendance_feasibility",</w:t>
            </w:r>
          </w:p>
          <w:p>
            <w:pPr>
              <w:spacing w:after="0"/>
            </w:pPr>
            <w:r>
              <w:rPr>
                <w:rFonts w:ascii="Consolas" w:hAnsi="Consolas"/>
                <w:b w:val="0"/>
                <w:i w:val="0"/>
                <w:sz w:val="11"/>
              </w:rPr>
              <w:t xml:space="preserve">        "execution_burden_level",</w:t>
            </w:r>
          </w:p>
          <w:p>
            <w:pPr>
              <w:spacing w:after="0"/>
            </w:pPr>
            <w:r>
              <w:rPr>
                <w:rFonts w:ascii="Consolas" w:hAnsi="Consolas"/>
                <w:b w:val="0"/>
                <w:i w:val="0"/>
                <w:sz w:val="11"/>
              </w:rPr>
              <w:t xml:space="preserve">        "sensitivity",</w:t>
            </w:r>
          </w:p>
          <w:p>
            <w:pPr>
              <w:spacing w:after="0"/>
            </w:pPr>
            <w:r>
              <w:rPr>
                <w:rFonts w:ascii="Consolas" w:hAnsi="Consolas"/>
                <w:b w:val="0"/>
                <w:i w:val="0"/>
                <w:sz w:val="11"/>
              </w:rPr>
              <w:t xml:space="preserve">        "assumptions",</w:t>
            </w:r>
          </w:p>
          <w:p>
            <w:pPr>
              <w:spacing w:after="0"/>
            </w:pPr>
            <w:r>
              <w:rPr>
                <w:rFonts w:ascii="Consolas" w:hAnsi="Consolas"/>
                <w:b w:val="0"/>
                <w:i w:val="0"/>
                <w:sz w:val="11"/>
              </w:rPr>
              <w:t xml:space="preserve">        "evidence_sources",</w:t>
            </w:r>
          </w:p>
          <w:p>
            <w:pPr>
              <w:spacing w:after="0"/>
            </w:pPr>
            <w:r>
              <w:rPr>
                <w:rFonts w:ascii="Consolas" w:hAnsi="Consolas"/>
                <w:b w:val="0"/>
                <w:i w:val="0"/>
                <w:sz w:val="11"/>
              </w:rPr>
              <w:t xml:space="preserve">        "error",</w:t>
            </w:r>
          </w:p>
          <w:p>
            <w:pPr>
              <w:spacing w:after="0"/>
            </w:pPr>
            <w:r>
              <w:rPr>
                <w:rFonts w:ascii="Consolas" w:hAnsi="Consolas"/>
                <w:b w:val="0"/>
                <w:i w:val="0"/>
                <w:sz w:val="11"/>
              </w:rPr>
              <w:t xml:space="preserve">        "warnings"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"result_instance_iri":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"^https://kgrid\\.org/cks/dfu-hbot-burden/result-instances/[0-9a-f]{8}-[0-9a-f]{4}-4[0-9a-f]{3}-[89ab][0-9a-f]{3}-[0-9a-f]{12}$"</w:t>
            </w:r>
          </w:p>
          <w:p>
            <w:pPr>
              <w:spacing w:after="0"/>
            </w:pPr>
            <w:r>
              <w:rPr>
                <w:rFonts w:ascii="Consolas" w:hAnsi="Consolas"/>
                <w:b w:val="0"/>
                <w:i w:val="0"/>
                <w:sz w:val="11"/>
              </w:rPr>
              <w:t xml:space="preserve">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"result_model_iri": {</w:t>
            </w:r>
          </w:p>
          <w:p>
            <w:pPr>
              <w:spacing w:after="0"/>
            </w:pPr>
            <w:r>
              <w:rPr>
                <w:rFonts w:ascii="Consolas" w:hAnsi="Consolas"/>
                <w:b w:val="0"/>
                <w:i w:val="0"/>
                <w:sz w:val="11"/>
              </w:rPr>
              <w:t xml:space="preserve">          "const": "https://kgrid.org/cks/dfu-hbot-burden/output-models/1.0"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"issued_at":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"^[0-9]{4}-(0[1-9]|1[0-2])-([0-2][0-9]|3[01])T([01][0-9]|2[0-3]):[0-5][0-9]:[0-5][0-9]\\.[0-9]{3}Z$"</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"provenance": {</w:t>
            </w:r>
          </w:p>
          <w:p>
            <w:pPr>
              <w:spacing w:after="0"/>
            </w:pPr>
            <w:r>
              <w:rPr>
                <w:rFonts w:ascii="Consolas" w:hAnsi="Consolas"/>
                <w:b w:val="0"/>
                <w:i w:val="0"/>
                <w:sz w:val="11"/>
              </w:rPr>
              <w:t xml:space="preserve">          "$ref": "#/$defs/resultProvenance"</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"error"</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"ERR-01",</w:t>
            </w:r>
          </w:p>
          <w:p>
            <w:pPr>
              <w:spacing w:after="0"/>
            </w:pPr>
            <w:r>
              <w:rPr>
                <w:rFonts w:ascii="Consolas" w:hAnsi="Consolas"/>
                <w:b w:val="0"/>
                <w:i w:val="0"/>
                <w:sz w:val="11"/>
              </w:rPr>
              <w:t xml:space="preserve">            "ERR-02",</w:t>
            </w:r>
          </w:p>
          <w:p>
            <w:pPr>
              <w:spacing w:after="0"/>
            </w:pPr>
            <w:r>
              <w:rPr>
                <w:rFonts w:ascii="Consolas" w:hAnsi="Consolas"/>
                <w:b w:val="0"/>
                <w:i w:val="0"/>
                <w:sz w:val="11"/>
              </w:rPr>
              <w:t xml:space="preserve">            "ERR-03",</w:t>
            </w:r>
          </w:p>
          <w:p>
            <w:pPr>
              <w:spacing w:after="0"/>
            </w:pPr>
            <w:r>
              <w:rPr>
                <w:rFonts w:ascii="Consolas" w:hAnsi="Consolas"/>
                <w:b w:val="0"/>
                <w:i w:val="0"/>
                <w:sz w:val="11"/>
              </w:rPr>
              <w:t xml:space="preserve">            "ERR-04",</w:t>
            </w:r>
          </w:p>
          <w:p>
            <w:pPr>
              <w:spacing w:after="0"/>
            </w:pPr>
            <w:r>
              <w:rPr>
                <w:rFonts w:ascii="Consolas" w:hAnsi="Consolas"/>
                <w:b w:val="0"/>
                <w:i w:val="0"/>
                <w:sz w:val="11"/>
              </w:rPr>
              <w:t xml:space="preserve">            "ERR-05",</w:t>
            </w:r>
          </w:p>
          <w:p>
            <w:pPr>
              <w:spacing w:after="0"/>
            </w:pPr>
            <w:r>
              <w:rPr>
                <w:rFonts w:ascii="Consolas" w:hAnsi="Consolas"/>
                <w:b w:val="0"/>
                <w:i w:val="0"/>
                <w:sz w:val="11"/>
              </w:rPr>
              <w:t xml:space="preserve">            "ERR-06",</w:t>
            </w:r>
          </w:p>
          <w:p>
            <w:pPr>
              <w:spacing w:after="0"/>
            </w:pPr>
            <w:r>
              <w:rPr>
                <w:rFonts w:ascii="Consolas" w:hAnsi="Consolas"/>
                <w:b w:val="0"/>
                <w:i w:val="0"/>
                <w:sz w:val="11"/>
              </w:rPr>
              <w:t xml:space="preserve">            "ERR-07",</w:t>
            </w:r>
          </w:p>
          <w:p>
            <w:pPr>
              <w:spacing w:after="0"/>
            </w:pPr>
            <w:r>
              <w:rPr>
                <w:rFonts w:ascii="Consolas" w:hAnsi="Consolas"/>
                <w:b w:val="0"/>
                <w:i w:val="0"/>
                <w:sz w:val="11"/>
              </w:rPr>
              <w:t xml:space="preserve">            "ERR-08",</w:t>
            </w:r>
          </w:p>
          <w:p>
            <w:pPr>
              <w:spacing w:after="0"/>
            </w:pPr>
            <w:r>
              <w:rPr>
                <w:rFonts w:ascii="Consolas" w:hAnsi="Consolas"/>
                <w:b w:val="0"/>
                <w:i w:val="0"/>
                <w:sz w:val="11"/>
              </w:rPr>
              <w:t xml:space="preserve">            "ERR-09",</w:t>
            </w:r>
          </w:p>
          <w:p>
            <w:pPr>
              <w:spacing w:after="0"/>
            </w:pPr>
            <w:r>
              <w:rPr>
                <w:rFonts w:ascii="Consolas" w:hAnsi="Consolas"/>
                <w:b w:val="0"/>
                <w:i w:val="0"/>
                <w:sz w:val="11"/>
              </w:rPr>
              <w:t xml:space="preserve">            "ERR-10"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"objective_burden":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"weekday_attendance_feasibility":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"execution_burden_level":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"sensitivity":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"assumptions":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"maxItems":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"evidence_sources":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"maxItems": 0</w:t>
            </w:r>
          </w:p>
          <w:p>
            <w:pPr>
              <w:spacing w:after="0"/>
            </w:pPr>
            <w:r>
              <w:rPr>
                <w:rFonts w:ascii="Consolas" w:hAnsi="Consolas"/>
                <w:b w:val="0"/>
                <w:i w:val="0"/>
                <w:sz w:val="11"/>
              </w:rPr>
              <w:t xml:space="preserve">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"warnings":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"$ref": "#/$defs/warning"</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"allOf":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"#/$defs/error01Object"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"ERR-02"</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"#/$defs/error02Object"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"ERR-03"</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"#/$defs/error03Object"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"ERR-04"</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"#/$defs/error04Object"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"ERR-05"</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"#/$defs/error05Object"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"ERR-06"</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"#/$defs/error06Object"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"ERR-07"</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"#/$defs/error07Object"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"ERR-08"</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"#/$defs/error08Object"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"ERR-09"</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"#/$defs/error09Object"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"if":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"result_code": {</w:t>
            </w:r>
          </w:p>
          <w:p>
            <w:pPr>
              <w:spacing w:after="0"/>
            </w:pPr>
            <w:r>
              <w:rPr>
                <w:rFonts w:ascii="Consolas" w:hAnsi="Consolas"/>
                <w:b w:val="0"/>
                <w:i w:val="0"/>
                <w:sz w:val="11"/>
              </w:rPr>
              <w:t xml:space="preserve">                "const": "ERR-10"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"then":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"error": {</w:t>
            </w:r>
          </w:p>
          <w:p>
            <w:pPr>
              <w:spacing w:after="0"/>
            </w:pPr>
            <w:r>
              <w:rPr>
                <w:rFonts w:ascii="Consolas" w:hAnsi="Consolas"/>
                <w:b w:val="0"/>
                <w:i w:val="0"/>
                <w:sz w:val="11"/>
              </w:rPr>
              <w:t xml:space="preserve">                "$ref": "#/$defs/error10Object"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"analysisResult": {</w:t>
            </w:r>
          </w:p>
          <w:p>
            <w:pPr>
              <w:spacing w:after="0"/>
            </w:pPr>
            <w:r>
              <w:rPr>
                <w:rFonts w:ascii="Consolas" w:hAnsi="Consolas"/>
                <w:b w:val="0"/>
                <w:i w:val="0"/>
                <w:sz w:val="11"/>
              </w:rPr>
              <w:t xml:space="preserve">      "$anchor": "analysisResult",</w:t>
            </w:r>
          </w:p>
          <w:p>
            <w:pPr>
              <w:spacing w:after="0"/>
            </w:pPr>
            <w:r>
              <w:rPr>
                <w:rFonts w:ascii="Consolas" w:hAnsi="Consolas"/>
                <w:b w:val="0"/>
                <w:i w:val="0"/>
                <w:sz w:val="11"/>
              </w:rPr>
              <w:t xml:space="preserve">      "oneOf":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"#/$defs/completedAnalysisResult"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"$ref": "#/$defs/errorAnalysisResult"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"identifierFamilyRule": {</w:t>
            </w:r>
          </w:p>
          <w:p>
            <w:pPr>
              <w:spacing w:after="0"/>
            </w:pPr>
            <w:r>
              <w:rPr>
                <w:rFonts w:ascii="Consolas" w:hAnsi="Consolas"/>
                <w:b w:val="0"/>
                <w:i w:val="0"/>
                <w:sz w:val="11"/>
              </w:rPr>
              <w:t xml:space="preserve">      "$anchor": "identifierFamilyRule",</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"family_id",</w:t>
            </w:r>
          </w:p>
          <w:p>
            <w:pPr>
              <w:spacing w:after="0"/>
            </w:pPr>
            <w:r>
              <w:rPr>
                <w:rFonts w:ascii="Consolas" w:hAnsi="Consolas"/>
                <w:b w:val="0"/>
                <w:i w:val="0"/>
                <w:sz w:val="11"/>
              </w:rPr>
              <w:t xml:space="preserve">        "identifier_kind",</w:t>
            </w:r>
          </w:p>
          <w:p>
            <w:pPr>
              <w:spacing w:after="0"/>
            </w:pPr>
            <w:r>
              <w:rPr>
                <w:rFonts w:ascii="Consolas" w:hAnsi="Consolas"/>
                <w:b w:val="0"/>
                <w:i w:val="0"/>
                <w:sz w:val="11"/>
              </w:rPr>
              <w:t xml:space="preserve">        "governing_scope_iri",</w:t>
            </w:r>
          </w:p>
          <w:p>
            <w:pPr>
              <w:spacing w:after="0"/>
            </w:pPr>
            <w:r>
              <w:rPr>
                <w:rFonts w:ascii="Consolas" w:hAnsi="Consolas"/>
                <w:b w:val="0"/>
                <w:i w:val="0"/>
                <w:sz w:val="11"/>
              </w:rPr>
              <w:t xml:space="preserve">        "local_pattern",</w:t>
            </w:r>
          </w:p>
          <w:p>
            <w:pPr>
              <w:spacing w:after="0"/>
            </w:pPr>
            <w:r>
              <w:rPr>
                <w:rFonts w:ascii="Consolas" w:hAnsi="Consolas"/>
                <w:b w:val="0"/>
                <w:i w:val="0"/>
                <w:sz w:val="11"/>
              </w:rPr>
              <w:t xml:space="preserve">        "boundary_rule",</w:t>
            </w:r>
          </w:p>
          <w:p>
            <w:pPr>
              <w:spacing w:after="0"/>
            </w:pPr>
            <w:r>
              <w:rPr>
                <w:rFonts w:ascii="Consolas" w:hAnsi="Consolas"/>
                <w:b w:val="0"/>
                <w:i w:val="0"/>
                <w:sz w:val="11"/>
              </w:rPr>
              <w:t xml:space="preserve">        "item_iri_policy"</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"family_id":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"identifier_kind":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"scoped_compact",</w:t>
            </w:r>
          </w:p>
          <w:p>
            <w:pPr>
              <w:spacing w:after="0"/>
            </w:pPr>
            <w:r>
              <w:rPr>
                <w:rFonts w:ascii="Consolas" w:hAnsi="Consolas"/>
                <w:b w:val="0"/>
                <w:i w:val="0"/>
                <w:sz w:val="11"/>
              </w:rPr>
              <w:t xml:space="preserve">            "global_iri",</w:t>
            </w:r>
          </w:p>
          <w:p>
            <w:pPr>
              <w:spacing w:after="0"/>
            </w:pPr>
            <w:r>
              <w:rPr>
                <w:rFonts w:ascii="Consolas" w:hAnsi="Consolas"/>
                <w:b w:val="0"/>
                <w:i w:val="0"/>
                <w:sz w:val="11"/>
              </w:rPr>
              <w:t xml:space="preserve">            "versioned_item_iri"</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"governing_scope_iri":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"^https://[^\\s]+$"</w:t>
            </w:r>
          </w:p>
          <w:p>
            <w:pPr>
              <w:spacing w:after="0"/>
            </w:pPr>
            <w:r>
              <w:rPr>
                <w:rFonts w:ascii="Consolas" w:hAnsi="Consolas"/>
                <w:b w:val="0"/>
                <w:i w:val="0"/>
                <w:sz w:val="11"/>
              </w:rPr>
              <w:t xml:space="preserve">        },</w:t>
            </w:r>
          </w:p>
          <w:p>
            <w:pPr>
              <w:spacing w:after="0"/>
            </w:pPr>
            <w:r>
              <w:rPr>
                <w:rFonts w:ascii="Consolas" w:hAnsi="Consolas"/>
                <w:b w:val="0"/>
                <w:i w:val="0"/>
                <w:sz w:val="11"/>
              </w:rPr>
              <w:t xml:space="preserve">        "local_pattern":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"boundary_rule":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"item_iri_policy":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"no_item_iri",</w:t>
            </w:r>
          </w:p>
          <w:p>
            <w:pPr>
              <w:spacing w:after="0"/>
            </w:pPr>
            <w:r>
              <w:rPr>
                <w:rFonts w:ascii="Consolas" w:hAnsi="Consolas"/>
                <w:b w:val="0"/>
                <w:i w:val="0"/>
                <w:sz w:val="11"/>
              </w:rPr>
              <w:t xml:space="preserve">            "maps_to_provider_and_roster_record_iris_in_snapshot",</w:t>
            </w:r>
          </w:p>
          <w:p>
            <w:pPr>
              <w:spacing w:after="0"/>
            </w:pPr>
            <w:r>
              <w:rPr>
                <w:rFonts w:ascii="Consolas" w:hAnsi="Consolas"/>
                <w:b w:val="0"/>
                <w:i w:val="0"/>
                <w:sz w:val="11"/>
              </w:rPr>
              <w:t xml:space="preserve">            "required_item_iri"</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"dependencyRecord": {</w:t>
            </w:r>
          </w:p>
          <w:p>
            <w:pPr>
              <w:spacing w:after="0"/>
            </w:pPr>
            <w:r>
              <w:rPr>
                <w:rFonts w:ascii="Consolas" w:hAnsi="Consolas"/>
                <w:b w:val="0"/>
                <w:i w:val="0"/>
                <w:sz w:val="11"/>
              </w:rPr>
              <w:t xml:space="preserve">      "$anchor": "dependencyRecord",</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"dependency_id",</w:t>
            </w:r>
          </w:p>
          <w:p>
            <w:pPr>
              <w:spacing w:after="0"/>
            </w:pPr>
            <w:r>
              <w:rPr>
                <w:rFonts w:ascii="Consolas" w:hAnsi="Consolas"/>
                <w:b w:val="0"/>
                <w:i w:val="0"/>
                <w:sz w:val="11"/>
              </w:rPr>
              <w:t xml:space="preserve">        "dependency_type",</w:t>
            </w:r>
          </w:p>
          <w:p>
            <w:pPr>
              <w:spacing w:after="0"/>
            </w:pPr>
            <w:r>
              <w:rPr>
                <w:rFonts w:ascii="Consolas" w:hAnsi="Consolas"/>
                <w:b w:val="0"/>
                <w:i w:val="0"/>
                <w:sz w:val="11"/>
              </w:rPr>
              <w:t xml:space="preserve">        "dependency_iri",</w:t>
            </w:r>
          </w:p>
          <w:p>
            <w:pPr>
              <w:spacing w:after="0"/>
            </w:pPr>
            <w:r>
              <w:rPr>
                <w:rFonts w:ascii="Consolas" w:hAnsi="Consolas"/>
                <w:b w:val="0"/>
                <w:i w:val="0"/>
                <w:sz w:val="11"/>
              </w:rPr>
              <w:t xml:space="preserve">        "version_binding",</w:t>
            </w:r>
          </w:p>
          <w:p>
            <w:pPr>
              <w:spacing w:after="0"/>
            </w:pPr>
            <w:r>
              <w:rPr>
                <w:rFonts w:ascii="Consolas" w:hAnsi="Consolas"/>
                <w:b w:val="0"/>
                <w:i w:val="0"/>
                <w:sz w:val="11"/>
              </w:rPr>
              <w:t xml:space="preserve">        "required_phase",</w:t>
            </w:r>
          </w:p>
          <w:p>
            <w:pPr>
              <w:spacing w:after="0"/>
            </w:pPr>
            <w:r>
              <w:rPr>
                <w:rFonts w:ascii="Consolas" w:hAnsi="Consolas"/>
                <w:b w:val="0"/>
                <w:i w:val="0"/>
                <w:sz w:val="11"/>
              </w:rPr>
              <w:t xml:space="preserve">        "failure_behavior",</w:t>
            </w:r>
          </w:p>
          <w:p>
            <w:pPr>
              <w:spacing w:after="0"/>
            </w:pPr>
            <w:r>
              <w:rPr>
                <w:rFonts w:ascii="Consolas" w:hAnsi="Consolas"/>
                <w:b w:val="0"/>
                <w:i w:val="0"/>
                <w:sz w:val="11"/>
              </w:rPr>
              <w:t xml:space="preserve">        "fingerprint_requirement"</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"dependency_id":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"^DEP-(0[1-9]|1[01])$"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"dependency_type":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"dependency_iri": {</w:t>
            </w:r>
          </w:p>
          <w:p>
            <w:pPr>
              <w:spacing w:after="0"/>
            </w:pPr>
            <w:r>
              <w:rPr>
                <w:rFonts w:ascii="Consolas" w:hAnsi="Consolas"/>
                <w:b w:val="0"/>
                <w:i w:val="0"/>
                <w:sz w:val="11"/>
              </w:rPr>
              <w:t xml:space="preserve">          "oneOf":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"null"</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"^https://[^\\s]+$"</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"version_binding":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"exact",</w:t>
            </w:r>
          </w:p>
          <w:p>
            <w:pPr>
              <w:spacing w:after="0"/>
            </w:pPr>
            <w:r>
              <w:rPr>
                <w:rFonts w:ascii="Consolas" w:hAnsi="Consolas"/>
                <w:b w:val="0"/>
                <w:i w:val="0"/>
                <w:sz w:val="11"/>
              </w:rPr>
              <w:t xml:space="preserve">            "runtime_exact"</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"required_phase":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"failure_behavior":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"fingerprint_requirement":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"normativeRuleCoverageRecord": {</w:t>
            </w:r>
          </w:p>
          <w:p>
            <w:pPr>
              <w:spacing w:after="0"/>
            </w:pPr>
            <w:r>
              <w:rPr>
                <w:rFonts w:ascii="Consolas" w:hAnsi="Consolas"/>
                <w:b w:val="0"/>
                <w:i w:val="0"/>
                <w:sz w:val="11"/>
              </w:rPr>
              <w:t xml:space="preserve">      "$anchor": "normativeRuleCoverageRecord",</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"coverage_id",</w:t>
            </w:r>
          </w:p>
          <w:p>
            <w:pPr>
              <w:spacing w:after="0"/>
            </w:pPr>
            <w:r>
              <w:rPr>
                <w:rFonts w:ascii="Consolas" w:hAnsi="Consolas"/>
                <w:b w:val="0"/>
                <w:i w:val="0"/>
                <w:sz w:val="11"/>
              </w:rPr>
              <w:t xml:space="preserve">        "governing_scope_iri",</w:t>
            </w:r>
          </w:p>
          <w:p>
            <w:pPr>
              <w:spacing w:after="0"/>
            </w:pPr>
            <w:r>
              <w:rPr>
                <w:rFonts w:ascii="Consolas" w:hAnsi="Consolas"/>
                <w:b w:val="0"/>
                <w:i w:val="0"/>
                <w:sz w:val="11"/>
              </w:rPr>
              <w:t xml:space="preserve">        "rule_family",</w:t>
            </w:r>
          </w:p>
          <w:p>
            <w:pPr>
              <w:spacing w:after="0"/>
            </w:pPr>
            <w:r>
              <w:rPr>
                <w:rFonts w:ascii="Consolas" w:hAnsi="Consolas"/>
                <w:b w:val="0"/>
                <w:i w:val="0"/>
                <w:sz w:val="11"/>
              </w:rPr>
              <w:t xml:space="preserve">        "normative_sections",</w:t>
            </w:r>
          </w:p>
          <w:p>
            <w:pPr>
              <w:spacing w:after="0"/>
            </w:pPr>
            <w:r>
              <w:rPr>
                <w:rFonts w:ascii="Consolas" w:hAnsi="Consolas"/>
                <w:b w:val="0"/>
                <w:i w:val="0"/>
                <w:sz w:val="11"/>
              </w:rPr>
              <w:t xml:space="preserve">        "verification_mechanism",</w:t>
            </w:r>
          </w:p>
          <w:p>
            <w:pPr>
              <w:spacing w:after="0"/>
            </w:pPr>
            <w:r>
              <w:rPr>
                <w:rFonts w:ascii="Consolas" w:hAnsi="Consolas"/>
                <w:b w:val="0"/>
                <w:i w:val="0"/>
                <w:sz w:val="11"/>
              </w:rPr>
              <w:t xml:space="preserve">        "evidence_ids"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"coverage_id":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"^COV-(0[1-9]|1[0-9]|2[0-4])$"</w:t>
            </w:r>
          </w:p>
          <w:p>
            <w:pPr>
              <w:spacing w:after="0"/>
            </w:pPr>
            <w:r>
              <w:rPr>
                <w:rFonts w:ascii="Consolas" w:hAnsi="Consolas"/>
                <w:b w:val="0"/>
                <w:i w:val="0"/>
                <w:sz w:val="11"/>
              </w:rPr>
              <w:t xml:space="preserve">        },</w:t>
            </w:r>
          </w:p>
          <w:p>
            <w:pPr>
              <w:spacing w:after="0"/>
            </w:pPr>
            <w:r>
              <w:rPr>
                <w:rFonts w:ascii="Consolas" w:hAnsi="Consolas"/>
                <w:b w:val="0"/>
                <w:i w:val="0"/>
                <w:sz w:val="11"/>
              </w:rPr>
              <w:t xml:space="preserve">        "governing_scope_iri": {</w:t>
            </w:r>
          </w:p>
          <w:p>
            <w:pPr>
              <w:spacing w:after="0"/>
            </w:pPr>
            <w:r>
              <w:rPr>
                <w:rFonts w:ascii="Consolas" w:hAnsi="Consolas"/>
                <w:b w:val="0"/>
                <w:i w:val="0"/>
                <w:sz w:val="11"/>
              </w:rPr>
              <w:t xml:space="preserve">          "const": "https://kgrid.org/cks/dfu-hbot-burden/normative-rule-coverage/versions/1.0"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"rule_family":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"normative_sections":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"minLength": 1</w:t>
            </w:r>
          </w:p>
          <w:p>
            <w:pPr>
              <w:spacing w:after="0"/>
            </w:pPr>
            <w:r>
              <w:rPr>
                <w:rFonts w:ascii="Consolas" w:hAnsi="Consolas"/>
                <w:b w:val="0"/>
                <w:i w:val="0"/>
                <w:sz w:val="11"/>
              </w:rPr>
              <w:t xml:space="preserve">        },</w:t>
            </w:r>
          </w:p>
          <w:p>
            <w:pPr>
              <w:spacing w:after="0"/>
            </w:pPr>
            <w:r>
              <w:rPr>
                <w:rFonts w:ascii="Consolas" w:hAnsi="Consolas"/>
                <w:b w:val="0"/>
                <w:i w:val="0"/>
                <w:sz w:val="11"/>
              </w:rPr>
              <w:t xml:space="preserve">        "verification_mechanism": {</w:t>
            </w:r>
          </w:p>
          <w:p>
            <w:pPr>
              <w:spacing w:after="0"/>
            </w:pPr>
            <w:r>
              <w:rPr>
                <w:rFonts w:ascii="Consolas" w:hAnsi="Consolas"/>
                <w:b w:val="0"/>
                <w:i w:val="0"/>
                <w:sz w:val="11"/>
              </w:rPr>
              <w:t xml:space="preserve">          "enum": [</w:t>
            </w:r>
          </w:p>
          <w:p>
            <w:pPr>
              <w:spacing w:after="0"/>
            </w:pPr>
            <w:r>
              <w:rPr>
                <w:rFonts w:ascii="Consolas" w:hAnsi="Consolas"/>
                <w:b w:val="0"/>
                <w:i w:val="0"/>
                <w:sz w:val="11"/>
              </w:rPr>
              <w:t xml:space="preserve">            "document_inspection",</w:t>
            </w:r>
          </w:p>
          <w:p>
            <w:pPr>
              <w:spacing w:after="0"/>
            </w:pPr>
            <w:r>
              <w:rPr>
                <w:rFonts w:ascii="Consolas" w:hAnsi="Consolas"/>
                <w:b w:val="0"/>
                <w:i w:val="0"/>
                <w:sz w:val="11"/>
              </w:rPr>
              <w:t xml:space="preserve">            "schema_and_manifest",</w:t>
            </w:r>
          </w:p>
          <w:p>
            <w:pPr>
              <w:spacing w:after="0"/>
            </w:pPr>
            <w:r>
              <w:rPr>
                <w:rFonts w:ascii="Consolas" w:hAnsi="Consolas"/>
                <w:b w:val="0"/>
                <w:i w:val="0"/>
                <w:sz w:val="11"/>
              </w:rPr>
              <w:t xml:space="preserve">            "document_and_dependency_validation",</w:t>
            </w:r>
          </w:p>
          <w:p>
            <w:pPr>
              <w:spacing w:after="0"/>
            </w:pPr>
            <w:r>
              <w:rPr>
                <w:rFonts w:ascii="Consolas" w:hAnsi="Consolas"/>
                <w:b w:val="0"/>
                <w:i w:val="0"/>
                <w:sz w:val="11"/>
              </w:rPr>
              <w:t xml:space="preserve">            "schema_and_executable_fixtures",</w:t>
            </w:r>
          </w:p>
          <w:p>
            <w:pPr>
              <w:spacing w:after="0"/>
            </w:pPr>
            <w:r>
              <w:rPr>
                <w:rFonts w:ascii="Consolas" w:hAnsi="Consolas"/>
                <w:b w:val="0"/>
                <w:i w:val="0"/>
                <w:sz w:val="11"/>
              </w:rPr>
              <w:t xml:space="preserve">            "executable_fixtures_and_presentation_checks",</w:t>
            </w:r>
          </w:p>
          <w:p>
            <w:pPr>
              <w:spacing w:after="0"/>
            </w:pPr>
            <w:r>
              <w:rPr>
                <w:rFonts w:ascii="Consolas" w:hAnsi="Consolas"/>
                <w:b w:val="0"/>
                <w:i w:val="0"/>
                <w:sz w:val="11"/>
              </w:rPr>
              <w:t xml:space="preserve">            "executable_fixtures",</w:t>
            </w:r>
          </w:p>
          <w:p>
            <w:pPr>
              <w:spacing w:after="0"/>
            </w:pPr>
            <w:r>
              <w:rPr>
                <w:rFonts w:ascii="Consolas" w:hAnsi="Consolas"/>
                <w:b w:val="0"/>
                <w:i w:val="0"/>
                <w:sz w:val="11"/>
              </w:rPr>
              <w:t xml:space="preserve">            "schema_executable_fixtures_and_audit",</w:t>
            </w:r>
          </w:p>
          <w:p>
            <w:pPr>
              <w:spacing w:after="0"/>
            </w:pPr>
            <w:r>
              <w:rPr>
                <w:rFonts w:ascii="Consolas" w:hAnsi="Consolas"/>
                <w:b w:val="0"/>
                <w:i w:val="0"/>
                <w:sz w:val="11"/>
              </w:rPr>
              <w:t xml:space="preserve">            "presentation_conformance_inspection",</w:t>
            </w:r>
          </w:p>
          <w:p>
            <w:pPr>
              <w:spacing w:after="0"/>
            </w:pPr>
            <w:r>
              <w:rPr>
                <w:rFonts w:ascii="Consolas" w:hAnsi="Consolas"/>
                <w:b w:val="0"/>
                <w:i w:val="0"/>
                <w:sz w:val="11"/>
              </w:rPr>
              <w:t xml:space="preserve">            "document_and_presentation_inspection",</w:t>
            </w:r>
          </w:p>
          <w:p>
            <w:pPr>
              <w:spacing w:after="0"/>
            </w:pPr>
            <w:r>
              <w:rPr>
                <w:rFonts w:ascii="Consolas" w:hAnsi="Consolas"/>
                <w:b w:val="0"/>
                <w:i w:val="0"/>
                <w:sz w:val="11"/>
              </w:rPr>
              <w:t xml:space="preserve">            "conformance_dossier_inspection",</w:t>
            </w:r>
          </w:p>
          <w:p>
            <w:pPr>
              <w:spacing w:after="0"/>
            </w:pPr>
            <w:r>
              <w:rPr>
                <w:rFonts w:ascii="Consolas" w:hAnsi="Consolas"/>
                <w:b w:val="0"/>
                <w:i w:val="0"/>
                <w:sz w:val="11"/>
              </w:rPr>
              <w:t xml:space="preserve">            "bundle_validator",</w:t>
            </w:r>
          </w:p>
          <w:p>
            <w:pPr>
              <w:spacing w:after="0"/>
            </w:pPr>
            <w:r>
              <w:rPr>
                <w:rFonts w:ascii="Consolas" w:hAnsi="Consolas"/>
                <w:b w:val="0"/>
                <w:i w:val="0"/>
                <w:sz w:val="11"/>
              </w:rPr>
              <w:t xml:space="preserve">            "source_table_inspection",</w:t>
            </w:r>
          </w:p>
          <w:p>
            <w:pPr>
              <w:spacing w:after="0"/>
            </w:pPr>
            <w:r>
              <w:rPr>
                <w:rFonts w:ascii="Consolas" w:hAnsi="Consolas"/>
                <w:b w:val="0"/>
                <w:i w:val="0"/>
                <w:sz w:val="11"/>
              </w:rPr>
              <w:t xml:space="preserve">            "roster_snapshot_and_document_inspection",</w:t>
            </w:r>
          </w:p>
          <w:p>
            <w:pPr>
              <w:spacing w:after="0"/>
            </w:pPr>
            <w:r>
              <w:rPr>
                <w:rFonts w:ascii="Consolas" w:hAnsi="Consolas"/>
                <w:b w:val="0"/>
                <w:i w:val="0"/>
                <w:sz w:val="11"/>
              </w:rPr>
              <w:t xml:space="preserve">            "schema_validation_and_manifest_inspection"</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"evidence_ids":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"uniqueItems": true,</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"type": "string",</w:t>
            </w:r>
          </w:p>
          <w:p>
            <w:pPr>
              <w:spacing w:after="0"/>
            </w:pPr>
            <w:r>
              <w:rPr>
                <w:rFonts w:ascii="Consolas" w:hAnsi="Consolas"/>
                <w:b w:val="0"/>
                <w:i w:val="0"/>
                <w:sz w:val="11"/>
              </w:rPr>
              <w:t xml:space="preserve">            "pattern": "^(RR|QT|TC|RT|PRES)-[0-9]{2}$"</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"normativeRuleCoverageManifest": {</w:t>
            </w:r>
          </w:p>
          <w:p>
            <w:pPr>
              <w:spacing w:after="0"/>
            </w:pPr>
            <w:r>
              <w:rPr>
                <w:rFonts w:ascii="Consolas" w:hAnsi="Consolas"/>
                <w:b w:val="0"/>
                <w:i w:val="0"/>
                <w:sz w:val="11"/>
              </w:rPr>
              <w:t xml:space="preserve">      "$anchor": "normativeRuleCoverageManifest",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"coverage_manifest_iri",</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"status",</w:t>
            </w:r>
          </w:p>
          <w:p>
            <w:pPr>
              <w:spacing w:after="0"/>
            </w:pPr>
            <w:r>
              <w:rPr>
                <w:rFonts w:ascii="Consolas" w:hAnsi="Consolas"/>
                <w:b w:val="0"/>
                <w:i w:val="0"/>
                <w:sz w:val="11"/>
              </w:rPr>
              <w:t xml:space="preserve">        "record_count",</w:t>
            </w:r>
          </w:p>
          <w:p>
            <w:pPr>
              <w:spacing w:after="0"/>
            </w:pPr>
            <w:r>
              <w:rPr>
                <w:rFonts w:ascii="Consolas" w:hAnsi="Consolas"/>
                <w:b w:val="0"/>
                <w:i w:val="0"/>
                <w:sz w:val="11"/>
              </w:rPr>
              <w:t xml:space="preserve">        "coverage_scope",</w:t>
            </w:r>
          </w:p>
          <w:p>
            <w:pPr>
              <w:spacing w:after="0"/>
            </w:pPr>
            <w:r>
              <w:rPr>
                <w:rFonts w:ascii="Consolas" w:hAnsi="Consolas"/>
                <w:b w:val="0"/>
                <w:i w:val="0"/>
                <w:sz w:val="11"/>
              </w:rPr>
              <w:t xml:space="preserve">        "records"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"coverage_manifest_iri": {</w:t>
            </w:r>
          </w:p>
          <w:p>
            <w:pPr>
              <w:spacing w:after="0"/>
            </w:pPr>
            <w:r>
              <w:rPr>
                <w:rFonts w:ascii="Consolas" w:hAnsi="Consolas"/>
                <w:b w:val="0"/>
                <w:i w:val="0"/>
                <w:sz w:val="11"/>
              </w:rPr>
              <w:t xml:space="preserve">          "const": "https://kgrid.org/cks/dfu-hbot-burden/normative-rule-coverage/versions/1.0"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"status": {</w:t>
            </w:r>
          </w:p>
          <w:p>
            <w:pPr>
              <w:spacing w:after="0"/>
            </w:pPr>
            <w:r>
              <w:rPr>
                <w:rFonts w:ascii="Consolas" w:hAnsi="Consolas"/>
                <w:b w:val="0"/>
                <w:i w:val="0"/>
                <w:sz w:val="11"/>
              </w:rPr>
              <w:t xml:space="preserve">          "const": "final"</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"record_count": {</w:t>
            </w:r>
          </w:p>
          <w:p>
            <w:pPr>
              <w:spacing w:after="0"/>
            </w:pPr>
            <w:r>
              <w:rPr>
                <w:rFonts w:ascii="Consolas" w:hAnsi="Consolas"/>
                <w:b w:val="0"/>
                <w:i w:val="0"/>
                <w:sz w:val="11"/>
              </w:rPr>
              <w:t xml:space="preserve">          "const": 24</w:t>
            </w:r>
          </w:p>
          <w:p>
            <w:pPr>
              <w:spacing w:after="0"/>
            </w:pPr>
            <w:r>
              <w:rPr>
                <w:rFonts w:ascii="Consolas" w:hAnsi="Consolas"/>
                <w:b w:val="0"/>
                <w:i w:val="0"/>
                <w:sz w:val="11"/>
              </w:rPr>
              <w:t xml:space="preserve">        },</w:t>
            </w:r>
          </w:p>
          <w:p>
            <w:pPr>
              <w:spacing w:after="0"/>
            </w:pPr>
            <w:r>
              <w:rPr>
                <w:rFonts w:ascii="Consolas" w:hAnsi="Consolas"/>
                <w:b w:val="0"/>
                <w:i w:val="0"/>
                <w:sz w:val="11"/>
              </w:rPr>
              <w:t xml:space="preserve">        "coverage_scope": {</w:t>
            </w:r>
          </w:p>
          <w:p>
            <w:pPr>
              <w:spacing w:after="0"/>
            </w:pPr>
            <w:r>
              <w:rPr>
                <w:rFonts w:ascii="Consolas" w:hAnsi="Consolas"/>
                <w:b w:val="0"/>
                <w:i w:val="0"/>
                <w:sz w:val="11"/>
              </w:rPr>
              <w:t xml:space="preserve">          "const": "all_normative_rule_families_in_this_cks_version"</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"records":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"minItems": 24,</w:t>
            </w:r>
          </w:p>
          <w:p>
            <w:pPr>
              <w:spacing w:after="0"/>
            </w:pPr>
            <w:r>
              <w:rPr>
                <w:rFonts w:ascii="Consolas" w:hAnsi="Consolas"/>
                <w:b w:val="0"/>
                <w:i w:val="0"/>
                <w:sz w:val="11"/>
              </w:rPr>
              <w:t xml:space="preserve">          "maxItems": 24,</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"$ref": "#/$defs/normativeRuleCoverageRecord"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"identifierDependencyManifest": {</w:t>
            </w:r>
          </w:p>
          <w:p>
            <w:pPr>
              <w:spacing w:after="0"/>
            </w:pPr>
            <w:r>
              <w:rPr>
                <w:rFonts w:ascii="Consolas" w:hAnsi="Consolas"/>
                <w:b w:val="0"/>
                <w:i w:val="0"/>
                <w:sz w:val="11"/>
              </w:rPr>
              <w:t xml:space="preserve">      "$anchor": "identifierDependencyManifest",</w:t>
            </w:r>
          </w:p>
          <w:p>
            <w:pPr>
              <w:spacing w:after="0"/>
            </w:pPr>
            <w:r>
              <w:rPr>
                <w:rFonts w:ascii="Consolas" w:hAnsi="Consolas"/>
                <w:b w:val="0"/>
                <w:i w:val="0"/>
                <w:sz w:val="11"/>
              </w:rPr>
              <w:t xml:space="preserve">      "type": "object",</w:t>
            </w:r>
          </w:p>
          <w:p>
            <w:pPr>
              <w:spacing w:after="0"/>
            </w:pPr>
            <w:r>
              <w:rPr>
                <w:rFonts w:ascii="Consolas" w:hAnsi="Consolas"/>
                <w:b w:val="0"/>
                <w:i w:val="0"/>
                <w:sz w:val="11"/>
              </w:rPr>
              <w:t xml:space="preserve">      "additionalProperties": false,</w:t>
            </w:r>
          </w:p>
          <w:p>
            <w:pPr>
              <w:spacing w:after="0"/>
            </w:pPr>
            <w:r>
              <w:rPr>
                <w:rFonts w:ascii="Consolas" w:hAnsi="Consolas"/>
                <w:b w:val="0"/>
                <w:i w:val="0"/>
                <w:sz w:val="11"/>
              </w:rPr>
              <w:t xml:space="preserve">      "required": [</w:t>
            </w:r>
          </w:p>
          <w:p>
            <w:pPr>
              <w:spacing w:after="0"/>
            </w:pPr>
            <w:r>
              <w:rPr>
                <w:rFonts w:ascii="Consolas" w:hAnsi="Consolas"/>
                <w:b w:val="0"/>
                <w:i w:val="0"/>
                <w:sz w:val="11"/>
              </w:rPr>
              <w:t xml:space="preserve">        "manifest_iri",</w:t>
            </w:r>
          </w:p>
          <w:p>
            <w:pPr>
              <w:spacing w:after="0"/>
            </w:pPr>
            <w:r>
              <w:rPr>
                <w:rFonts w:ascii="Consolas" w:hAnsi="Consolas"/>
                <w:b w:val="0"/>
                <w:i w:val="0"/>
                <w:sz w:val="11"/>
              </w:rPr>
              <w:t xml:space="preserve">        "specification_iri",</w:t>
            </w:r>
          </w:p>
          <w:p>
            <w:pPr>
              <w:spacing w:after="0"/>
            </w:pPr>
            <w:r>
              <w:rPr>
                <w:rFonts w:ascii="Consolas" w:hAnsi="Consolas"/>
                <w:b w:val="0"/>
                <w:i w:val="0"/>
                <w:sz w:val="11"/>
              </w:rPr>
              <w:t xml:space="preserve">        "manifest_status",</w:t>
            </w:r>
          </w:p>
          <w:p>
            <w:pPr>
              <w:spacing w:after="0"/>
            </w:pPr>
            <w:r>
              <w:rPr>
                <w:rFonts w:ascii="Consolas" w:hAnsi="Consolas"/>
                <w:b w:val="0"/>
                <w:i w:val="0"/>
                <w:sz w:val="11"/>
              </w:rPr>
              <w:t xml:space="preserve">        "identifier_policy_iri",</w:t>
            </w:r>
          </w:p>
          <w:p>
            <w:pPr>
              <w:spacing w:after="0"/>
            </w:pPr>
            <w:r>
              <w:rPr>
                <w:rFonts w:ascii="Consolas" w:hAnsi="Consolas"/>
                <w:b w:val="0"/>
                <w:i w:val="0"/>
                <w:sz w:val="11"/>
              </w:rPr>
              <w:t xml:space="preserve">        "schema_bundle_iri",</w:t>
            </w:r>
          </w:p>
          <w:p>
            <w:pPr>
              <w:spacing w:after="0"/>
            </w:pPr>
            <w:r>
              <w:rPr>
                <w:rFonts w:ascii="Consolas" w:hAnsi="Consolas"/>
                <w:b w:val="0"/>
                <w:i w:val="0"/>
                <w:sz w:val="11"/>
              </w:rPr>
              <w:t xml:space="preserve">        "response_model_iri",</w:t>
            </w:r>
          </w:p>
          <w:p>
            <w:pPr>
              <w:spacing w:after="0"/>
            </w:pPr>
            <w:r>
              <w:rPr>
                <w:rFonts w:ascii="Consolas" w:hAnsi="Consolas"/>
                <w:b w:val="0"/>
                <w:i w:val="0"/>
                <w:sz w:val="11"/>
              </w:rPr>
              <w:t xml:space="preserve">        "output_model_iri",</w:t>
            </w:r>
          </w:p>
          <w:p>
            <w:pPr>
              <w:spacing w:after="0"/>
            </w:pPr>
            <w:r>
              <w:rPr>
                <w:rFonts w:ascii="Consolas" w:hAnsi="Consolas"/>
                <w:b w:val="0"/>
                <w:i w:val="0"/>
                <w:sz w:val="11"/>
              </w:rPr>
              <w:t xml:space="preserve">        "question_set_iri",</w:t>
            </w:r>
          </w:p>
          <w:p>
            <w:pPr>
              <w:spacing w:after="0"/>
            </w:pPr>
            <w:r>
              <w:rPr>
                <w:rFonts w:ascii="Consolas" w:hAnsi="Consolas"/>
                <w:b w:val="0"/>
                <w:i w:val="0"/>
                <w:sz w:val="11"/>
              </w:rPr>
              <w:t xml:space="preserve">        "provider_roster_version_iri",</w:t>
            </w:r>
          </w:p>
          <w:p>
            <w:pPr>
              <w:spacing w:after="0"/>
            </w:pPr>
            <w:r>
              <w:rPr>
                <w:rFonts w:ascii="Consolas" w:hAnsi="Consolas"/>
                <w:b w:val="0"/>
                <w:i w:val="0"/>
                <w:sz w:val="11"/>
              </w:rPr>
              <w:t xml:space="preserve">        "normative_rule_coverage_iri",</w:t>
            </w:r>
          </w:p>
          <w:p>
            <w:pPr>
              <w:spacing w:after="0"/>
            </w:pPr>
            <w:r>
              <w:rPr>
                <w:rFonts w:ascii="Consolas" w:hAnsi="Consolas"/>
                <w:b w:val="0"/>
                <w:i w:val="0"/>
                <w:sz w:val="11"/>
              </w:rPr>
              <w:t xml:space="preserve">        "identifier_family_count",</w:t>
            </w:r>
          </w:p>
          <w:p>
            <w:pPr>
              <w:spacing w:after="0"/>
            </w:pPr>
            <w:r>
              <w:rPr>
                <w:rFonts w:ascii="Consolas" w:hAnsi="Consolas"/>
                <w:b w:val="0"/>
                <w:i w:val="0"/>
                <w:sz w:val="11"/>
              </w:rPr>
              <w:t xml:space="preserve">        "identifier_families",</w:t>
            </w:r>
          </w:p>
          <w:p>
            <w:pPr>
              <w:spacing w:after="0"/>
            </w:pPr>
            <w:r>
              <w:rPr>
                <w:rFonts w:ascii="Consolas" w:hAnsi="Consolas"/>
                <w:b w:val="0"/>
                <w:i w:val="0"/>
                <w:sz w:val="11"/>
              </w:rPr>
              <w:t xml:space="preserve">        "dependencies"</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"properties": {</w:t>
            </w:r>
          </w:p>
          <w:p>
            <w:pPr>
              <w:spacing w:after="0"/>
            </w:pPr>
            <w:r>
              <w:rPr>
                <w:rFonts w:ascii="Consolas" w:hAnsi="Consolas"/>
                <w:b w:val="0"/>
                <w:i w:val="0"/>
                <w:sz w:val="11"/>
              </w:rPr>
              <w:t xml:space="preserve">        "manifest_iri": {</w:t>
            </w:r>
          </w:p>
          <w:p>
            <w:pPr>
              <w:spacing w:after="0"/>
            </w:pPr>
            <w:r>
              <w:rPr>
                <w:rFonts w:ascii="Consolas" w:hAnsi="Consolas"/>
                <w:b w:val="0"/>
                <w:i w:val="0"/>
                <w:sz w:val="11"/>
              </w:rPr>
              <w:t xml:space="preserve">          "const": "https://kgrid.org/cks/dfu-hbot-burden/identifier-dependency-manifests/versions/1.0"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"specification_iri": {</w:t>
            </w:r>
          </w:p>
          <w:p>
            <w:pPr>
              <w:spacing w:after="0"/>
            </w:pPr>
            <w:r>
              <w:rPr>
                <w:rFonts w:ascii="Consolas" w:hAnsi="Consolas"/>
                <w:b w:val="0"/>
                <w:i w:val="0"/>
                <w:sz w:val="11"/>
              </w:rPr>
              <w:t xml:space="preserve">          "const": "https://kgrid.org/cks/dfu-hbot-burden/versions/cks-1.0"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"manifest_status": {</w:t>
            </w:r>
          </w:p>
          <w:p>
            <w:pPr>
              <w:spacing w:after="0"/>
            </w:pPr>
            <w:r>
              <w:rPr>
                <w:rFonts w:ascii="Consolas" w:hAnsi="Consolas"/>
                <w:b w:val="0"/>
                <w:i w:val="0"/>
                <w:sz w:val="11"/>
              </w:rPr>
              <w:t xml:space="preserve">          "const": "final"</w:t>
            </w:r>
          </w:p>
          <w:p>
            <w:pPr>
              <w:spacing w:after="0"/>
            </w:pPr>
            <w:r>
              <w:rPr>
                <w:rFonts w:ascii="Consolas" w:hAnsi="Consolas"/>
                <w:b w:val="0"/>
                <w:i w:val="0"/>
                <w:sz w:val="11"/>
              </w:rPr>
              <w:t xml:space="preserve">        },</w:t>
            </w:r>
          </w:p>
          <w:p>
            <w:pPr>
              <w:spacing w:after="0"/>
            </w:pPr>
            <w:r>
              <w:rPr>
                <w:rFonts w:ascii="Consolas" w:hAnsi="Consolas"/>
                <w:b w:val="0"/>
                <w:i w:val="0"/>
                <w:sz w:val="11"/>
              </w:rPr>
              <w:t xml:space="preserve">        "identifier_policy_iri": {</w:t>
            </w:r>
          </w:p>
          <w:p>
            <w:pPr>
              <w:spacing w:after="0"/>
            </w:pPr>
            <w:r>
              <w:rPr>
                <w:rFonts w:ascii="Consolas" w:hAnsi="Consolas"/>
                <w:b w:val="0"/>
                <w:i w:val="0"/>
                <w:sz w:val="11"/>
              </w:rPr>
              <w:t xml:space="preserve">          "const": "https://kgrid.org/standards/cks-iri/versions/0.1"</w:t>
            </w:r>
          </w:p>
          <w:p>
            <w:pPr>
              <w:spacing w:after="0"/>
            </w:pPr>
            <w:r>
              <w:rPr>
                <w:rFonts w:ascii="Consolas" w:hAnsi="Consolas"/>
                <w:b w:val="0"/>
                <w:i w:val="0"/>
                <w:sz w:val="11"/>
              </w:rPr>
              <w:t xml:space="preserve">        },</w:t>
            </w:r>
          </w:p>
          <w:p>
            <w:pPr>
              <w:spacing w:after="0"/>
            </w:pPr>
            <w:r>
              <w:rPr>
                <w:rFonts w:ascii="Consolas" w:hAnsi="Consolas"/>
                <w:b w:val="0"/>
                <w:i w:val="0"/>
                <w:sz w:val="11"/>
              </w:rPr>
              <w:t xml:space="preserve">        "schema_bundle_iri": {</w:t>
            </w:r>
          </w:p>
          <w:p>
            <w:pPr>
              <w:spacing w:after="0"/>
            </w:pPr>
            <w:r>
              <w:rPr>
                <w:rFonts w:ascii="Consolas" w:hAnsi="Consolas"/>
                <w:b w:val="0"/>
                <w:i w:val="0"/>
                <w:sz w:val="11"/>
              </w:rPr>
              <w:t xml:space="preserve">          "const": "https://kgrid.org/cks/dfu-hbot-burden/schema-bundles/versions/1.0"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"response_model_iri": {</w:t>
            </w:r>
          </w:p>
          <w:p>
            <w:pPr>
              <w:spacing w:after="0"/>
            </w:pPr>
            <w:r>
              <w:rPr>
                <w:rFonts w:ascii="Consolas" w:hAnsi="Consolas"/>
                <w:b w:val="0"/>
                <w:i w:val="0"/>
                <w:sz w:val="11"/>
              </w:rPr>
              <w:t xml:space="preserve">          "const": "https://kgrid.org/cks/dfu-hbot-burden/response-models/1.0"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"output_model_iri": {</w:t>
            </w:r>
          </w:p>
          <w:p>
            <w:pPr>
              <w:spacing w:after="0"/>
            </w:pPr>
            <w:r>
              <w:rPr>
                <w:rFonts w:ascii="Consolas" w:hAnsi="Consolas"/>
                <w:b w:val="0"/>
                <w:i w:val="0"/>
                <w:sz w:val="11"/>
              </w:rPr>
              <w:t xml:space="preserve">          "const": "https://kgrid.org/cks/dfu-hbot-burden/output-models/1.0"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"question_set_iri": {</w:t>
            </w:r>
          </w:p>
          <w:p>
            <w:pPr>
              <w:spacing w:after="0"/>
            </w:pPr>
            <w:r>
              <w:rPr>
                <w:rFonts w:ascii="Consolas" w:hAnsi="Consolas"/>
                <w:b w:val="0"/>
                <w:i w:val="0"/>
                <w:sz w:val="11"/>
              </w:rPr>
              <w:t xml:space="preserve">          "const": "https://kgrid.org/cks/dfu-hbot-burden/question-sets/burden-questionnaire/versions/1.0"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"provider_roster_version_iri": {</w:t>
            </w:r>
          </w:p>
          <w:p>
            <w:pPr>
              <w:spacing w:after="0"/>
            </w:pPr>
            <w:r>
              <w:rPr>
                <w:rFonts w:ascii="Consolas" w:hAnsi="Consolas"/>
                <w:b w:val="0"/>
                <w:i w:val="0"/>
                <w:sz w:val="11"/>
              </w:rPr>
              <w:t xml:space="preserve">          "const": "https://kgrid.org/cks/dfu-hbot-burden/provider-rosters/appendix-e/versions/1.0"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"normative_rule_coverage_iri": {</w:t>
            </w:r>
          </w:p>
          <w:p>
            <w:pPr>
              <w:spacing w:after="0"/>
            </w:pPr>
            <w:r>
              <w:rPr>
                <w:rFonts w:ascii="Consolas" w:hAnsi="Consolas"/>
                <w:b w:val="0"/>
                <w:i w:val="0"/>
                <w:sz w:val="11"/>
              </w:rPr>
              <w:t xml:space="preserve">          "const": "https://kgrid.org/cks/dfu-hbot-burden/normative-rule-coverage/versions/1.0"</w:t>
            </w:r>
          </w:p>
          <w:p>
            <w:pPr>
              <w:spacing w:after="0"/>
            </w:pPr>
            <w:r>
              <w:rPr>
                <w:rFonts w:ascii="Consolas" w:hAnsi="Consolas"/>
                <w:b w:val="0"/>
                <w:i w:val="0"/>
                <w:sz w:val="11"/>
              </w:rPr>
              <w:t xml:space="preserve">        },</w:t>
            </w:r>
          </w:p>
          <w:p>
            <w:pPr>
              <w:spacing w:after="0"/>
            </w:pPr>
            <w:r>
              <w:rPr>
                <w:rFonts w:ascii="Consolas" w:hAnsi="Consolas"/>
                <w:b w:val="0"/>
                <w:i w:val="0"/>
                <w:sz w:val="11"/>
              </w:rPr>
              <w:t xml:space="preserve">        "identifier_family_count": {</w:t>
            </w:r>
          </w:p>
          <w:p>
            <w:pPr>
              <w:spacing w:after="0"/>
            </w:pPr>
            <w:r>
              <w:rPr>
                <w:rFonts w:ascii="Consolas" w:hAnsi="Consolas"/>
                <w:b w:val="0"/>
                <w:i w:val="0"/>
                <w:sz w:val="11"/>
              </w:rPr>
              <w:t xml:space="preserve">          "const": 16</w:t>
            </w:r>
          </w:p>
          <w:p>
            <w:pPr>
              <w:spacing w:after="0"/>
            </w:pPr>
            <w:r>
              <w:rPr>
                <w:rFonts w:ascii="Consolas" w:hAnsi="Consolas"/>
                <w:b w:val="0"/>
                <w:i w:val="0"/>
                <w:sz w:val="11"/>
              </w:rPr>
              <w:t xml:space="preserve">        },</w:t>
            </w:r>
          </w:p>
          <w:p>
            <w:pPr>
              <w:spacing w:after="0"/>
            </w:pPr>
            <w:r>
              <w:rPr>
                <w:rFonts w:ascii="Consolas" w:hAnsi="Consolas"/>
                <w:b w:val="0"/>
                <w:i w:val="0"/>
                <w:sz w:val="11"/>
              </w:rPr>
              <w:t xml:space="preserve">        "identifier_families":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"minItems": 16,</w:t>
            </w:r>
          </w:p>
          <w:p>
            <w:pPr>
              <w:spacing w:after="0"/>
            </w:pPr>
            <w:r>
              <w:rPr>
                <w:rFonts w:ascii="Consolas" w:hAnsi="Consolas"/>
                <w:b w:val="0"/>
                <w:i w:val="0"/>
                <w:sz w:val="11"/>
              </w:rPr>
              <w:t xml:space="preserve">          "maxItems": 16,</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"$ref": "#/$defs/identifierFamilyRule"</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"dependencies": {</w:t>
            </w:r>
          </w:p>
          <w:p>
            <w:pPr>
              <w:spacing w:after="0"/>
            </w:pPr>
            <w:r>
              <w:rPr>
                <w:rFonts w:ascii="Consolas" w:hAnsi="Consolas"/>
                <w:b w:val="0"/>
                <w:i w:val="0"/>
                <w:sz w:val="11"/>
              </w:rPr>
              <w:t xml:space="preserve">          "type": "array",</w:t>
            </w:r>
          </w:p>
          <w:p>
            <w:pPr>
              <w:spacing w:after="0"/>
            </w:pPr>
            <w:r>
              <w:rPr>
                <w:rFonts w:ascii="Consolas" w:hAnsi="Consolas"/>
                <w:b w:val="0"/>
                <w:i w:val="0"/>
                <w:sz w:val="11"/>
              </w:rPr>
              <w:t xml:space="preserve">          "minItems": 11,</w:t>
            </w:r>
          </w:p>
          <w:p>
            <w:pPr>
              <w:spacing w:after="0"/>
            </w:pPr>
            <w:r>
              <w:rPr>
                <w:rFonts w:ascii="Consolas" w:hAnsi="Consolas"/>
                <w:b w:val="0"/>
                <w:i w:val="0"/>
                <w:sz w:val="11"/>
              </w:rPr>
              <w:t xml:space="preserve">          "maxItems": 11,</w:t>
            </w:r>
          </w:p>
          <w:p>
            <w:pPr>
              <w:spacing w:after="0"/>
            </w:pPr>
            <w:r>
              <w:rPr>
                <w:rFonts w:ascii="Consolas" w:hAnsi="Consolas"/>
                <w:b w:val="0"/>
                <w:i w:val="0"/>
                <w:sz w:val="11"/>
              </w:rPr>
              <w:t xml:space="preserve">          "items": {</w:t>
            </w:r>
          </w:p>
          <w:p>
            <w:pPr>
              <w:spacing w:after="0"/>
            </w:pPr>
            <w:r>
              <w:rPr>
                <w:rFonts w:ascii="Consolas" w:hAnsi="Consolas"/>
                <w:b w:val="0"/>
                <w:i w:val="0"/>
                <w:sz w:val="11"/>
              </w:rPr>
              <w:t xml:space="preserve">            "$ref": "#/$defs/dependencyRecord"</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 xml:space="preserve">  }</w:t>
            </w:r>
          </w:p>
          <w:p>
            <w:pPr>
              <w:spacing w:after="0"/>
            </w:pPr>
            <w:r>
              <w:rPr>
                <w:rFonts w:ascii="Consolas" w:hAnsi="Consolas"/>
                <w:b w:val="0"/>
                <w:i w:val="0"/>
                <w:sz w:val="11"/>
              </w:rPr>
              <w:t>}</w:t>
            </w:r>
          </w:p>
        </w:tc>
      </w:tr>
    </w:tbl>
    <w:p>
      <w:pPr>
        <w:spacing w:after="20"/>
      </w:pPr>
    </w:p>
    <w:p>
      <w:r>
        <w:br w:type="page"/>
      </w:r>
    </w:p>
    <w:p>
      <w:pPr>
        <w:pStyle w:val="Heading2"/>
      </w:pPr>
      <w:r>
        <w:t>Appendix G.1 Cardinality and Validation Rules</w:t>
      </w:r>
    </w:p>
    <w:tbl>
      <w:tblPr>
        <w:tblW w:type="dxa" w:w="13968"/>
        <w:tblLayout w:type="fixed"/>
        <w:tblLook w:firstColumn="1" w:firstRow="1" w:lastColumn="0" w:lastRow="0" w:noHBand="0" w:noVBand="1" w:val="04A0"/>
        <w:tblInd w:w="120" w:type="dxa"/>
      </w:tblPr>
      <w:tblGrid>
        <w:gridCol w:w="1200"/>
        <w:gridCol w:w="12768"/>
      </w:tblGrid>
      <w:tr>
        <w:trPr>
          <w:cantSplit w:val="true"/>
          <w:tblHeader w:val="true"/>
        </w:trPr>
        <w:tc>
          <w:tcPr>
            <w:tcW w:type="dxa" w:w="1200"/>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RULE</w:t>
            </w:r>
          </w:p>
        </w:tc>
        <w:tc>
          <w:tcPr>
            <w:tcW w:type="dxa" w:w="12768"/>
            <w:tcMar>
              <w:top w:w="100" w:type="dxa"/>
              <w:start w:w="120" w:type="dxa"/>
              <w:bottom w:w="100" w:type="dxa"/>
              <w:end w:w="120" w:type="dxa"/>
            </w:tcMar>
            <w:vAlign w:val="center"/>
            <w:shd w:fill="174F78"/>
          </w:tcPr>
          <w:p>
            <w:pPr>
              <w:spacing w:after="0" w:line="240" w:lineRule="auto"/>
            </w:pPr>
            <w:r>
              <w:rPr>
                <w:rFonts w:ascii="Aptos" w:hAnsi="Aptos"/>
                <w:b/>
                <w:i w:val="0"/>
                <w:color w:val="FFFFFF"/>
                <w:sz w:val="12"/>
              </w:rPr>
              <w:t>NORMATIVE REQUIREMENT</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G-01</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Every property in regimenRangeRequest, responseProjection, completedQuestionnaireResponse, analysisRequest, and hyperbaricOxygenTherapyLocationRecord has cardinality 1..1.</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G-02</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 required property supplied as null is invalid unless its output schema explicitly requires null for the current result status.</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G-03</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additionalProperties=false closes every request, response, result, error, nested computational object, and roster-record object.</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G-04</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JSON object property names are unique. Duplicate decoded names are rejected under ERR-06 before schema materialization.</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G-05</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JSON numbers are not strings; no coercion, trimming, unit inference, or default insertion is permitted.</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G-06</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Array cardinality is governed by minItems/maxItems or prefixItems. Range arrays are ordered lower then upper and are additionally subject to Section 3.3 and Section 6 invariants.</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G-07</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Schema validity is necessary but not sufficient. Cross-field arithmetic, package-version matching, Appendix E exact lookup, and ordered planning rules remain mandatory.</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G-08</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An additionalProperties violation maps to ERR-04. If several unexpected names occur in the same first-failing object, error_field is the Unicode-code-point-lowest name.</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G-09</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When more than one defect exists, Section 9.2 total precedence—not validator implementation order—determines the single returned error.</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G-10</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Every _iri field contains the exact absolute HTTPS IRI specified by the governing contract. Compact aliases and family IRIs cannot replace required version IRIs.</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G-11</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For each roster record, compact_id, provider_iri, and roster_record_iri SHALL have matching lowercase numeric suffixes, and each provider_iri SHALL occur exactly once in the roster version.</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G-12</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selectable SHALL equal true if and only if roster identity predicates pass, record_status=listed, address_status=candidate with a complete normalized address, and address_verification_required=false. This cross-record rule is evaluated outside JSON Schema.</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G-13</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A roster version is immutable. Any content or selectability change requires a new roster version IRI; analysis SHALL NOT mix records or metadata from different versions.</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G-14</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Roster compatibility requires exact equality among analysisRequest.provider_roster_version_iri, completedQuestionnaireResponse.provider_roster_version_iri, and the CKS-bound ROSTER_VERSION_IRI. Compatibility is not inferred from family, ordering, recency, redirects, or claimed backward compatibility.</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G-15</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After compatible input metadata is established, inability to load the exact roster snapshot or failure of its identity, uniqueness, mapping, or selectability invariants returns ERR-10. This dependency failure is distinct from ERR-05 input incompatibility and ERR-09 provider-selection failure.</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G-16</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The Section 9.2 order is a required procedural validation layer over JSON Schema. A generic schema validator's first diagnostic SHALL NOT determine the CKS error when multiple defects exist.</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G-17</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Every completedAnalysisResult and errorAnalysisResult contains result_instance_iri, issued_at, and the closed resultProvenance object. Their presence does not change error precedence or substantive null rules.</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G-18</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resultProvenance.specification_iri equals the result specification_iri and the governing CKS version. input_received_at SHALL be less than or equal to issued_at; this temporal comparison is evaluated outside JSON Schema.</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G-19</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Fingerprint values and canonicalization modes obey Section 8.2.4. deterministic_result_fingerprint is calculated only after the deterministic 12-field payload is complete and before occurrence fields are attached.</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G-20</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A replay with identical deterministic dependencies and input SHALL reproduce deterministic_result_fingerprint exactly while minting a different result_instance_iri and capturing new timestamps.</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G-21</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For a completed result, execution_burden_level score and category SHALL equal the unique Section 7.3 matrix cell selected by objective_burden.travel_band.value and weekday_attendance_feasibility.reported_value. The score/category/display-label tuple SHALL satisfy the closed Section 8.3 mapping.</w:t>
            </w:r>
          </w:p>
        </w:tc>
      </w:tr>
      <w:tr>
        <w:trPr>
          <w:cantSplit w:val="true"/>
        </w:trPr>
        <w:tc>
          <w:tcPr>
            <w:tcW w:type="dxa" w:w="1200"/>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G-22</w:t>
            </w:r>
          </w:p>
        </w:tc>
        <w:tc>
          <w:tcPr>
            <w:tcW w:type="dxa" w:w="12768"/>
            <w:tcMar>
              <w:top w:w="100" w:type="dxa"/>
              <w:start w:w="120" w:type="dxa"/>
              <w:bottom w:w="100" w:type="dxa"/>
              <w:end w:w="120" w:type="dxa"/>
            </w:tcMar>
            <w:vAlign w:val="center"/>
            <w:shd w:fill="EAF3F7"/>
          </w:tcPr>
          <w:p>
            <w:pPr>
              <w:spacing w:after="0" w:line="240" w:lineRule="auto"/>
            </w:pPr>
            <w:r>
              <w:rPr>
                <w:rFonts w:ascii="Aptos" w:hAnsi="Aptos"/>
                <w:b w:val="0"/>
                <w:i w:val="0"/>
                <w:color w:val="000000"/>
                <w:sz w:val="12"/>
              </w:rPr>
              <w:t>For a completed result, sensitivity SHALL be non-null and contain all six Section 6.4 fields exactly once; assumptions SHALL contain exactly ASM-01 through ASM-04 in ascending code order with the exact Section 8.4 text.</w:t>
            </w:r>
          </w:p>
        </w:tc>
      </w:tr>
      <w:tr>
        <w:trPr>
          <w:cantSplit w:val="true"/>
        </w:trPr>
        <w:tc>
          <w:tcPr>
            <w:tcW w:type="dxa" w:w="1200"/>
            <w:tcMar>
              <w:top w:w="100" w:type="dxa"/>
              <w:start w:w="120" w:type="dxa"/>
              <w:bottom w:w="100" w:type="dxa"/>
              <w:end w:w="120" w:type="dxa"/>
            </w:tcMar>
            <w:vAlign w:val="center"/>
          </w:tcPr>
          <w:p>
            <w:pPr>
              <w:spacing w:after="0" w:line="240" w:lineRule="auto"/>
            </w:pPr>
            <w:r>
              <w:rPr>
                <w:rFonts w:ascii="Aptos" w:hAnsi="Aptos"/>
                <w:b w:val="0"/>
                <w:i w:val="0"/>
                <w:color w:val="000000"/>
                <w:sz w:val="12"/>
              </w:rPr>
              <w:t>G-23</w:t>
            </w:r>
          </w:p>
        </w:tc>
        <w:tc>
          <w:tcPr>
            <w:tcW w:type="dxa" w:w="12768"/>
            <w:tcMar>
              <w:top w:w="100" w:type="dxa"/>
              <w:start w:w="120" w:type="dxa"/>
              <w:bottom w:w="100" w:type="dxa"/>
              <w:end w:w="120" w:type="dxa"/>
            </w:tcMar>
            <w:vAlign w:val="center"/>
          </w:tcPr>
          <w:p>
            <w:pPr>
              <w:spacing w:after="0" w:line="240" w:lineRule="auto"/>
            </w:pPr>
            <w:r>
              <w:rPr>
                <w:rFonts w:ascii="Aptos" w:hAnsi="Aptos"/>
                <w:b w:val="0"/>
                <w:i w:val="0"/>
                <w:color w:val="000000"/>
                <w:sz w:val="12"/>
              </w:rPr>
              <w:t>The unrounded T = (IN-03 × 2) ÷ 60 basis and the three rounded hour-output families SHALL obey the exclusive-use and non-substitution rules in Section 6.3.1. Travel-band classification SHALL use only unrounded T.</w:t>
            </w:r>
          </w:p>
        </w:tc>
      </w:tr>
    </w:tbl>
    <w:p>
      <w:pPr>
        <w:spacing w:after="20"/>
      </w:pPr>
    </w:p>
    <w:sectPr w:rsidR="0015533C" w:rsidSect="00034616">
      <w:headerReference w:type="default" r:id="rId15"/>
      <w:footerReference w:type="default" r:id="rId16"/>
      <w:pgSz w:w="15840" w:h="12240" w:orient="landscape"/>
      <w:pgMar w:top="936" w:right="936" w:bottom="936"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5E9A6" w14:textId="77777777" w:rsidR="001637BA" w:rsidRDefault="001637BA">
      <w:pPr>
        <w:spacing w:after="0" w:line="240" w:lineRule="auto"/>
      </w:pPr>
      <w:r>
        <w:separator/>
      </w:r>
    </w:p>
  </w:endnote>
  <w:endnote w:type="continuationSeparator" w:id="0">
    <w:p w14:paraId="1E79003F" w14:textId="77777777" w:rsidR="001637BA" w:rsidRDefault="00163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DB58E" w14:textId="77777777" w:rsidR="0015533C" w:rsidRDefault="00000000">
    <w:pPr>
      <w:pStyle w:val="Footer"/>
      <w:jc w:val="center"/>
    </w:pPr>
    <w:r>
      <w:rPr>
        <w:color w:val="5A6770"/>
        <w:sz w:val="13"/>
      </w:rPr>
      <w:t xml:space="preserve">UHMS Figure 6 DFU/HBO₂ </w:t>
    </w:r>
    <w:proofErr w:type="gramStart"/>
    <w:r>
      <w:rPr>
        <w:color w:val="5A6770"/>
        <w:sz w:val="13"/>
      </w:rPr>
      <w:t>Algorithm  ·</w:t>
    </w:r>
    <w:proofErr w:type="gramEnd"/>
    <w:r>
      <w:rPr>
        <w:color w:val="5A6770"/>
        <w:sz w:val="13"/>
      </w:rPr>
      <w:t xml:space="preserve">  CKS Version </w:t>
    </w:r>
    <w:proofErr w:type="gramStart"/>
    <w:r>
      <w:rPr>
        <w:color w:val="5A6770"/>
        <w:sz w:val="13"/>
      </w:rPr>
      <w:t>1.0  ·</w:t>
    </w:r>
    <w:proofErr w:type="gramEnd"/>
    <w:r>
      <w:rPr>
        <w:color w:val="5A6770"/>
        <w:sz w:val="13"/>
      </w:rPr>
      <w:t xml:space="preserve">  Page </w:t>
    </w:r>
    <w:r>
      <w:fldChar w:fldCharType="begin"/>
    </w:r>
    <w:r>
      <w:instrText>PAGE</w:instrText>
    </w:r>
    <w:r w:rsidR="0082132D">
      <w:fldChar w:fldCharType="separate"/>
    </w:r>
    <w:r w:rsidR="0082132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09617" w14:textId="77777777" w:rsidR="0015533C" w:rsidRDefault="00000000">
    <w:pPr>
      <w:pStyle w:val="Footer"/>
      <w:jc w:val="center"/>
    </w:pPr>
    <w:r>
      <w:rPr>
        <w:rFonts w:ascii="Aptos" w:hAnsi="Aptos"/>
        <w:b w:val="0"/>
        <w:i w:val="0"/>
        <w:color w:val="5A6770"/>
        <w:sz w:val="13"/>
      </w:rPr>
      <w:t xml:space="preserve">DFU HBOT Bounded Regimen and Execution Burden  ·  Version 1.0  ·  Page </w:t>
    </w:r>
    <w:r>
      <w:fldChar w:fldCharType="begin"/>
    </w:r>
    <w:r>
      <w:instrText xml:space="preserve"> PAGE </w:instrText>
    </w:r>
    <w:r>
      <w:fldChar w:fldCharType="separate"/>
    </w:r>
    <w:r>
      <w:rPr>
        <w:rFonts w:ascii="Aptos" w:hAnsi="Aptos"/>
        <w:b w:val="0"/>
        <w:i w:val="0"/>
        <w:color w:val="5A6770"/>
        <w:sz w:val="13"/>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A6770"/>
        <w:sz w:val="13"/>
      </w:rPr>
      <w:t xml:space="preserve">DFU HBOT Bounded Regimen and Execution Burden  ·  Version 1.0  ·  Page </w:t>
    </w:r>
    <w:r>
      <w:fldChar w:fldCharType="begin"/>
    </w:r>
    <w:r>
      <w:instrText xml:space="preserve"> PAGE </w:instrText>
    </w:r>
    <w:r>
      <w:fldChar w:fldCharType="separate"/>
    </w:r>
    <w:r>
      <w:rPr>
        <w:rFonts w:ascii="Aptos" w:hAnsi="Aptos"/>
        <w:b w:val="0"/>
        <w:i w:val="0"/>
        <w:color w:val="5A6770"/>
        <w:sz w:val="13"/>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3D9BCF" w14:textId="77777777" w:rsidR="001637BA" w:rsidRDefault="001637BA">
      <w:pPr>
        <w:spacing w:after="0" w:line="240" w:lineRule="auto"/>
      </w:pPr>
      <w:r>
        <w:separator/>
      </w:r>
    </w:p>
  </w:footnote>
  <w:footnote w:type="continuationSeparator" w:id="0">
    <w:p w14:paraId="6B2089C7" w14:textId="77777777" w:rsidR="001637BA" w:rsidRDefault="00163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C6333" w14:textId="77777777" w:rsidR="0015533C" w:rsidRDefault="00000000">
    <w:pPr>
      <w:pStyle w:val="Header"/>
      <w:jc w:val="center"/>
    </w:pPr>
    <w:r>
      <w:rPr>
        <w:color w:val="174F78"/>
        <w:sz w:val="13"/>
      </w:rPr>
      <w:t xml:space="preserve">COMPUTABLE KNOWLEDGE </w:t>
    </w:r>
    <w:proofErr w:type="gramStart"/>
    <w:r>
      <w:rPr>
        <w:color w:val="174F78"/>
        <w:sz w:val="13"/>
      </w:rPr>
      <w:t>SPECIFICATION  ·</w:t>
    </w:r>
    <w:proofErr w:type="gramEnd"/>
    <w:r>
      <w:rPr>
        <w:color w:val="174F78"/>
        <w:sz w:val="13"/>
      </w:rPr>
      <w:t xml:space="preserve">  PUBLISHED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3A4A6" w14:textId="77777777" w:rsidR="0015533C" w:rsidRDefault="00000000">
    <w:pPr>
      <w:pStyle w:val="Header"/>
      <w:jc w:val="center"/>
    </w:pPr>
    <w:r>
      <w:rPr>
        <w:rFonts w:ascii="Aptos" w:hAnsi="Aptos"/>
        <w:b w:val="0"/>
        <w:i w:val="0"/>
        <w:color w:val="174F78"/>
        <w:sz w:val="13"/>
      </w:rPr>
      <w:t>COMPUTABLE KNOWLEDGE SPECIFICATION  ·  VERSION 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i w:val="0"/>
        <w:color w:val="174F78"/>
        <w:sz w:val="13"/>
      </w:rPr>
      <w:t>COMPUTABLE KNOWLEDGE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1B2C3D9"/>
    <w:multiLevelType w:val="singleLevel"/>
    <w:tmpl w:val="D0A62B40"/>
    <w:lvl w:ilvl="0">
      <w:start w:val="1"/>
      <w:numFmt w:val="decimal"/>
      <w:lvlText w:val="%1."/>
      <w:lvlJc w:val="left"/>
      <w:pPr>
        <w:tabs>
          <w:tab w:val="num" w:pos="360"/>
        </w:tabs>
        <w:ind w:left="360" w:hanging="360"/>
      </w:pPr>
    </w:lvl>
  </w:abstractNum>
  <w:abstractNum w:abstractNumId="1" w15:restartNumberingAfterBreak="0">
    <w:nsid w:val="A1B2C3DA"/>
    <w:multiLevelType w:val="singleLevel"/>
    <w:tmpl w:val="D0A62B40"/>
    <w:lvl w:ilvl="0">
      <w:start w:val="1"/>
      <w:numFmt w:val="decimal"/>
      <w:lvlText w:val="%1."/>
      <w:lvlJc w:val="left"/>
      <w:pPr>
        <w:tabs>
          <w:tab w:val="num" w:pos="360"/>
        </w:tabs>
        <w:ind w:left="360" w:hanging="360"/>
      </w:pPr>
    </w:lvl>
  </w:abstractNum>
  <w:abstractNum w:abstractNumId="2" w15:restartNumberingAfterBreak="0">
    <w:nsid w:val="A1B2C3DB"/>
    <w:multiLevelType w:val="singleLevel"/>
    <w:tmpl w:val="D0A62B40"/>
    <w:lvl w:ilvl="0">
      <w:start w:val="1"/>
      <w:numFmt w:val="decimal"/>
      <w:lvlText w:val="%1."/>
      <w:lvlJc w:val="left"/>
      <w:pPr>
        <w:tabs>
          <w:tab w:val="num" w:pos="360"/>
        </w:tabs>
        <w:ind w:left="360" w:hanging="360"/>
      </w:pPr>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245988">
    <w:abstractNumId w:val="11"/>
  </w:num>
  <w:num w:numId="2" w16cid:durableId="869682272">
    <w:abstractNumId w:val="9"/>
  </w:num>
  <w:num w:numId="3" w16cid:durableId="331615135">
    <w:abstractNumId w:val="8"/>
  </w:num>
  <w:num w:numId="4" w16cid:durableId="1157645555">
    <w:abstractNumId w:val="7"/>
  </w:num>
  <w:num w:numId="5" w16cid:durableId="1027023430">
    <w:abstractNumId w:val="10"/>
  </w:num>
  <w:num w:numId="6" w16cid:durableId="1035666038">
    <w:abstractNumId w:val="6"/>
  </w:num>
  <w:num w:numId="7" w16cid:durableId="718480081">
    <w:abstractNumId w:val="5"/>
  </w:num>
  <w:num w:numId="8" w16cid:durableId="1964581090">
    <w:abstractNumId w:val="4"/>
  </w:num>
  <w:num w:numId="9" w16cid:durableId="570163926">
    <w:abstractNumId w:val="3"/>
  </w:num>
  <w:num w:numId="10" w16cid:durableId="2075471349">
    <w:abstractNumId w:val="10"/>
    <w:lvlOverride w:ilvl="0">
      <w:startOverride w:val="1"/>
    </w:lvlOverride>
  </w:num>
  <w:num w:numId="11" w16cid:durableId="191654824">
    <w:abstractNumId w:val="10"/>
    <w:lvlOverride w:ilvl="0">
      <w:startOverride w:val="1"/>
    </w:lvlOverride>
  </w:num>
  <w:num w:numId="12" w16cid:durableId="994728176">
    <w:abstractNumId w:val="0"/>
  </w:num>
  <w:num w:numId="13" w16cid:durableId="1077702779">
    <w:abstractNumId w:val="1"/>
  </w:num>
  <w:num w:numId="14" w16cid:durableId="477380541">
    <w:abstractNumId w:val="2"/>
  </w:num>
  <w:num w:numId="15" w16cid:durableId="1733191970">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33C"/>
    <w:rsid w:val="001637BA"/>
    <w:rsid w:val="00251ECD"/>
    <w:rsid w:val="00286709"/>
    <w:rsid w:val="0029639D"/>
    <w:rsid w:val="00326F90"/>
    <w:rsid w:val="003E4483"/>
    <w:rsid w:val="00456569"/>
    <w:rsid w:val="007D26D7"/>
    <w:rsid w:val="0082132D"/>
    <w:rsid w:val="009713B9"/>
    <w:rsid w:val="009844BB"/>
    <w:rsid w:val="00AA1D8D"/>
    <w:rsid w:val="00B47730"/>
    <w:rsid w:val="00BD295A"/>
    <w:rsid w:val="00CB0664"/>
    <w:rsid w:val="00DA0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D7669"/>
  <w14:defaultImageDpi w14:val="300"/>
  <w15:docId w15:val="{0D9DEF8B-D5D8-494D-82A2-10FFC1622C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hAnsi="Aptos"/>
      <w:b w:val="0"/>
      <w:color w:val="000000"/>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4F7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4F78"/>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24374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259"/>
    </w:pPr>
    <w:rPr>
      <w:rFonts w:ascii="Consolas" w:hAnsi="Consolas"/>
      <w:color w:val="17324D"/>
      <w:sz w:val="17"/>
    </w:rPr>
  </w:style>
  <w:style w:type="character" w:styleId="Hyperlink">
    <w:name w:val="Hyperlink"/>
    <w:basedOn w:val="DefaultParagraphFont"/>
    <w:uiPriority w:val="99"/>
    <w:unhideWhenUsed/>
    <w:rsid w:val="007D26D7"/>
    <w:rPr>
      <w:color w:val="0000FF" w:themeColor="hyperlink"/>
      <w:u w:val="single"/>
    </w:rPr>
  </w:style>
  <w:style w:type="character" w:styleId="UnresolvedMention">
    <w:name w:val="Unresolved Mention"/>
    <w:basedOn w:val="DefaultParagraphFont"/>
    <w:uiPriority w:val="99"/>
    <w:semiHidden/>
    <w:unhideWhenUsed/>
    <w:rsid w:val="007D2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yperlink" Target="https://www.uhms.org/accredited-facilities/springhill-medical-center.html" TargetMode="External"/><Relationship Id="rId18" Type="http://schemas.openxmlformats.org/officeDocument/2006/relationships/hyperlink" Target="https://www.uhms.org/accredited-facilities/chandler-regional-hospital.html" TargetMode="External"/><Relationship Id="rId19" Type="http://schemas.openxmlformats.org/officeDocument/2006/relationships/hyperlink" Target="https://www.uhms.org/accredited-facilities/john-muir-medical-center.html" TargetMode="External"/><Relationship Id="rId20" Type="http://schemas.openxmlformats.org/officeDocument/2006/relationships/hyperlink" Target="https://www.uhms.org/accredited-facilities/redlands-community-hospital.html" TargetMode="External"/><Relationship Id="rId21" Type="http://schemas.openxmlformats.org/officeDocument/2006/relationships/hyperlink" Target="https://www.uhms.org/accredited-facilities/david-grant-usaf-medical-center.html" TargetMode="External"/><Relationship Id="rId22" Type="http://schemas.openxmlformats.org/officeDocument/2006/relationships/hyperlink" Target="https://www.uhms.org/accredited-facilities/loma-linda-university-medical-center.html" TargetMode="External"/><Relationship Id="rId23" Type="http://schemas.openxmlformats.org/officeDocument/2006/relationships/hyperlink" Target="https://www.uhms.org/accredited-facilities/ucla-medical-center.html" TargetMode="External"/><Relationship Id="rId24" Type="http://schemas.openxmlformats.org/officeDocument/2006/relationships/hyperlink" Target="https://murrieta.lluh.org/services/wound-care-hyperbaric-medicine/hyperbaric-oxygen" TargetMode="External"/><Relationship Id="rId25" Type="http://schemas.openxmlformats.org/officeDocument/2006/relationships/hyperlink" Target="https://www.uhms.org/accredited-facilities/swedish-medical-center.html" TargetMode="External"/><Relationship Id="rId26" Type="http://schemas.openxmlformats.org/officeDocument/2006/relationships/hyperlink" Target="https://www.uhms.org/accredited-facilities/presbyterian-st-luke-s-medical-center.html" TargetMode="External"/><Relationship Id="rId27" Type="http://schemas.openxmlformats.org/officeDocument/2006/relationships/hyperlink" Target="https://www.uhms.org/accredited-facilities/memorial-hospital.html" TargetMode="External"/><Relationship Id="rId28" Type="http://schemas.openxmlformats.org/officeDocument/2006/relationships/hyperlink" Target="https://www.uhms.org/accredited-facilities/poudre-valley-hospital.html" TargetMode="External"/><Relationship Id="rId29" Type="http://schemas.openxmlformats.org/officeDocument/2006/relationships/hyperlink" Target="https://www.uhms.org/accredited-facilities/griffin-hospital.html" TargetMode="External"/><Relationship Id="rId30" Type="http://schemas.openxmlformats.org/officeDocument/2006/relationships/hyperlink" Target="https://www.uhms.org/accredited-facilities/danbury-hospital.html" TargetMode="External"/><Relationship Id="rId31" Type="http://schemas.openxmlformats.org/officeDocument/2006/relationships/hyperlink" Target="https://www.uhms.org/accredited-facilities/norwalk-hospital.html" TargetMode="External"/><Relationship Id="rId32" Type="http://schemas.openxmlformats.org/officeDocument/2006/relationships/hyperlink" Target="https://www.uhms.org/accredited-facilities/greenwich-hospital.html" TargetMode="External"/><Relationship Id="rId33" Type="http://schemas.openxmlformats.org/officeDocument/2006/relationships/hyperlink" Target="https://www.uhms.org/accredited-facilities/medstar-georgetown-university-hospital.html" TargetMode="External"/><Relationship Id="rId34" Type="http://schemas.openxmlformats.org/officeDocument/2006/relationships/hyperlink" Target="https://www.uhms.org/accredited-facilities/advent-health-orlando.html" TargetMode="External"/><Relationship Id="rId35" Type="http://schemas.openxmlformats.org/officeDocument/2006/relationships/hyperlink" Target="https://www.uhms.org/accredited-facilities/naval-aerospace-medical-institute.html" TargetMode="External"/><Relationship Id="rId36" Type="http://schemas.openxmlformats.org/officeDocument/2006/relationships/hyperlink" Target="https://www.uhms.org/accredited-facilities/kendall-south-medical-center-inc.html" TargetMode="External"/><Relationship Id="rId37" Type="http://schemas.openxmlformats.org/officeDocument/2006/relationships/hyperlink" Target="https://www.adventhealth.com/locations/hospitals/north-pinellas/services/wound-care" TargetMode="External"/><Relationship Id="rId38" Type="http://schemas.openxmlformats.org/officeDocument/2006/relationships/hyperlink" Target="https://www.uhms.org/accredited-facilities/advent-health-hospital-carrollwood.html" TargetMode="External"/><Relationship Id="rId39" Type="http://schemas.openxmlformats.org/officeDocument/2006/relationships/hyperlink" Target="https://www.uhms.org/accredited-facilities/advent-health-hospital-tampa.html" TargetMode="External"/><Relationship Id="rId40" Type="http://schemas.openxmlformats.org/officeDocument/2006/relationships/hyperlink" Target="https://www.uhms.org/accredited-facilities/advent-health-hospital-carrollwood-brandon.html" TargetMode="External"/><Relationship Id="rId41" Type="http://schemas.openxmlformats.org/officeDocument/2006/relationships/hyperlink" Target="https://www.uhms.org/accredited-facilities/hyperbarxs-at-kennestone.html" TargetMode="External"/><Relationship Id="rId42" Type="http://schemas.openxmlformats.org/officeDocument/2006/relationships/hyperlink" Target="https://www.uhms.org/accredited-facilities/emory-university-hospital-midtown.html" TargetMode="External"/><Relationship Id="rId43" Type="http://schemas.openxmlformats.org/officeDocument/2006/relationships/hyperlink" Target="https://www.uhms.org/accredited-facilities/hyox-medical-treatment-center.html" TargetMode="External"/><Relationship Id="rId44" Type="http://schemas.openxmlformats.org/officeDocument/2006/relationships/hyperlink" Target="https://www.uhms.org/accredited-facilities/hyperbarxs-at-st-joseph-s.html" TargetMode="External"/><Relationship Id="rId45" Type="http://schemas.openxmlformats.org/officeDocument/2006/relationships/hyperlink" Target="https://www.uhms.org/accredited-facilities/hyperbarxs-at-north-forsyth.html" TargetMode="External"/><Relationship Id="rId46" Type="http://schemas.openxmlformats.org/officeDocument/2006/relationships/hyperlink" Target="https://www.uhms.org/accredited-facilities/wellstar-north-fulton-hospital.html" TargetMode="External"/><Relationship Id="rId47" Type="http://schemas.openxmlformats.org/officeDocument/2006/relationships/hyperlink" Target="https://www.uhms.org/accredited-facilities/saintalphonsusboise.html" TargetMode="External"/><Relationship Id="rId48" Type="http://schemas.openxmlformats.org/officeDocument/2006/relationships/hyperlink" Target="https://www.uhms.org/accredited-facilities/saintalphonsusnampa.html" TargetMode="External"/><Relationship Id="rId49" Type="http://schemas.openxmlformats.org/officeDocument/2006/relationships/hyperlink" Target="https://www.uhms.org/accredited-facilities/st-lukes-clinic.html" TargetMode="External"/><Relationship Id="rId50" Type="http://schemas.openxmlformats.org/officeDocument/2006/relationships/hyperlink" Target="https://www.uhms.org/accredited-facilities/portneuf-medical-center.html" TargetMode="External"/><Relationship Id="rId51" Type="http://schemas.openxmlformats.org/officeDocument/2006/relationships/hyperlink" Target="https://www.uhms.org/accredited-facilities/edward-hospital.html" TargetMode="External"/><Relationship Id="rId52" Type="http://schemas.openxmlformats.org/officeDocument/2006/relationships/hyperlink" Target="https://www.uhms.org/accredited-facilities/university-of-kansas-hospital.html" TargetMode="External"/><Relationship Id="rId53" Type="http://schemas.openxmlformats.org/officeDocument/2006/relationships/hyperlink" Target="https://www.uhms.org/accredited-facilities/nmc-health.html" TargetMode="External"/><Relationship Id="rId54" Type="http://schemas.openxmlformats.org/officeDocument/2006/relationships/hyperlink" Target="https://www.uhms.org/accredited-facilities/st-elizabeth-healthcare-covington.html" TargetMode="External"/><Relationship Id="rId55" Type="http://schemas.openxmlformats.org/officeDocument/2006/relationships/hyperlink" Target="https://www.uhms.org/accredited-facilities/st-elizabeth-healthcare-ft-thomas.html" TargetMode="External"/><Relationship Id="rId56" Type="http://schemas.openxmlformats.org/officeDocument/2006/relationships/hyperlink" Target="https://www.uhms.org/accredited-facilities/university-of-maryland.html" TargetMode="External"/><Relationship Id="rId57" Type="http://schemas.openxmlformats.org/officeDocument/2006/relationships/hyperlink" Target="https://www.uhms.org/accredited-facilities/upmc-western-maryland.html" TargetMode="External"/><Relationship Id="rId58" Type="http://schemas.openxmlformats.org/officeDocument/2006/relationships/hyperlink" Target="https://www.uhms.org/accredited-facilities/carroll-hospital-center.html" TargetMode="External"/><Relationship Id="rId59" Type="http://schemas.openxmlformats.org/officeDocument/2006/relationships/hyperlink" Target="https://www.uhms.org/accredited-facilities/northwest-hospital-center.html" TargetMode="External"/><Relationship Id="rId60" Type="http://schemas.openxmlformats.org/officeDocument/2006/relationships/hyperlink" Target="https://www.uhms.org/accredited-facilities/beverly-hospital.html" TargetMode="External"/><Relationship Id="rId61" Type="http://schemas.openxmlformats.org/officeDocument/2006/relationships/hyperlink" Target="https://www.ummhealth.org/locations/harrington/harrington-hospital-southbridge-campus" TargetMode="External"/><Relationship Id="rId62" Type="http://schemas.openxmlformats.org/officeDocument/2006/relationships/hyperlink" Target="https://www.uhms.org/accredited-facilities/winchester-hospital.html" TargetMode="External"/><Relationship Id="rId63" Type="http://schemas.openxmlformats.org/officeDocument/2006/relationships/hyperlink" Target="https://www.uhms.org/accredited-facilities/anna-jaques-hospital.html" TargetMode="External"/><Relationship Id="rId64" Type="http://schemas.openxmlformats.org/officeDocument/2006/relationships/hyperlink" Target="https://www.uhms.org/accredited-facilities/corewell-health.html" TargetMode="External"/><Relationship Id="rId65" Type="http://schemas.openxmlformats.org/officeDocument/2006/relationships/hyperlink" Target="https://www.uhms.org/accredited-facilities/lakeland-hospital.html" TargetMode="External"/><Relationship Id="rId66" Type="http://schemas.openxmlformats.org/officeDocument/2006/relationships/hyperlink" Target="https://www.uhms.org/accredited-facilities/mayo-clinic.html" TargetMode="External"/><Relationship Id="rId67" Type="http://schemas.openxmlformats.org/officeDocument/2006/relationships/hyperlink" Target="https://www.uhms.org/accredited-facilities/hennepin-county-medical-center.html" TargetMode="External"/><Relationship Id="rId68" Type="http://schemas.openxmlformats.org/officeDocument/2006/relationships/hyperlink" Target="https://www.mayoclinichealthsystem.org/locations/albert-lea/services-and-treatments/hyperbaric-medicine" TargetMode="External"/><Relationship Id="rId69" Type="http://schemas.openxmlformats.org/officeDocument/2006/relationships/hyperlink" Target="https://www.uhms.org/accredited-facilities/cox-healthcare.html" TargetMode="External"/><Relationship Id="rId70" Type="http://schemas.openxmlformats.org/officeDocument/2006/relationships/hyperlink" Target="https://www.uhms.org/accredited-facilities/freeman-hospital.html" TargetMode="External"/><Relationship Id="rId71" Type="http://schemas.openxmlformats.org/officeDocument/2006/relationships/hyperlink" Target="https://www.uhms.org/accredited-facilities/north-kansas-city-hospital.html" TargetMode="External"/><Relationship Id="rId72" Type="http://schemas.openxmlformats.org/officeDocument/2006/relationships/hyperlink" Target="https://www.uhms.org/accredited-facilities/bozeman.html" TargetMode="External"/><Relationship Id="rId73" Type="http://schemas.openxmlformats.org/officeDocument/2006/relationships/hyperlink" Target="https://www.uhms.org/accredited-facilities/nebraska-medical-center.html" TargetMode="External"/><Relationship Id="rId74" Type="http://schemas.openxmlformats.org/officeDocument/2006/relationships/hyperlink" Target="https://gme.dartmouth-hitchcock.org/endo/contact-us" TargetMode="External"/><Relationship Id="rId75" Type="http://schemas.openxmlformats.org/officeDocument/2006/relationships/hyperlink" Target="https://www.uhms.org/accredited-facilities/concord-hospital.html" TargetMode="External"/><Relationship Id="rId76" Type="http://schemas.openxmlformats.org/officeDocument/2006/relationships/hyperlink" Target="https://www.uhms.org/accredited-facilities/atlanticare.html" TargetMode="External"/><Relationship Id="rId77" Type="http://schemas.openxmlformats.org/officeDocument/2006/relationships/hyperlink" Target="https://www.uhms.org/accredited-facilities/overlook-hospital.html" TargetMode="External"/><Relationship Id="rId78" Type="http://schemas.openxmlformats.org/officeDocument/2006/relationships/hyperlink" Target="https://www.uhms.org/accredited-facilities/chilton-medical-center.html" TargetMode="External"/><Relationship Id="rId79" Type="http://schemas.openxmlformats.org/officeDocument/2006/relationships/hyperlink" Target="https://www.uhms.org/accredited-facilities/saint-peter-s-university-hospital.html" TargetMode="External"/><Relationship Id="rId80" Type="http://schemas.openxmlformats.org/officeDocument/2006/relationships/hyperlink" Target="https://www.christushealth.org/locations/wound-care-hyperbaric-santa-fe" TargetMode="External"/><Relationship Id="rId81" Type="http://schemas.openxmlformats.org/officeDocument/2006/relationships/hyperlink" Target="https://www.uhms.org/accredited-facilities/mercy-hospital-of-buffalo.html" TargetMode="External"/><Relationship Id="rId82" Type="http://schemas.openxmlformats.org/officeDocument/2006/relationships/hyperlink" Target="https://www.uhms.org/accredited-facilities/sisters-hospital-st-joseph-campus.html" TargetMode="External"/><Relationship Id="rId83" Type="http://schemas.openxmlformats.org/officeDocument/2006/relationships/hyperlink" Target="https://www.uhms.org/accredited-facilities/st-joseph-s-medical-center.html" TargetMode="External"/><Relationship Id="rId84" Type="http://schemas.openxmlformats.org/officeDocument/2006/relationships/hyperlink" Target="https://www.uhms.org/accredited-facilities/st-joseph-hospital.html" TargetMode="External"/><Relationship Id="rId85" Type="http://schemas.openxmlformats.org/officeDocument/2006/relationships/hyperlink" Target="https://www.uhms.org/accredited-facilities/st-joseph-s-hospital-health-center.html" TargetMode="External"/><Relationship Id="rId86" Type="http://schemas.openxmlformats.org/officeDocument/2006/relationships/hyperlink" Target="https://www.uhms.org/accredited-facilities/mount-st-mary-s.html" TargetMode="External"/><Relationship Id="rId87" Type="http://schemas.openxmlformats.org/officeDocument/2006/relationships/hyperlink" Target="https://www.uhms.org/accredited-facilities/st-luke-s-hospital.html" TargetMode="External"/><Relationship Id="rId88" Type="http://schemas.openxmlformats.org/officeDocument/2006/relationships/hyperlink" Target="https://www.uhms.org/accredited-facilities/arnot-odgen-medical-center.html" TargetMode="External"/><Relationship Id="rId89" Type="http://schemas.openxmlformats.org/officeDocument/2006/relationships/hyperlink" Target="https://www.uhms.org/accredited-facilities/north-shore-university-hospital.html" TargetMode="External"/><Relationship Id="rId90" Type="http://schemas.openxmlformats.org/officeDocument/2006/relationships/hyperlink" Target="https://www.uhms.org/accredited-facilities/phelps-memorial-hospital-center.html" TargetMode="External"/><Relationship Id="rId91" Type="http://schemas.openxmlformats.org/officeDocument/2006/relationships/hyperlink" Target="https://www.uhms.org/accredited-facilities/nyu-langone-medical-center.html" TargetMode="External"/><Relationship Id="rId92" Type="http://schemas.openxmlformats.org/officeDocument/2006/relationships/hyperlink" Target="https://www.uhms.org/accredited-facilities/northwell-health-plainview-hospital.html" TargetMode="External"/><Relationship Id="rId93" Type="http://schemas.openxmlformats.org/officeDocument/2006/relationships/hyperlink" Target="https://www.uhms.org/accredited-facilities/upstate-university-hospital.html" TargetMode="External"/><Relationship Id="rId94" Type="http://schemas.openxmlformats.org/officeDocument/2006/relationships/hyperlink" Target="https://www.uhms.org/accredited-facilities/northern-dutchess-hospital.html" TargetMode="External"/><Relationship Id="rId95" Type="http://schemas.openxmlformats.org/officeDocument/2006/relationships/hyperlink" Target="https://www.uhms.org/accredited-facilities/putnam-hospital-center.html" TargetMode="External"/><Relationship Id="rId96" Type="http://schemas.openxmlformats.org/officeDocument/2006/relationships/hyperlink" Target="https://www.uhms.org/accredited-facilities/vassar-brothers-medical-center.html" TargetMode="External"/><Relationship Id="rId97" Type="http://schemas.openxmlformats.org/officeDocument/2006/relationships/hyperlink" Target="https://www.uhms.org/accredited-facilities/claxton-hepburn-medical-center.html" TargetMode="External"/><Relationship Id="rId98" Type="http://schemas.openxmlformats.org/officeDocument/2006/relationships/hyperlink" Target="https://www.wphospital.org/services/wound-and-ostomy-care/hyperbaric-oxygen-therapy/" TargetMode="External"/><Relationship Id="rId99" Type="http://schemas.openxmlformats.org/officeDocument/2006/relationships/hyperlink" Target="https://www.uhms.org/accredited-facilities/lich-patchogue.html" TargetMode="External"/><Relationship Id="rId100" Type="http://schemas.openxmlformats.org/officeDocument/2006/relationships/hyperlink" Target="https://www.uhms.org/accredited-facilities/albany-memorial-hospital.html" TargetMode="External"/><Relationship Id="rId101" Type="http://schemas.openxmlformats.org/officeDocument/2006/relationships/hyperlink" Target="https://www.uhms.org/accredited-facilities/westchester-medical-center.html" TargetMode="External"/><Relationship Id="rId102" Type="http://schemas.openxmlformats.org/officeDocument/2006/relationships/hyperlink" Target="https://www.uhms.org/accredited-facilities/good-samaritan-regional-medical-center.html" TargetMode="External"/><Relationship Id="rId103" Type="http://schemas.openxmlformats.org/officeDocument/2006/relationships/hyperlink" Target="https://www.uhms.org/accredited-facilities/united-memorial-medical-center.html" TargetMode="External"/><Relationship Id="rId104" Type="http://schemas.openxmlformats.org/officeDocument/2006/relationships/hyperlink" Target="https://www.uhms.org/accredited-facilities/oneida.html" TargetMode="External"/><Relationship Id="rId105" Type="http://schemas.openxmlformats.org/officeDocument/2006/relationships/hyperlink" Target="https://www.uhms.org/accredited-facilities/unity-hospital.html" TargetMode="External"/><Relationship Id="rId106" Type="http://schemas.openxmlformats.org/officeDocument/2006/relationships/hyperlink" Target="https://www.uhms.org/accredited-facilities/midhudson-regional-hospital-of-westchester-medical-center.html" TargetMode="External"/><Relationship Id="rId107" Type="http://schemas.openxmlformats.org/officeDocument/2006/relationships/hyperlink" Target="https://www.uhms.org/accredited-facilities/nyu-langone-long-island.html" TargetMode="External"/><Relationship Id="rId108" Type="http://schemas.openxmlformats.org/officeDocument/2006/relationships/hyperlink" Target="https://www.uhms.org/accredited-facilities/garnet-catskills.html" TargetMode="External"/><Relationship Id="rId109" Type="http://schemas.openxmlformats.org/officeDocument/2006/relationships/hyperlink" Target="https://www.uhms.org/accredited-facilities/garnet-orange.html" TargetMode="External"/><Relationship Id="rId110" Type="http://schemas.openxmlformats.org/officeDocument/2006/relationships/hyperlink" Target="https://www.uhms.org/accredited-facilities/strong-memorial-hospital.html" TargetMode="External"/><Relationship Id="rId111" Type="http://schemas.openxmlformats.org/officeDocument/2006/relationships/hyperlink" Target="https://www.uhms.org/accredited-facilities/duke-university-medical-center.html" TargetMode="External"/><Relationship Id="rId112" Type="http://schemas.openxmlformats.org/officeDocument/2006/relationships/hyperlink" Target="https://www.uhms.org/accredited-facilities/ohio-health-riverside-methodist-hospital.html" TargetMode="External"/><Relationship Id="rId113" Type="http://schemas.openxmlformats.org/officeDocument/2006/relationships/hyperlink" Target="https://www.uhms.org/accredited-facilities/samaritan-albany-general-hospital.html" TargetMode="External"/><Relationship Id="rId114" Type="http://schemas.openxmlformats.org/officeDocument/2006/relationships/hyperlink" Target="https://www.uhms.org/accredited-facilities/upmc-carlisle.html" TargetMode="External"/><Relationship Id="rId115" Type="http://schemas.openxmlformats.org/officeDocument/2006/relationships/hyperlink" Target="https://www.guthrie.org/locations/robert-packer-hospital-wound-care-center" TargetMode="External"/><Relationship Id="rId116" Type="http://schemas.openxmlformats.org/officeDocument/2006/relationships/hyperlink" Target="https://www.uhms.org/accredited-facilities/upmc-pinnacle-harrisburg.html" TargetMode="External"/><Relationship Id="rId117" Type="http://schemas.openxmlformats.org/officeDocument/2006/relationships/hyperlink" Target="https://www.uhms.org/accredited-facilities/upmc-pinnacle-west-shore.html" TargetMode="External"/><Relationship Id="rId118" Type="http://schemas.openxmlformats.org/officeDocument/2006/relationships/hyperlink" Target="https://www.wellspan.org/locations/center-for-wound-healing-hyperbaric-services-ephrata-loc0000169533" TargetMode="External"/><Relationship Id="rId119" Type="http://schemas.openxmlformats.org/officeDocument/2006/relationships/hyperlink" Target="https://www.uhms.org/accredited-facilities/wellspan-good-samaritan-hospital.html" TargetMode="External"/><Relationship Id="rId120" Type="http://schemas.openxmlformats.org/officeDocument/2006/relationships/hyperlink" Target="https://www.uhms.org/accredited-facilities/reading-hospital.html" TargetMode="External"/><Relationship Id="rId121" Type="http://schemas.openxmlformats.org/officeDocument/2006/relationships/hyperlink" Target="https://www.uhms.org/accredited-facilities/kent-county-hospital.html" TargetMode="External"/><Relationship Id="rId122" Type="http://schemas.openxmlformats.org/officeDocument/2006/relationships/hyperlink" Target="https://www.uhms.org/accredited-facilities/regional-one-health-medical-center.html" TargetMode="External"/><Relationship Id="rId123" Type="http://schemas.openxmlformats.org/officeDocument/2006/relationships/hyperlink" Target="https://www.uhms.org/accredited-facilities/las-palmas.html" TargetMode="External"/><Relationship Id="rId124" Type="http://schemas.openxmlformats.org/officeDocument/2006/relationships/hyperlink" Target="https://www.uhms.org/accredited-facilities/baylor-medical-center-at-irving.html" TargetMode="External"/><Relationship Id="rId125" Type="http://schemas.openxmlformats.org/officeDocument/2006/relationships/hyperlink" Target="https://www.uhms.org/accredited-facilities/presbyterian-hospital.html" TargetMode="External"/><Relationship Id="rId126" Type="http://schemas.openxmlformats.org/officeDocument/2006/relationships/hyperlink" Target="https://www.uhms.org/accredited-facilities/baylor-university-medical-center.html" TargetMode="External"/><Relationship Id="rId127" Type="http://schemas.openxmlformats.org/officeDocument/2006/relationships/hyperlink" Target="https://www.uhms.org/accredited-facilities/memorial-hermann-hospital.html" TargetMode="External"/><Relationship Id="rId128" Type="http://schemas.openxmlformats.org/officeDocument/2006/relationships/hyperlink" Target="https://www.health.mil/Education-and-Training/DHA-GME/Institutions/SAUSHEC/Programs/uhm" TargetMode="External"/><Relationship Id="rId129" Type="http://schemas.openxmlformats.org/officeDocument/2006/relationships/hyperlink" Target="https://www.uhms.org/accredited-facilities/methodist-charlton-medical-center.html" TargetMode="External"/><Relationship Id="rId130" Type="http://schemas.openxmlformats.org/officeDocument/2006/relationships/hyperlink" Target="https://www.uhms.org/accredited-facilities/methodist-dallas-medical-center.html" TargetMode="External"/><Relationship Id="rId131" Type="http://schemas.openxmlformats.org/officeDocument/2006/relationships/hyperlink" Target="https://www.uhms.org/accredited-facilities/baylor-scott-white-medical-center.html" TargetMode="External"/><Relationship Id="rId132" Type="http://schemas.openxmlformats.org/officeDocument/2006/relationships/hyperlink" Target="https://www.uhms.org/accredited-facilities/shannon-medical-center-south.html" TargetMode="External"/><Relationship Id="rId133" Type="http://schemas.openxmlformats.org/officeDocument/2006/relationships/hyperlink" Target="https://www.uhms.org/accredited-facilities/ut-health-east-texas.html" TargetMode="External"/><Relationship Id="rId134" Type="http://schemas.openxmlformats.org/officeDocument/2006/relationships/hyperlink" Target="https://www.uhms.org/accredited-facilities/stgeorge-regional-medical-center.html" TargetMode="External"/><Relationship Id="rId135" Type="http://schemas.openxmlformats.org/officeDocument/2006/relationships/hyperlink" Target="https://www.uhms.org/accredited-facilities/holy-cross-hospital-davis.html" TargetMode="External"/><Relationship Id="rId136" Type="http://schemas.openxmlformats.org/officeDocument/2006/relationships/hyperlink" Target="https://www.uhms.org/accredited-facilities/jordan-valley-medical-center.html" TargetMode="External"/><Relationship Id="rId137" Type="http://schemas.openxmlformats.org/officeDocument/2006/relationships/hyperlink" Target="https://www.uhms.org/accredited-facilities/intermountain-medical-center.html" TargetMode="External"/><Relationship Id="rId138" Type="http://schemas.openxmlformats.org/officeDocument/2006/relationships/hyperlink" Target="https://www.uhms.org/accredited-facilities/lds-hospital.html" TargetMode="External"/><Relationship Id="rId139" Type="http://schemas.openxmlformats.org/officeDocument/2006/relationships/hyperlink" Target="https://www.uhms.org/accredited-facilities/intermountain-logan-regional-hospital.html" TargetMode="External"/><Relationship Id="rId140" Type="http://schemas.openxmlformats.org/officeDocument/2006/relationships/hyperlink" Target="https://www.uhms.org/accredited-facilities/mckay-dee-hospital.html" TargetMode="External"/><Relationship Id="rId141" Type="http://schemas.openxmlformats.org/officeDocument/2006/relationships/hyperlink" Target="https://www.uhms.org/accredited-facilities/utah-valley-regional-medical-center.html" TargetMode="External"/><Relationship Id="rId142" Type="http://schemas.openxmlformats.org/officeDocument/2006/relationships/hyperlink" Target="https://www.uhms.org/accredited-facilities/lakeview-hospital.html" TargetMode="External"/><Relationship Id="rId143" Type="http://schemas.openxmlformats.org/officeDocument/2006/relationships/hyperlink" Target="https://www.uhms.org/accredited-facilities/retreat-hospital.html" TargetMode="External"/><Relationship Id="rId144" Type="http://schemas.openxmlformats.org/officeDocument/2006/relationships/hyperlink" Target="https://www.uhms.org/accredited-facilities/inova-mount-vernon-hospital.html" TargetMode="External"/><Relationship Id="rId145" Type="http://schemas.openxmlformats.org/officeDocument/2006/relationships/hyperlink" Target="https://www.uhms.org/accredited-facilities/virginia-hospital-center.html" TargetMode="External"/><Relationship Id="rId146" Type="http://schemas.openxmlformats.org/officeDocument/2006/relationships/hyperlink" Target="https://www.uhms.org/accredited-facilities/virginia-mason-medical-center.html" TargetMode="External"/><Relationship Id="rId147" Type="http://schemas.openxmlformats.org/officeDocument/2006/relationships/hyperlink" Target="https://www.uhms.org/accredited-facilities/swedish-edmonds-hospital.html" TargetMode="External"/><Relationship Id="rId148" Type="http://schemas.openxmlformats.org/officeDocument/2006/relationships/hyperlink" Target="https://www.uhms.org/accredited-facilities/aurora-baycare-medical-center.html" TargetMode="External"/><Relationship Id="rId149" Type="http://schemas.openxmlformats.org/officeDocument/2006/relationships/hyperlink" Target="https://www.uhms.org/accredited-facilities/aurora-medical-center-burlington.html" TargetMode="External"/><Relationship Id="rId150" Type="http://schemas.openxmlformats.org/officeDocument/2006/relationships/hyperlink" Target="https://www.uhms.org/accredited-facilities/aurora-medical-center-in-grafton.html" TargetMode="External"/><Relationship Id="rId151" Type="http://schemas.openxmlformats.org/officeDocument/2006/relationships/hyperlink" Target="https://www.uhms.org/accredited-facilities/aurora-medical-center-in-summit.html" TargetMode="External"/><Relationship Id="rId152" Type="http://schemas.openxmlformats.org/officeDocument/2006/relationships/hyperlink" Target="https://www.uhms.org/accredited-facilities/aurora-medical-center-washington-co.html" TargetMode="External"/><Relationship Id="rId153" Type="http://schemas.openxmlformats.org/officeDocument/2006/relationships/hyperlink" Target="https://www.uhms.org/accredited-facilities/aurora-medical-center-manitowoc-county.html" TargetMode="External"/><Relationship Id="rId154" Type="http://schemas.openxmlformats.org/officeDocument/2006/relationships/hyperlink" Target="https://www.aurorahealthcare.org/services/wound-care-hyperbaric-medicine" TargetMode="External"/><Relationship Id="rId155" Type="http://schemas.openxmlformats.org/officeDocument/2006/relationships/hyperlink" Target="https://www.uhms.org/accredited-facilities/aurora-health-center-oshkosh.html" TargetMode="External"/><Relationship Id="rId156" Type="http://schemas.openxmlformats.org/officeDocument/2006/relationships/hyperlink" Target="https://www.uhms.org/accredited-facilities/st-luke-s-medical-center.html" TargetMode="External"/><Relationship Id="rId157" Type="http://schemas.openxmlformats.org/officeDocument/2006/relationships/hyperlink" Target="https://www.uhms.org/accredited-facilities/west-allis-memorial-hospital.html" TargetMode="External"/><Relationship Id="rId158" Type="http://schemas.openxmlformats.org/officeDocument/2006/relationships/hyperlink" Target="https://www.uhms.org/accredited-facilities/essentia-health-fargo.html" TargetMode="External"/><Relationship Id="rId159" Type="http://schemas.openxmlformats.org/officeDocument/2006/relationships/hyperlink" Target="https://www.uhms.org/accredited-facilities/meritus-medical-center.html" TargetMode="External"/><Relationship Id="rId160" Type="http://schemas.openxmlformats.org/officeDocument/2006/relationships/hyperlink" Target="https://www.uhms.org/accredited-facilities/mohawk-valley-health-system-advanced-wound-care.html" TargetMode="External"/><Relationship Id="rId161" Type="http://schemas.openxmlformats.org/officeDocument/2006/relationships/hyperlink" Target="https://www.uhms.org/accredited-facilities/summit-health-lakeland.html" TargetMode="External"/><Relationship Id="rId162" Type="http://schemas.openxmlformats.org/officeDocument/2006/relationships/hyperlink" Target="https://www.uhms.org/accredited-facilities/the-brain-performance-centre.html" TargetMode="External"/><Relationship Id="rId163" Type="http://schemas.openxmlformats.org/officeDocument/2006/relationships/hyperlink" Target="https://www.uhms.org/accredited-facilities/winthrop-university-hospital.html" TargetMode="External"/><Relationship Id="rId164" Type="http://schemas.openxmlformats.org/officeDocument/2006/relationships/hyperlink" Target="https://www.uhms.org/accredited-facilities/wound-healing-institute-of-wesley-chap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2593</Words>
  <Characters>18076</Characters>
  <Application>Microsoft Office Word</Application>
  <DocSecurity>0</DocSecurity>
  <Lines>951</Lines>
  <Paragraphs>939</Paragraphs>
  <ScaleCrop>false</ScaleCrop>
  <HeadingPairs>
    <vt:vector size="2" baseType="variant">
      <vt:variant>
        <vt:lpstr>Title</vt:lpstr>
      </vt:variant>
      <vt:variant>
        <vt:i4>1</vt:i4>
      </vt:variant>
    </vt:vector>
  </HeadingPairs>
  <TitlesOfParts>
    <vt:vector size="1" baseType="lpstr">
      <vt:lpstr>Meggitt–Wagner Classification of Diabetic Foot Lesions — CKS-1.0</vt:lpstr>
    </vt:vector>
  </TitlesOfParts>
  <Manager/>
  <Company/>
  <LinksUpToDate>false</LinksUpToDate>
  <CharactersWithSpaces>19730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DFU HBOT Bounded Regimen and Execution Burden — Computable Knowledge Specification</dc:title>
  <dc:subject>Minimal-input bounded HBOT regimen and patient execution burden specification for diabetes-related foot ulcers</dc:subject>
  <dc:creator>Unassigned Version 1.0 specification author</dc:creator>
  <cp:keywords>Wagner scale, diabetic foot lesion, CKS-1.0, response data model, provenance, Questionnaire Logic, Questionnaire Response Analysis, computable knowledge</cp:keywords>
  <dc:description>Frozen release package; publication date 2026-07-29.</dc:description>
  <cp:lastModifiedBy>Editor: Flynn</cp:lastModifiedBy>
  <cp:revision>4</cp:revision>
  <dcterms:created xsi:type="dcterms:W3CDTF">2026-07-28T12:58:00Z</dcterms:created>
  <dcterms:modified xsi:type="dcterms:W3CDTF">2026-07-28T13:36:00Z</dcterms:modified>
  <cp:category/>
  <dc:identifier>https://kgrid.org/cks/meggitt-wagner/versions/cks-1.0</dc:identifier>
</cp:coreProperties>
</file>