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A507EC" w14:textId="084CCEB4" w:rsidR="00922D98" w:rsidRDefault="00000000">
      <w:pPr>
        <w:keepNext/>
        <w:spacing w:after="20"/>
        <w:rPr>
          <w:b/>
          <w:color w:val="17365D"/>
          <w:sz w:val="42"/>
        </w:rPr>
      </w:pPr>
      <w:r>
        <w:rPr>
          <w:b/>
          <w:color w:val="17365D"/>
          <w:sz w:val="42"/>
        </w:rPr>
        <w:t xml:space="preserve">DFU HBO₂ </w:t>
      </w:r>
      <w:r w:rsidR="00AF684D">
        <w:rPr>
          <w:b/>
          <w:color w:val="17365D"/>
          <w:sz w:val="42"/>
        </w:rPr>
        <w:t xml:space="preserve">Treatment </w:t>
      </w:r>
      <w:r>
        <w:rPr>
          <w:b/>
          <w:color w:val="17365D"/>
          <w:sz w:val="42"/>
        </w:rPr>
        <w:t>Decision CKS</w:t>
      </w:r>
      <w:r w:rsidR="00AF684D">
        <w:rPr>
          <w:b/>
          <w:color w:val="17365D"/>
          <w:sz w:val="42"/>
        </w:rPr>
        <w:t xml:space="preserve"> Summary</w:t>
      </w:r>
    </w:p>
    <w:p w14:paraId="503B3FB9" w14:textId="77777777" w:rsidR="00AF684D" w:rsidRDefault="00AF684D">
      <w:pPr>
        <w:keepNext/>
        <w:spacing w:after="20"/>
      </w:pPr>
    </w:p>
    <w:p w14:paraId="76F00EAD" w14:textId="77777777" w:rsidR="00922D98" w:rsidRDefault="00000000">
      <w:pPr>
        <w:shd w:val="clear" w:color="auto" w:fill="E8EEF5"/>
        <w:spacing w:after="120"/>
        <w:ind w:left="173" w:right="173"/>
      </w:pPr>
      <w:r>
        <w:rPr>
          <w:b/>
          <w:color w:val="17365D"/>
        </w:rPr>
        <w:t xml:space="preserve">Purpose. </w:t>
      </w:r>
      <w:r>
        <w:t>This demonstration-only CKS converts four supplied facts about one candidate diabetic foot ulcer into one guideline-branch result for adjunctive hyperbaric oxygen therapy (HBO₂). It implements Figure 6 of the 2015 UHMS guideline; it does not diagnose a DFU, calculate Wagner grade, prescribe an HBO₂ protocol, or determine coverage.</w:t>
      </w:r>
    </w:p>
    <w:p w14:paraId="726FE993" w14:textId="77777777" w:rsidR="00922D98" w:rsidRDefault="00000000">
      <w:pPr>
        <w:keepNext/>
        <w:jc w:val="center"/>
      </w:pPr>
      <w:r>
        <w:rPr>
          <w:b/>
          <w:color w:val="17365D"/>
          <w:sz w:val="19"/>
        </w:rPr>
        <w:t>4 REQUIRED INPUTS  →  COMPLETE VALIDATION  →  ORDERED BRANCHES  →  1 FIXED-SHAPE RESULT</w:t>
      </w:r>
    </w:p>
    <w:p w14:paraId="4A6095AD" w14:textId="77777777" w:rsidR="00922D98" w:rsidRDefault="00000000">
      <w:pPr>
        <w:pStyle w:val="Heading1"/>
      </w:pPr>
      <w:r>
        <w:t>What the function receives</w:t>
      </w:r>
    </w:p>
    <w:p w14:paraId="765AEFA0" w14:textId="77777777" w:rsidR="00922D98" w:rsidRDefault="00000000">
      <w:pPr>
        <w:spacing w:after="70"/>
      </w:pPr>
      <w:r>
        <w:rPr>
          <w:b/>
          <w:color w:val="17365D"/>
        </w:rPr>
        <w:t xml:space="preserve">IN-01  DFU confirmed: </w:t>
      </w:r>
      <w:r>
        <w:t>exact string "true" or "false". "False" produces OUT-OF-SCOPE after all inputs validate.</w:t>
      </w:r>
    </w:p>
    <w:p w14:paraId="19A7CEE7" w14:textId="77777777" w:rsidR="00922D98" w:rsidRDefault="00000000">
      <w:pPr>
        <w:spacing w:after="70"/>
      </w:pPr>
      <w:r>
        <w:rPr>
          <w:b/>
          <w:color w:val="17365D"/>
        </w:rPr>
        <w:t xml:space="preserve">IN-02  Wagner grade: </w:t>
      </w:r>
      <w:r>
        <w:t>integer 0–5, established externally by a qualified clinician or validated upstream capability.</w:t>
      </w:r>
    </w:p>
    <w:p w14:paraId="55B93E78" w14:textId="77777777" w:rsidR="00922D98" w:rsidRDefault="00000000">
      <w:pPr>
        <w:spacing w:after="70"/>
      </w:pPr>
      <w:r>
        <w:rPr>
          <w:b/>
          <w:color w:val="17365D"/>
        </w:rPr>
        <w:t xml:space="preserve">IN-03  Acute surgical intervention: </w:t>
      </w:r>
      <w:r>
        <w:t>exact string "true" or "false"; means recent qualifying infected-foot surgical debridement for Wagner grade ≥3.</w:t>
      </w:r>
    </w:p>
    <w:p w14:paraId="3E9E7788" w14:textId="77777777" w:rsidR="00922D98" w:rsidRDefault="00000000">
      <w:r>
        <w:rPr>
          <w:b/>
          <w:color w:val="17365D"/>
        </w:rPr>
        <w:t xml:space="preserve">IN-04  Not healed after 30 days: </w:t>
      </w:r>
      <w:r>
        <w:t>exact string "true" or "false"; means no significant improvement after at least 30 days of treatment.</w:t>
      </w:r>
    </w:p>
    <w:p w14:paraId="605C727F" w14:textId="77777777" w:rsidR="00922D98" w:rsidRDefault="00000000">
      <w:pPr>
        <w:pStyle w:val="Heading1"/>
      </w:pPr>
      <w:r>
        <w:t>How it calculates the result</w:t>
      </w:r>
    </w:p>
    <w:p w14:paraId="55A16706" w14:textId="77777777" w:rsidR="00922D98" w:rsidRDefault="00000000">
      <w:pPr>
        <w:spacing w:after="70"/>
      </w:pPr>
      <w:r>
        <w:rPr>
          <w:b/>
          <w:color w:val="17365D"/>
        </w:rPr>
        <w:t xml:space="preserve">1. Validate first. </w:t>
      </w:r>
      <w:r>
        <w:t>All four fields are required and validated in a fixed fail-fast order before any clinical branch is evaluated—even if a field will be unreachable on the eventual path. The function does not coerce types, supply defaults, or treat missing values as false; the first validation failure returns its mapped error result.</w:t>
      </w:r>
    </w:p>
    <w:p w14:paraId="2BFA38CF" w14:textId="77777777" w:rsidR="00922D98" w:rsidRDefault="00000000">
      <w:r>
        <w:rPr>
          <w:b/>
          <w:color w:val="17365D"/>
        </w:rPr>
        <w:t xml:space="preserve">2. Evaluate in order. </w:t>
      </w:r>
      <w:r>
        <w:t>For a valid confirmed DFU, Wagner grade divides the population into 0–2 versus 3–5. Within grades 3–5, the acute post-operative branch is evaluated before the 30-day healing branch. This precedence is normative: when acute surgery is true, the already validated 30-day value cannot change the result.</w:t>
      </w:r>
    </w:p>
    <w:p w14:paraId="396218B1" w14:textId="77777777" w:rsidR="00922D98" w:rsidRDefault="00000000">
      <w:pPr>
        <w:pStyle w:val="Heading1"/>
      </w:pPr>
      <w:r>
        <w:t>Ordered clinical branches and returned outcome</w:t>
      </w:r>
    </w:p>
    <w:tbl>
      <w:tblPr>
        <w:tblStyle w:val="TableGrid"/>
        <w:tblW w:w="936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3150"/>
        <w:gridCol w:w="3850"/>
        <w:gridCol w:w="2360"/>
      </w:tblGrid>
      <w:tr w:rsidR="00922D98" w14:paraId="57738B6B" w14:textId="77777777">
        <w:trPr>
          <w:tblHeader/>
        </w:trPr>
        <w:tc>
          <w:tcPr>
            <w:tcW w:w="3150" w:type="dxa"/>
            <w:shd w:val="clear" w:color="auto" w:fill="17365D"/>
            <w:tcMar>
              <w:top w:w="74" w:type="dxa"/>
              <w:left w:w="110" w:type="dxa"/>
              <w:bottom w:w="74" w:type="dxa"/>
              <w:right w:w="110" w:type="dxa"/>
            </w:tcMar>
            <w:vAlign w:val="center"/>
          </w:tcPr>
          <w:p w14:paraId="035A20B0" w14:textId="77777777" w:rsidR="00922D98" w:rsidRDefault="00000000">
            <w:pPr>
              <w:spacing w:after="0"/>
            </w:pPr>
            <w:r>
              <w:rPr>
                <w:b/>
                <w:color w:val="FFFFFF"/>
                <w:sz w:val="17"/>
              </w:rPr>
              <w:t>Condition</w:t>
            </w:r>
          </w:p>
        </w:tc>
        <w:tc>
          <w:tcPr>
            <w:tcW w:w="3850" w:type="dxa"/>
            <w:shd w:val="clear" w:color="auto" w:fill="17365D"/>
            <w:tcMar>
              <w:top w:w="74" w:type="dxa"/>
              <w:left w:w="110" w:type="dxa"/>
              <w:bottom w:w="74" w:type="dxa"/>
              <w:right w:w="110" w:type="dxa"/>
            </w:tcMar>
            <w:vAlign w:val="center"/>
          </w:tcPr>
          <w:p w14:paraId="33A4A002" w14:textId="77777777" w:rsidR="00922D98" w:rsidRDefault="00000000">
            <w:pPr>
              <w:spacing w:after="0"/>
            </w:pPr>
            <w:r>
              <w:rPr>
                <w:b/>
                <w:color w:val="FFFFFF"/>
                <w:sz w:val="17"/>
              </w:rPr>
              <w:t>Returned display meaning</w:t>
            </w:r>
          </w:p>
        </w:tc>
        <w:tc>
          <w:tcPr>
            <w:tcW w:w="2360" w:type="dxa"/>
            <w:shd w:val="clear" w:color="auto" w:fill="17365D"/>
            <w:tcMar>
              <w:top w:w="74" w:type="dxa"/>
              <w:left w:w="110" w:type="dxa"/>
              <w:bottom w:w="74" w:type="dxa"/>
              <w:right w:w="110" w:type="dxa"/>
            </w:tcMar>
            <w:vAlign w:val="center"/>
          </w:tcPr>
          <w:p w14:paraId="4D9B3CAD" w14:textId="77777777" w:rsidR="00922D98" w:rsidRDefault="00000000">
            <w:pPr>
              <w:spacing w:after="0"/>
            </w:pPr>
            <w:r>
              <w:rPr>
                <w:b/>
                <w:color w:val="FFFFFF"/>
                <w:sz w:val="17"/>
              </w:rPr>
              <w:t>Evidence / strength</w:t>
            </w:r>
          </w:p>
        </w:tc>
      </w:tr>
      <w:tr w:rsidR="00922D98" w14:paraId="30C245AB" w14:textId="77777777">
        <w:tc>
          <w:tcPr>
            <w:tcW w:w="3150" w:type="dxa"/>
            <w:shd w:val="clear" w:color="auto" w:fill="F2F4F7"/>
            <w:tcMar>
              <w:top w:w="74" w:type="dxa"/>
              <w:left w:w="110" w:type="dxa"/>
              <w:bottom w:w="74" w:type="dxa"/>
              <w:right w:w="110" w:type="dxa"/>
            </w:tcMar>
            <w:vAlign w:val="center"/>
          </w:tcPr>
          <w:p w14:paraId="06B86828" w14:textId="77777777" w:rsidR="00922D98" w:rsidRDefault="00000000">
            <w:pPr>
              <w:spacing w:after="0" w:line="240" w:lineRule="auto"/>
            </w:pPr>
            <w:r>
              <w:rPr>
                <w:sz w:val="17"/>
              </w:rPr>
              <w:t>DFU = false</w:t>
            </w:r>
          </w:p>
        </w:tc>
        <w:tc>
          <w:tcPr>
            <w:tcW w:w="3850" w:type="dxa"/>
            <w:shd w:val="clear" w:color="auto" w:fill="F2F4F7"/>
            <w:tcMar>
              <w:top w:w="74" w:type="dxa"/>
              <w:left w:w="110" w:type="dxa"/>
              <w:bottom w:w="74" w:type="dxa"/>
              <w:right w:w="110" w:type="dxa"/>
            </w:tcMar>
            <w:vAlign w:val="center"/>
          </w:tcPr>
          <w:p w14:paraId="6B8089AA" w14:textId="77777777" w:rsidR="00922D98" w:rsidRDefault="00000000">
            <w:pPr>
              <w:spacing w:after="0" w:line="240" w:lineRule="auto"/>
            </w:pPr>
            <w:r>
              <w:rPr>
                <w:b/>
                <w:color w:val="17365D"/>
                <w:sz w:val="17"/>
              </w:rPr>
              <w:t>OUT-OF-SCOPE</w:t>
            </w:r>
          </w:p>
        </w:tc>
        <w:tc>
          <w:tcPr>
            <w:tcW w:w="2360" w:type="dxa"/>
            <w:shd w:val="clear" w:color="auto" w:fill="F2F4F7"/>
            <w:tcMar>
              <w:top w:w="74" w:type="dxa"/>
              <w:left w:w="110" w:type="dxa"/>
              <w:bottom w:w="74" w:type="dxa"/>
              <w:right w:w="110" w:type="dxa"/>
            </w:tcMar>
            <w:vAlign w:val="center"/>
          </w:tcPr>
          <w:p w14:paraId="3D2E355F" w14:textId="77777777" w:rsidR="00922D98" w:rsidRDefault="00000000">
            <w:pPr>
              <w:spacing w:after="0" w:line="240" w:lineRule="auto"/>
            </w:pPr>
            <w:r>
              <w:rPr>
                <w:sz w:val="17"/>
              </w:rPr>
              <w:t>No recommendation</w:t>
            </w:r>
          </w:p>
        </w:tc>
      </w:tr>
      <w:tr w:rsidR="00922D98" w14:paraId="0C1C4A18" w14:textId="77777777">
        <w:tc>
          <w:tcPr>
            <w:tcW w:w="3150" w:type="dxa"/>
            <w:tcMar>
              <w:top w:w="74" w:type="dxa"/>
              <w:left w:w="110" w:type="dxa"/>
              <w:bottom w:w="74" w:type="dxa"/>
              <w:right w:w="110" w:type="dxa"/>
            </w:tcMar>
            <w:vAlign w:val="center"/>
          </w:tcPr>
          <w:p w14:paraId="27F787E4" w14:textId="77777777" w:rsidR="00922D98" w:rsidRDefault="00000000">
            <w:pPr>
              <w:spacing w:after="0" w:line="240" w:lineRule="auto"/>
            </w:pPr>
            <w:r>
              <w:rPr>
                <w:sz w:val="17"/>
              </w:rPr>
              <w:t>DFU = true; Wagner 0–2</w:t>
            </w:r>
          </w:p>
        </w:tc>
        <w:tc>
          <w:tcPr>
            <w:tcW w:w="3850" w:type="dxa"/>
            <w:tcMar>
              <w:top w:w="74" w:type="dxa"/>
              <w:left w:w="110" w:type="dxa"/>
              <w:bottom w:w="74" w:type="dxa"/>
              <w:right w:w="110" w:type="dxa"/>
            </w:tcMar>
            <w:vAlign w:val="center"/>
          </w:tcPr>
          <w:p w14:paraId="5E24F657" w14:textId="77777777" w:rsidR="00922D98" w:rsidRDefault="00000000">
            <w:pPr>
              <w:spacing w:after="0" w:line="240" w:lineRule="auto"/>
            </w:pPr>
            <w:r>
              <w:rPr>
                <w:b/>
                <w:color w:val="17365D"/>
                <w:sz w:val="17"/>
              </w:rPr>
              <w:t>Suggest against adding HBO₂</w:t>
            </w:r>
          </w:p>
        </w:tc>
        <w:tc>
          <w:tcPr>
            <w:tcW w:w="2360" w:type="dxa"/>
            <w:tcMar>
              <w:top w:w="74" w:type="dxa"/>
              <w:left w:w="110" w:type="dxa"/>
              <w:bottom w:w="74" w:type="dxa"/>
              <w:right w:w="110" w:type="dxa"/>
            </w:tcMar>
            <w:vAlign w:val="center"/>
          </w:tcPr>
          <w:p w14:paraId="4B0B5081" w14:textId="77777777" w:rsidR="00922D98" w:rsidRDefault="00000000">
            <w:pPr>
              <w:spacing w:after="0" w:line="240" w:lineRule="auto"/>
            </w:pPr>
            <w:r>
              <w:rPr>
                <w:sz w:val="17"/>
              </w:rPr>
              <w:t>Very-low evidence; conditional</w:t>
            </w:r>
          </w:p>
        </w:tc>
      </w:tr>
      <w:tr w:rsidR="00922D98" w14:paraId="609DCBBD" w14:textId="77777777">
        <w:tc>
          <w:tcPr>
            <w:tcW w:w="3150" w:type="dxa"/>
            <w:shd w:val="clear" w:color="auto" w:fill="F2F4F7"/>
            <w:tcMar>
              <w:top w:w="74" w:type="dxa"/>
              <w:left w:w="110" w:type="dxa"/>
              <w:bottom w:w="74" w:type="dxa"/>
              <w:right w:w="110" w:type="dxa"/>
            </w:tcMar>
            <w:vAlign w:val="center"/>
          </w:tcPr>
          <w:p w14:paraId="34533D68" w14:textId="77777777" w:rsidR="00922D98" w:rsidRDefault="00000000">
            <w:pPr>
              <w:spacing w:after="0" w:line="240" w:lineRule="auto"/>
            </w:pPr>
            <w:r>
              <w:rPr>
                <w:sz w:val="17"/>
              </w:rPr>
              <w:t>Wagner 3–5; acute surgery = true</w:t>
            </w:r>
          </w:p>
        </w:tc>
        <w:tc>
          <w:tcPr>
            <w:tcW w:w="3850" w:type="dxa"/>
            <w:shd w:val="clear" w:color="auto" w:fill="F2F4F7"/>
            <w:tcMar>
              <w:top w:w="74" w:type="dxa"/>
              <w:left w:w="110" w:type="dxa"/>
              <w:bottom w:w="74" w:type="dxa"/>
              <w:right w:w="110" w:type="dxa"/>
            </w:tcMar>
            <w:vAlign w:val="center"/>
          </w:tcPr>
          <w:p w14:paraId="78678B94" w14:textId="77777777" w:rsidR="00922D98" w:rsidRDefault="00000000">
            <w:pPr>
              <w:spacing w:after="0" w:line="240" w:lineRule="auto"/>
            </w:pPr>
            <w:r>
              <w:rPr>
                <w:b/>
                <w:color w:val="17365D"/>
                <w:sz w:val="17"/>
              </w:rPr>
              <w:t>Suggest adding HBO₂ urgently after surgery</w:t>
            </w:r>
          </w:p>
        </w:tc>
        <w:tc>
          <w:tcPr>
            <w:tcW w:w="2360" w:type="dxa"/>
            <w:shd w:val="clear" w:color="auto" w:fill="F2F4F7"/>
            <w:tcMar>
              <w:top w:w="74" w:type="dxa"/>
              <w:left w:w="110" w:type="dxa"/>
              <w:bottom w:w="74" w:type="dxa"/>
              <w:right w:w="110" w:type="dxa"/>
            </w:tcMar>
            <w:vAlign w:val="center"/>
          </w:tcPr>
          <w:p w14:paraId="3762B3F0" w14:textId="77777777" w:rsidR="00922D98" w:rsidRDefault="00000000">
            <w:pPr>
              <w:spacing w:after="0" w:line="240" w:lineRule="auto"/>
            </w:pPr>
            <w:r>
              <w:rPr>
                <w:sz w:val="17"/>
              </w:rPr>
              <w:t>Moderate evidence; conditional</w:t>
            </w:r>
          </w:p>
        </w:tc>
      </w:tr>
      <w:tr w:rsidR="00922D98" w14:paraId="707284E5" w14:textId="77777777">
        <w:tc>
          <w:tcPr>
            <w:tcW w:w="3150" w:type="dxa"/>
            <w:tcMar>
              <w:top w:w="74" w:type="dxa"/>
              <w:left w:w="110" w:type="dxa"/>
              <w:bottom w:w="74" w:type="dxa"/>
              <w:right w:w="110" w:type="dxa"/>
            </w:tcMar>
            <w:vAlign w:val="center"/>
          </w:tcPr>
          <w:p w14:paraId="209DEB6D" w14:textId="77777777" w:rsidR="00922D98" w:rsidRDefault="00000000">
            <w:pPr>
              <w:spacing w:after="0" w:line="240" w:lineRule="auto"/>
            </w:pPr>
            <w:r>
              <w:rPr>
                <w:sz w:val="17"/>
              </w:rPr>
              <w:t>Wagner 3–5; no acute surgery; not healed = true</w:t>
            </w:r>
          </w:p>
        </w:tc>
        <w:tc>
          <w:tcPr>
            <w:tcW w:w="3850" w:type="dxa"/>
            <w:tcMar>
              <w:top w:w="74" w:type="dxa"/>
              <w:left w:w="110" w:type="dxa"/>
              <w:bottom w:w="74" w:type="dxa"/>
              <w:right w:w="110" w:type="dxa"/>
            </w:tcMar>
            <w:vAlign w:val="center"/>
          </w:tcPr>
          <w:p w14:paraId="655D7F4D" w14:textId="77777777" w:rsidR="00922D98" w:rsidRDefault="00000000">
            <w:pPr>
              <w:spacing w:after="0" w:line="240" w:lineRule="auto"/>
            </w:pPr>
            <w:r>
              <w:rPr>
                <w:b/>
                <w:color w:val="17365D"/>
                <w:sz w:val="17"/>
              </w:rPr>
              <w:t>Suggest adding HBO₂ to standard of care</w:t>
            </w:r>
          </w:p>
        </w:tc>
        <w:tc>
          <w:tcPr>
            <w:tcW w:w="2360" w:type="dxa"/>
            <w:tcMar>
              <w:top w:w="74" w:type="dxa"/>
              <w:left w:w="110" w:type="dxa"/>
              <w:bottom w:w="74" w:type="dxa"/>
              <w:right w:w="110" w:type="dxa"/>
            </w:tcMar>
            <w:vAlign w:val="center"/>
          </w:tcPr>
          <w:p w14:paraId="4EE98A7C" w14:textId="77777777" w:rsidR="00922D98" w:rsidRDefault="00000000">
            <w:pPr>
              <w:spacing w:after="0" w:line="240" w:lineRule="auto"/>
            </w:pPr>
            <w:r>
              <w:rPr>
                <w:sz w:val="17"/>
              </w:rPr>
              <w:t>Moderate evidence; conditional</w:t>
            </w:r>
          </w:p>
        </w:tc>
      </w:tr>
      <w:tr w:rsidR="00922D98" w14:paraId="378431DB" w14:textId="77777777">
        <w:tc>
          <w:tcPr>
            <w:tcW w:w="3150" w:type="dxa"/>
            <w:shd w:val="clear" w:color="auto" w:fill="F2F4F7"/>
            <w:tcMar>
              <w:top w:w="74" w:type="dxa"/>
              <w:left w:w="110" w:type="dxa"/>
              <w:bottom w:w="74" w:type="dxa"/>
              <w:right w:w="110" w:type="dxa"/>
            </w:tcMar>
            <w:vAlign w:val="center"/>
          </w:tcPr>
          <w:p w14:paraId="74613AD3" w14:textId="77777777" w:rsidR="00922D98" w:rsidRDefault="00000000">
            <w:pPr>
              <w:spacing w:after="0" w:line="240" w:lineRule="auto"/>
            </w:pPr>
            <w:r>
              <w:rPr>
                <w:sz w:val="17"/>
              </w:rPr>
              <w:t>Wagner 3–5; no acute surgery; not healed = false</w:t>
            </w:r>
          </w:p>
        </w:tc>
        <w:tc>
          <w:tcPr>
            <w:tcW w:w="3850" w:type="dxa"/>
            <w:shd w:val="clear" w:color="auto" w:fill="F2F4F7"/>
            <w:tcMar>
              <w:top w:w="74" w:type="dxa"/>
              <w:left w:w="110" w:type="dxa"/>
              <w:bottom w:w="74" w:type="dxa"/>
              <w:right w:w="110" w:type="dxa"/>
            </w:tcMar>
            <w:vAlign w:val="center"/>
          </w:tcPr>
          <w:p w14:paraId="511AB799" w14:textId="77777777" w:rsidR="00922D98" w:rsidRDefault="00000000">
            <w:pPr>
              <w:spacing w:after="0" w:line="240" w:lineRule="auto"/>
            </w:pPr>
            <w:r>
              <w:rPr>
                <w:b/>
                <w:color w:val="17365D"/>
                <w:sz w:val="17"/>
              </w:rPr>
              <w:t>Insufficient data to make a recommendation</w:t>
            </w:r>
          </w:p>
        </w:tc>
        <w:tc>
          <w:tcPr>
            <w:tcW w:w="2360" w:type="dxa"/>
            <w:shd w:val="clear" w:color="auto" w:fill="F2F4F7"/>
            <w:tcMar>
              <w:top w:w="74" w:type="dxa"/>
              <w:left w:w="110" w:type="dxa"/>
              <w:bottom w:w="74" w:type="dxa"/>
              <w:right w:w="110" w:type="dxa"/>
            </w:tcMar>
            <w:vAlign w:val="center"/>
          </w:tcPr>
          <w:p w14:paraId="090247AB" w14:textId="77777777" w:rsidR="00922D98" w:rsidRDefault="00000000">
            <w:pPr>
              <w:spacing w:after="0" w:line="240" w:lineRule="auto"/>
            </w:pPr>
            <w:r>
              <w:rPr>
                <w:sz w:val="17"/>
              </w:rPr>
              <w:t>No strength assigned</w:t>
            </w:r>
          </w:p>
        </w:tc>
      </w:tr>
    </w:tbl>
    <w:p w14:paraId="65796404" w14:textId="77777777" w:rsidR="00922D98" w:rsidRDefault="00000000">
      <w:pPr>
        <w:pStyle w:val="Heading1"/>
      </w:pPr>
      <w:r>
        <w:t>What is returned</w:t>
      </w:r>
    </w:p>
    <w:p w14:paraId="7CFED5E6" w14:textId="77777777" w:rsidR="00922D98" w:rsidRDefault="00000000">
      <w:pPr>
        <w:spacing w:after="0"/>
      </w:pPr>
      <w:r>
        <w:rPr>
          <w:b/>
          <w:color w:val="17365D"/>
          <w:sz w:val="20"/>
        </w:rPr>
        <w:t xml:space="preserve">Unified result. </w:t>
      </w:r>
      <w:r>
        <w:rPr>
          <w:sz w:val="20"/>
        </w:rPr>
        <w:t>Every covered invocation returns one nine-field object with status, result ID, exact display text, evidence quality, recommendation strength, rule ID, error field, source reference, and an empty warnings object. The same shape is used for completed, out-of-scope, and validation-error results. Positive and negative suggestions remain conditional, and HBO₂ is always adjunctive to comprehensive care.</w:t>
      </w:r>
    </w:p>
    <w:sectPr w:rsidR="00922D98" w:rsidSect="00034616">
      <w:footerReference w:type="default" r:id="rId8"/>
      <w:pgSz w:w="12240" w:h="15840"/>
      <w:pgMar w:top="1037" w:right="1440" w:bottom="936"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A61AAA" w14:textId="77777777" w:rsidR="000F326D" w:rsidRDefault="000F326D">
      <w:pPr>
        <w:spacing w:after="0" w:line="240" w:lineRule="auto"/>
      </w:pPr>
      <w:r>
        <w:separator/>
      </w:r>
    </w:p>
  </w:endnote>
  <w:endnote w:type="continuationSeparator" w:id="0">
    <w:p w14:paraId="25830CD6" w14:textId="77777777" w:rsidR="000F326D" w:rsidRDefault="000F3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50EB98" w14:textId="77777777" w:rsidR="00922D98" w:rsidRDefault="00000000">
    <w:pPr>
      <w:pStyle w:val="Footer"/>
    </w:pPr>
    <w:r>
      <w:rPr>
        <w:color w:val="667085"/>
        <w:sz w:val="15"/>
      </w:rPr>
      <w:t xml:space="preserve">Source summarized: UHMS Figure 6 DFU HBO₂ Algorithm CKS, Version </w:t>
    </w:r>
    <w:proofErr w:type="gramStart"/>
    <w:r>
      <w:rPr>
        <w:color w:val="667085"/>
        <w:sz w:val="15"/>
      </w:rPr>
      <w:t>1.0  |</w:t>
    </w:r>
    <w:proofErr w:type="gramEnd"/>
    <w:r>
      <w:rPr>
        <w:color w:val="667085"/>
        <w:sz w:val="15"/>
      </w:rPr>
      <w:t xml:space="preserve">  Informational synopsis; the normative CKS governs implementation.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03F591" w14:textId="77777777" w:rsidR="000F326D" w:rsidRDefault="000F326D">
      <w:pPr>
        <w:spacing w:after="0" w:line="240" w:lineRule="auto"/>
      </w:pPr>
      <w:r>
        <w:separator/>
      </w:r>
    </w:p>
  </w:footnote>
  <w:footnote w:type="continuationSeparator" w:id="0">
    <w:p w14:paraId="249BC3FF" w14:textId="77777777" w:rsidR="000F326D" w:rsidRDefault="000F32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2683717">
    <w:abstractNumId w:val="8"/>
  </w:num>
  <w:num w:numId="2" w16cid:durableId="463818477">
    <w:abstractNumId w:val="6"/>
  </w:num>
  <w:num w:numId="3" w16cid:durableId="1182279208">
    <w:abstractNumId w:val="5"/>
  </w:num>
  <w:num w:numId="4" w16cid:durableId="178617665">
    <w:abstractNumId w:val="4"/>
  </w:num>
  <w:num w:numId="5" w16cid:durableId="1431389804">
    <w:abstractNumId w:val="7"/>
  </w:num>
  <w:num w:numId="6" w16cid:durableId="1895462119">
    <w:abstractNumId w:val="3"/>
  </w:num>
  <w:num w:numId="7" w16cid:durableId="872377911">
    <w:abstractNumId w:val="2"/>
  </w:num>
  <w:num w:numId="8" w16cid:durableId="1903323742">
    <w:abstractNumId w:val="1"/>
  </w:num>
  <w:num w:numId="9" w16cid:durableId="7778685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26D"/>
    <w:rsid w:val="0015074B"/>
    <w:rsid w:val="00175E90"/>
    <w:rsid w:val="0029639D"/>
    <w:rsid w:val="00326F90"/>
    <w:rsid w:val="00922D98"/>
    <w:rsid w:val="00AA1D8D"/>
    <w:rsid w:val="00AF684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96C278"/>
  <w14:defaultImageDpi w14:val="300"/>
  <w15:docId w15:val="{CDEBB842-0578-BE4F-A55D-C8570E5F0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120" w:after="50" w:line="240" w:lineRule="auto"/>
      <w:outlineLvl w:val="0"/>
    </w:pPr>
    <w:rPr>
      <w:rFonts w:asciiTheme="majorHAnsi" w:eastAsiaTheme="majorEastAsia" w:hAnsiTheme="majorHAnsi" w:cstheme="majorBidi"/>
      <w:b/>
      <w:bCs/>
      <w:color w:val="2E74B5"/>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403</Words>
  <Characters>2299</Characters>
  <Application>Microsoft Office Word</Application>
  <DocSecurity>0</DocSecurity>
  <Lines>53</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DFU HBO2 Decision CKS — One-page Clinical Knowledge Summary</dc:title>
  <dc:subject>Informatics summary of validated inputs, ordered decision logic, and outputs</dc:subject>
  <dc:creator>OpenAI Codex</dc:creator>
  <cp:keywords/>
  <dc:description>generated by python-docx</dc:description>
  <cp:lastModifiedBy>Editor: Flynn</cp:lastModifiedBy>
  <cp:revision>2</cp:revision>
  <dcterms:created xsi:type="dcterms:W3CDTF">2013-12-23T23:15:00Z</dcterms:created>
  <dcterms:modified xsi:type="dcterms:W3CDTF">2026-08-06T15:29:00Z</dcterms:modified>
  <cp:category/>
</cp:coreProperties>
</file>