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AD7A05" w14:textId="208AF2E5" w:rsidR="00E516FA" w:rsidRDefault="00000000">
      <w:pPr>
        <w:keepNext/>
        <w:spacing w:after="20"/>
      </w:pPr>
      <w:r>
        <w:rPr>
          <w:b/>
          <w:color w:val="17365D"/>
          <w:sz w:val="42"/>
        </w:rPr>
        <w:t>Meggitt–Wagner CKS</w:t>
      </w:r>
      <w:r w:rsidR="008512C0">
        <w:rPr>
          <w:b/>
          <w:color w:val="17365D"/>
          <w:sz w:val="42"/>
        </w:rPr>
        <w:t xml:space="preserve"> Summary</w:t>
      </w:r>
      <w:r w:rsidR="008512C0">
        <w:rPr>
          <w:b/>
          <w:color w:val="17365D"/>
          <w:sz w:val="42"/>
        </w:rPr>
        <w:br/>
      </w:r>
    </w:p>
    <w:p w14:paraId="5648206F" w14:textId="21504C47" w:rsidR="00E516FA" w:rsidRDefault="00000000">
      <w:pPr>
        <w:shd w:val="clear" w:color="auto" w:fill="E8EEF5"/>
        <w:spacing w:after="120"/>
        <w:ind w:left="173" w:right="173"/>
      </w:pPr>
      <w:r>
        <w:rPr>
          <w:b/>
          <w:color w:val="17365D"/>
        </w:rPr>
        <w:t xml:space="preserve">Purpose. </w:t>
      </w:r>
      <w:r>
        <w:t>This demonstration-only CKS classifies one diabetic foot lesion or assessment site, at one assessment event, as Wagner score 0–5. It specifies classification—not treatment, prognosis, amputation risk, or hyperbaric-oxygen eligibility.</w:t>
      </w:r>
    </w:p>
    <w:p w14:paraId="28112C33" w14:textId="77777777" w:rsidR="00E516FA" w:rsidRDefault="00000000">
      <w:pPr>
        <w:keepNext/>
        <w:jc w:val="center"/>
      </w:pPr>
      <w:r>
        <w:rPr>
          <w:b/>
          <w:color w:val="17365D"/>
          <w:sz w:val="19"/>
        </w:rPr>
        <w:t>QUESTIONNAIRE LOGIC  →  completed logical response  →  RESPONSE ANALYSIS  →  score/status</w:t>
      </w:r>
    </w:p>
    <w:p w14:paraId="35D96D41" w14:textId="77777777" w:rsidR="00E516FA" w:rsidRDefault="00000000">
      <w:pPr>
        <w:pStyle w:val="Heading1"/>
      </w:pPr>
      <w:r>
        <w:t>1  |  Questionnaire Logic — gathers a valid logical response</w:t>
      </w:r>
    </w:p>
    <w:p w14:paraId="71413073" w14:textId="77777777" w:rsidR="00E516FA" w:rsidRDefault="00000000">
      <w:pPr>
        <w:spacing w:after="70"/>
      </w:pPr>
      <w:r>
        <w:rPr>
          <w:b/>
          <w:color w:val="17365D"/>
        </w:rPr>
        <w:t xml:space="preserve">Interaction. </w:t>
      </w:r>
      <w:r>
        <w:t>An adaptive finite-state questionnaire asks only Yes/No questions from a fixed set of ten (Q01–Q10) in one canonical order. The questions establish gangrene extent, ulcer presence/depth, deep abscess, osteomyelitis or comparable deep infection, intact skin, and the Grade 0 at-risk-site condition.</w:t>
      </w:r>
    </w:p>
    <w:p w14:paraId="6CECA3CF" w14:textId="77777777" w:rsidR="00E516FA" w:rsidRDefault="00000000">
      <w:pPr>
        <w:spacing w:after="70"/>
      </w:pPr>
      <w:r>
        <w:rPr>
          <w:b/>
          <w:color w:val="17365D"/>
        </w:rPr>
        <w:t xml:space="preserve">Path logic. </w:t>
      </w:r>
      <w:r>
        <w:t>Earlier answers may entail later answers, prevent contradictions, and make questions unnecessary. The CKS defines 13 terminal paths. A confirmed path becomes a ten-position response array: 1 = Yes, 0 = No, and X = never asked because unnecessary. Questionnaire Logic never writes i (incomplete) and emits nothing if the interaction is abandoned before confirmation.</w:t>
      </w:r>
    </w:p>
    <w:p w14:paraId="4D553BF4" w14:textId="77777777" w:rsidR="00E516FA" w:rsidRDefault="00000000">
      <w:r>
        <w:rPr>
          <w:b/>
          <w:color w:val="17365D"/>
        </w:rPr>
        <w:t xml:space="preserve">Output. </w:t>
      </w:r>
      <w:r>
        <w:t>A seven-field Completed Questionnaire Response carries the three governing IRIs, canonical question IDs, responses, directly answered question IDs, and entailed question IDs. It is a data-gathering artifact; analysis is a separate capability.</w:t>
      </w:r>
    </w:p>
    <w:p w14:paraId="59E9CDF0" w14:textId="77777777" w:rsidR="00E516FA" w:rsidRDefault="00000000">
      <w:pPr>
        <w:pStyle w:val="Heading1"/>
      </w:pPr>
      <w:r>
        <w:t>2  |  Questionnaire Response Analysis — calculates the result</w:t>
      </w:r>
    </w:p>
    <w:p w14:paraId="798E6945" w14:textId="77777777" w:rsidR="00E516FA" w:rsidRDefault="00000000">
      <w:pPr>
        <w:spacing w:after="70"/>
      </w:pPr>
      <w:r>
        <w:rPr>
          <w:b/>
          <w:color w:val="17365D"/>
        </w:rPr>
        <w:t xml:space="preserve">Input and validation. </w:t>
      </w:r>
      <w:r>
        <w:t>This independent element accepts only two ordered arrays—question_ids and responses—and can analyze data that did not come from the protected questionnaire. It verifies the exact ten positions, normalizes accepted forms to 0/1/X/i, rejects malformed input, and returns incomplete_response if any i is present.</w:t>
      </w:r>
    </w:p>
    <w:p w14:paraId="67696A49" w14:textId="77777777" w:rsidR="00E516FA" w:rsidRDefault="00000000">
      <w:r>
        <w:rPr>
          <w:b/>
          <w:color w:val="17365D"/>
        </w:rPr>
        <w:t xml:space="preserve">Calculation. </w:t>
      </w:r>
      <w:r>
        <w:t>The score is not a sum. For Boolean findings, the analysis repeatedly applies the CKS’s mutual-exclusion and entailment rules to deductive closure, stops on contradiction, then tests six explicit grade predicates. For each X, it enumerates every 0/1 substitution, removes contradictory completions, and computes a score only when all remaining valid completions establish the same single grade.</w:t>
      </w:r>
    </w:p>
    <w:p w14:paraId="521F53DA" w14:textId="77777777" w:rsidR="00E516FA" w:rsidRDefault="00000000">
      <w:pPr>
        <w:pStyle w:val="Heading1"/>
      </w:pPr>
      <w:r>
        <w:t>Wagner grade predicates (highest clinical condition represented)</w:t>
      </w:r>
    </w:p>
    <w:tbl>
      <w:tblPr>
        <w:tblStyle w:val="TableGrid"/>
        <w:tblW w:w="9360" w:type="dxa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2500"/>
        <w:gridCol w:w="6100"/>
      </w:tblGrid>
      <w:tr w:rsidR="00E516FA" w14:paraId="33EECAB5" w14:textId="77777777">
        <w:trPr>
          <w:tblHeader/>
        </w:trPr>
        <w:tc>
          <w:tcPr>
            <w:tcW w:w="76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E0AA2A" w14:textId="77777777" w:rsidR="00E516FA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w="25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ECCA2D" w14:textId="77777777" w:rsidR="00E516FA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w="61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4EDAC" w14:textId="77777777" w:rsidR="00E516FA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Predicate in plain language</w:t>
            </w:r>
          </w:p>
        </w:tc>
      </w:tr>
      <w:tr w:rsidR="00E516FA" w14:paraId="33B97E45" w14:textId="77777777">
        <w:tc>
          <w:tcPr>
            <w:tcW w:w="76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E358E5" w14:textId="77777777" w:rsidR="00E516FA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5</w:t>
            </w:r>
          </w:p>
        </w:tc>
        <w:tc>
          <w:tcPr>
            <w:tcW w:w="25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D62C8C" w14:textId="77777777" w:rsidR="00E516FA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Extensive gangrene</w:t>
            </w:r>
          </w:p>
        </w:tc>
        <w:tc>
          <w:tcPr>
            <w:tcW w:w="61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77CB27" w14:textId="77777777" w:rsidR="00E516FA" w:rsidRDefault="00000000">
            <w:pPr>
              <w:spacing w:after="0" w:line="240" w:lineRule="auto"/>
            </w:pPr>
            <w:r>
              <w:rPr>
                <w:sz w:val="17"/>
              </w:rPr>
              <w:t>Q01</w:t>
            </w:r>
          </w:p>
        </w:tc>
      </w:tr>
      <w:tr w:rsidR="00E516FA" w14:paraId="5DA647B7" w14:textId="77777777">
        <w:tc>
          <w:tcPr>
            <w:tcW w:w="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2DF481" w14:textId="77777777" w:rsidR="00E516FA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4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09F817" w14:textId="77777777" w:rsidR="00E516FA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Localized gangrene</w:t>
            </w:r>
          </w:p>
        </w:tc>
        <w:tc>
          <w:tcPr>
            <w:tcW w:w="6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7F7488" w14:textId="77777777" w:rsidR="00E516FA" w:rsidRDefault="00000000">
            <w:pPr>
              <w:spacing w:after="0" w:line="240" w:lineRule="auto"/>
            </w:pPr>
            <w:r>
              <w:rPr>
                <w:sz w:val="17"/>
              </w:rPr>
              <w:t>not Q01; Q02</w:t>
            </w:r>
          </w:p>
        </w:tc>
      </w:tr>
      <w:tr w:rsidR="00E516FA" w14:paraId="53924044" w14:textId="77777777">
        <w:tc>
          <w:tcPr>
            <w:tcW w:w="76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A2E2B" w14:textId="77777777" w:rsidR="00E516FA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3</w:t>
            </w:r>
          </w:p>
        </w:tc>
        <w:tc>
          <w:tcPr>
            <w:tcW w:w="25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69F6AC" w14:textId="77777777" w:rsidR="00E516FA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Deep ulcer + deep complication</w:t>
            </w:r>
          </w:p>
        </w:tc>
        <w:tc>
          <w:tcPr>
            <w:tcW w:w="61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28F02A" w14:textId="77777777" w:rsidR="00E516FA" w:rsidRDefault="00000000">
            <w:pPr>
              <w:spacing w:after="0" w:line="240" w:lineRule="auto"/>
            </w:pPr>
            <w:r>
              <w:rPr>
                <w:sz w:val="17"/>
              </w:rPr>
              <w:t>no gangrene; open/deep ulcer; Q03 or Q04 or Q05</w:t>
            </w:r>
          </w:p>
        </w:tc>
      </w:tr>
      <w:tr w:rsidR="00E516FA" w14:paraId="0FFEF688" w14:textId="77777777">
        <w:tc>
          <w:tcPr>
            <w:tcW w:w="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B855B5" w14:textId="77777777" w:rsidR="00E516FA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2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BCD4E6" w14:textId="77777777" w:rsidR="00E516FA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Deep ulcer</w:t>
            </w:r>
          </w:p>
        </w:tc>
        <w:tc>
          <w:tcPr>
            <w:tcW w:w="6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4054B9" w14:textId="77777777" w:rsidR="00E516FA" w:rsidRDefault="00000000">
            <w:pPr>
              <w:spacing w:after="0" w:line="240" w:lineRule="auto"/>
            </w:pPr>
            <w:r>
              <w:rPr>
                <w:sz w:val="17"/>
              </w:rPr>
              <w:t>no gangrene; open/deep ulcer; no Q03–Q05</w:t>
            </w:r>
          </w:p>
        </w:tc>
      </w:tr>
      <w:tr w:rsidR="00E516FA" w14:paraId="1CAED55A" w14:textId="77777777">
        <w:tc>
          <w:tcPr>
            <w:tcW w:w="76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447129" w14:textId="77777777" w:rsidR="00E516FA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1</w:t>
            </w:r>
          </w:p>
        </w:tc>
        <w:tc>
          <w:tcPr>
            <w:tcW w:w="25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B5FCC0" w14:textId="77777777" w:rsidR="00E516FA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Superficial ulcer</w:t>
            </w:r>
          </w:p>
        </w:tc>
        <w:tc>
          <w:tcPr>
            <w:tcW w:w="61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AE16D5" w14:textId="77777777" w:rsidR="00E516FA" w:rsidRDefault="00000000">
            <w:pPr>
              <w:spacing w:after="0" w:line="240" w:lineRule="auto"/>
            </w:pPr>
            <w:r>
              <w:rPr>
                <w:sz w:val="17"/>
              </w:rPr>
              <w:t>no gangrene; open superficial ulcer; no Q03–Q05</w:t>
            </w:r>
          </w:p>
        </w:tc>
      </w:tr>
      <w:tr w:rsidR="00E516FA" w14:paraId="629BAE95" w14:textId="77777777">
        <w:tc>
          <w:tcPr>
            <w:tcW w:w="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3BADB7" w14:textId="77777777" w:rsidR="00E516FA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0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844562" w14:textId="77777777" w:rsidR="00E516FA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At-risk foot; no open ulcer</w:t>
            </w:r>
          </w:p>
        </w:tc>
        <w:tc>
          <w:tcPr>
            <w:tcW w:w="6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669CD7" w14:textId="77777777" w:rsidR="00E516FA" w:rsidRDefault="00000000">
            <w:pPr>
              <w:spacing w:after="0" w:line="240" w:lineRule="auto"/>
            </w:pPr>
            <w:r>
              <w:rPr>
                <w:sz w:val="17"/>
              </w:rPr>
              <w:t>no gangrene/open ulcer; intact skin; Q10</w:t>
            </w:r>
          </w:p>
        </w:tc>
      </w:tr>
    </w:tbl>
    <w:p w14:paraId="0985791A" w14:textId="77777777" w:rsidR="00E516FA" w:rsidRDefault="00000000">
      <w:pPr>
        <w:spacing w:before="80" w:after="0" w:line="245" w:lineRule="auto"/>
      </w:pPr>
      <w:r>
        <w:rPr>
          <w:b/>
          <w:color w:val="17365D"/>
          <w:sz w:val="18"/>
        </w:rPr>
        <w:t xml:space="preserve">Result contract. </w:t>
      </w:r>
      <w:r>
        <w:rPr>
          <w:sz w:val="18"/>
        </w:rPr>
        <w:t>The five-field result mirrors normalized inputs and returns grade_computed plus one score/label, or no score with incomplete_response, conflicting_response, indeterminate, or the defensive ambiguous status.</w:t>
      </w:r>
    </w:p>
    <w:sectPr w:rsidR="00E516FA" w:rsidSect="00034616">
      <w:footerReference w:type="default" r:id="rId8"/>
      <w:pgSz w:w="12240" w:h="15840"/>
      <w:pgMar w:top="1037" w:right="1440" w:bottom="936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458A0E" w14:textId="77777777" w:rsidR="008B5D9A" w:rsidRDefault="008B5D9A">
      <w:pPr>
        <w:spacing w:after="0" w:line="240" w:lineRule="auto"/>
      </w:pPr>
      <w:r>
        <w:separator/>
      </w:r>
    </w:p>
  </w:endnote>
  <w:endnote w:type="continuationSeparator" w:id="0">
    <w:p w14:paraId="6B5641A8" w14:textId="77777777" w:rsidR="008B5D9A" w:rsidRDefault="008B5D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0DBF4A" w14:textId="77777777" w:rsidR="00E516FA" w:rsidRDefault="00000000">
    <w:pPr>
      <w:pStyle w:val="Footer"/>
    </w:pPr>
    <w:r>
      <w:rPr>
        <w:color w:val="667085"/>
        <w:sz w:val="15"/>
      </w:rPr>
      <w:t xml:space="preserve">Source summarized: Meggitt–Wagner Questionnaire CKS, Version </w:t>
    </w:r>
    <w:proofErr w:type="gramStart"/>
    <w:r>
      <w:rPr>
        <w:color w:val="667085"/>
        <w:sz w:val="15"/>
      </w:rPr>
      <w:t>1.0  |</w:t>
    </w:r>
    <w:proofErr w:type="gramEnd"/>
    <w:r>
      <w:rPr>
        <w:color w:val="667085"/>
        <w:sz w:val="15"/>
      </w:rPr>
      <w:t xml:space="preserve">  Informational synopsis; the normative CKS governs implementation.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543F515" w14:textId="77777777" w:rsidR="008B5D9A" w:rsidRDefault="008B5D9A">
      <w:pPr>
        <w:spacing w:after="0" w:line="240" w:lineRule="auto"/>
      </w:pPr>
      <w:r>
        <w:separator/>
      </w:r>
    </w:p>
  </w:footnote>
  <w:footnote w:type="continuationSeparator" w:id="0">
    <w:p w14:paraId="17080429" w14:textId="77777777" w:rsidR="008B5D9A" w:rsidRDefault="008B5D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940541">
    <w:abstractNumId w:val="8"/>
  </w:num>
  <w:num w:numId="2" w16cid:durableId="1042287411">
    <w:abstractNumId w:val="6"/>
  </w:num>
  <w:num w:numId="3" w16cid:durableId="1332442532">
    <w:abstractNumId w:val="5"/>
  </w:num>
  <w:num w:numId="4" w16cid:durableId="409813599">
    <w:abstractNumId w:val="4"/>
  </w:num>
  <w:num w:numId="5" w16cid:durableId="1147630892">
    <w:abstractNumId w:val="7"/>
  </w:num>
  <w:num w:numId="6" w16cid:durableId="1859730511">
    <w:abstractNumId w:val="3"/>
  </w:num>
  <w:num w:numId="7" w16cid:durableId="1098478771">
    <w:abstractNumId w:val="2"/>
  </w:num>
  <w:num w:numId="8" w16cid:durableId="1386025557">
    <w:abstractNumId w:val="1"/>
  </w:num>
  <w:num w:numId="9" w16cid:durableId="10641090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E90"/>
    <w:rsid w:val="0029639D"/>
    <w:rsid w:val="00326F90"/>
    <w:rsid w:val="008512C0"/>
    <w:rsid w:val="008B5D9A"/>
    <w:rsid w:val="00AA1D8D"/>
    <w:rsid w:val="00B47730"/>
    <w:rsid w:val="00CB0664"/>
    <w:rsid w:val="00E516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6AE558"/>
  <w14:defaultImageDpi w14:val="300"/>
  <w15:docId w15:val="{CDEBB842-0578-BE4F-A55D-C8570E5F0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5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400</Words>
  <Characters>2434</Characters>
  <Application>Microsoft Office Word</Application>
  <DocSecurity>0</DocSecurity>
  <Lines>50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Meggitt–Wagner CKS — One-page Clinical Knowledge Summary</dc:title>
  <dc:subject>Informatics summary of questionnaire and scoring logic</dc:subject>
  <dc:creator>OpenAI Codex</dc:creator>
  <cp:keywords/>
  <dc:description>generated by python-docx</dc:description>
  <cp:lastModifiedBy>Editor: Flynn</cp:lastModifiedBy>
  <cp:revision>2</cp:revision>
  <dcterms:created xsi:type="dcterms:W3CDTF">2013-12-23T23:15:00Z</dcterms:created>
  <dcterms:modified xsi:type="dcterms:W3CDTF">2026-08-06T13:23:00Z</dcterms:modified>
  <cp:category/>
</cp:coreProperties>
</file>