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646BD" w14:textId="76194B5A" w:rsidR="00D62B8E" w:rsidRDefault="00000000">
      <w:pPr>
        <w:keepNext/>
        <w:spacing w:after="20"/>
        <w:rPr>
          <w:b/>
          <w:color w:val="17365D"/>
          <w:sz w:val="42"/>
        </w:rPr>
      </w:pPr>
      <w:r>
        <w:rPr>
          <w:b/>
          <w:color w:val="17365D"/>
          <w:sz w:val="42"/>
        </w:rPr>
        <w:t>DFU HBOT Burden CKS</w:t>
      </w:r>
      <w:r w:rsidR="00F105E7">
        <w:rPr>
          <w:b/>
          <w:color w:val="17365D"/>
          <w:sz w:val="42"/>
        </w:rPr>
        <w:t xml:space="preserve"> Summary</w:t>
      </w:r>
    </w:p>
    <w:p w14:paraId="3A5D9BBD" w14:textId="77777777" w:rsidR="00F105E7" w:rsidRDefault="00F105E7">
      <w:pPr>
        <w:keepNext/>
        <w:spacing w:after="20"/>
      </w:pPr>
    </w:p>
    <w:p w14:paraId="2D618024" w14:textId="77777777" w:rsidR="00D62B8E" w:rsidRDefault="00000000">
      <w:pPr>
        <w:shd w:val="clear" w:color="auto" w:fill="E8EEF5"/>
        <w:spacing w:after="100"/>
        <w:ind w:left="173" w:right="173"/>
      </w:pPr>
      <w:r>
        <w:rPr>
          <w:b/>
          <w:color w:val="17365D"/>
        </w:rPr>
        <w:t xml:space="preserve">Purpose. </w:t>
      </w:r>
      <w:r>
        <w:t>This DFU-specific planning CKS estimates the execution burden of a contemplated outpatient HBOT course. It combines a fixed population-level regimen envelope with one selected facility, patient-reported travel, and reported weekday-attendance difficulty. It does not determine HBOT eligibility, prescribe a regimen, predict completion or benefit, or calculate financial burden.</w:t>
      </w:r>
    </w:p>
    <w:p w14:paraId="107DAF2F" w14:textId="77777777" w:rsidR="00D62B8E" w:rsidRDefault="00000000">
      <w:pPr>
        <w:keepNext/>
        <w:spacing w:after="60"/>
        <w:jc w:val="center"/>
      </w:pPr>
      <w:r>
        <w:rPr>
          <w:b/>
          <w:color w:val="17365D"/>
          <w:sz w:val="19"/>
        </w:rPr>
        <w:t>FIXED REGIMEN RANGE  +  CONFIRMED 4-FIELD RESPONSE  →  BURDEN ANALYSIS</w:t>
      </w:r>
    </w:p>
    <w:p w14:paraId="40B66A34" w14:textId="77777777" w:rsidR="00D62B8E" w:rsidRDefault="00000000">
      <w:pPr>
        <w:pStyle w:val="Heading1"/>
      </w:pPr>
      <w:r>
        <w:t>Three connected capabilities</w:t>
      </w:r>
    </w:p>
    <w:p w14:paraId="31151559" w14:textId="77777777" w:rsidR="00D62B8E" w:rsidRDefault="00000000">
      <w:pPr>
        <w:spacing w:after="64"/>
      </w:pPr>
      <w:r>
        <w:rPr>
          <w:b/>
          <w:color w:val="17365D"/>
          <w:sz w:val="21"/>
        </w:rPr>
        <w:t xml:space="preserve">1. Regimen Range. </w:t>
      </w:r>
      <w:r>
        <w:rPr>
          <w:sz w:val="21"/>
        </w:rPr>
        <w:t>Returns both governed planning scenarios: 30 episodes and 40 episodes, five sessions per week (6 and 8 weeks), with one fixed three-hour scheduled facility block per episode. Neither scenario is selected or tailored for the patient.</w:t>
      </w:r>
    </w:p>
    <w:p w14:paraId="10E0C39D" w14:textId="77777777" w:rsidR="00D62B8E" w:rsidRDefault="00000000">
      <w:pPr>
        <w:spacing w:after="64"/>
      </w:pPr>
      <w:r>
        <w:rPr>
          <w:b/>
          <w:color w:val="17365D"/>
          <w:sz w:val="21"/>
        </w:rPr>
        <w:t xml:space="preserve">2. Burden Questionnaire Logic. </w:t>
      </w:r>
      <w:r>
        <w:rPr>
          <w:sz w:val="21"/>
        </w:rPr>
        <w:t>In fixed order, collects and confirms: HBOT location from the bound U.S. roster; usual one-way miles; usual one-way travel minutes; and expected non-travel weekday-attendance difficulty (none, some, or major). Abandonment before confirmation emits no response.</w:t>
      </w:r>
    </w:p>
    <w:p w14:paraId="19BD0E11" w14:textId="77777777" w:rsidR="00D62B8E" w:rsidRDefault="00000000">
      <w:pPr>
        <w:spacing w:after="70"/>
      </w:pPr>
      <w:r>
        <w:rPr>
          <w:b/>
          <w:color w:val="17365D"/>
          <w:sz w:val="21"/>
        </w:rPr>
        <w:t xml:space="preserve">3. Burden Response Analysis. </w:t>
      </w:r>
      <w:r>
        <w:rPr>
          <w:sz w:val="21"/>
        </w:rPr>
        <w:t>Validates the complete regimen and questionnaire artifacts, resolves the selected roster record, applies the same patient response to both scenarios, and returns objective burden, the reported attendance value, and one rule-derived execution-burden level.</w:t>
      </w:r>
    </w:p>
    <w:p w14:paraId="04D16637" w14:textId="77777777" w:rsidR="00D62B8E" w:rsidRDefault="00000000">
      <w:pPr>
        <w:pStyle w:val="Heading1"/>
      </w:pPr>
      <w:r>
        <w:t>What is calculated—and how</w:t>
      </w:r>
    </w:p>
    <w:p w14:paraId="704AFCC2" w14:textId="77777777" w:rsidR="00D62B8E" w:rsidRDefault="00000000">
      <w:pPr>
        <w:spacing w:after="64"/>
      </w:pPr>
      <w:r>
        <w:rPr>
          <w:b/>
          <w:color w:val="17365D"/>
          <w:sz w:val="21"/>
        </w:rPr>
        <w:t xml:space="preserve">Travel basis. </w:t>
      </w:r>
      <w:r>
        <w:rPr>
          <w:sz w:val="21"/>
        </w:rPr>
        <w:t>Round-trip miles D = 2 × one-way miles. Round-trip travel hours T = (2 × one-way minutes) ÷ 60. The CKS does not geocode, route, infer speed, or adjust for traffic, parking, waiting, or weather.</w:t>
      </w:r>
    </w:p>
    <w:p w14:paraId="07CF81D6" w14:textId="77777777" w:rsidR="00D62B8E" w:rsidRDefault="00000000">
      <w:pPr>
        <w:spacing w:after="64"/>
      </w:pPr>
      <w:r>
        <w:rPr>
          <w:b/>
          <w:color w:val="17365D"/>
          <w:sz w:val="21"/>
        </w:rPr>
        <w:t xml:space="preserve">Each scenario (V = 30 or 40 episodes). </w:t>
      </w:r>
      <w:r>
        <w:rPr>
          <w:sz w:val="21"/>
        </w:rPr>
        <w:t>Course weeks = V ÷ 5; course miles = V × D; travel hours = V × T; facility hours = V × 3; and total patient hours = V × (T + 3). The overall range uses the shorter scenario as its lower endpoint and the longer scenario as its upper endpoint. The additional 10 episodes also produce an explicit incremental-burden sensitivity result.</w:t>
      </w:r>
    </w:p>
    <w:p w14:paraId="3EB49CAC" w14:textId="77777777" w:rsidR="00D62B8E" w:rsidRDefault="00000000">
      <w:pPr>
        <w:spacing w:after="70"/>
      </w:pPr>
      <w:r>
        <w:rPr>
          <w:b/>
          <w:color w:val="17365D"/>
          <w:sz w:val="21"/>
        </w:rPr>
        <w:t xml:space="preserve">Bounded presentation. </w:t>
      </w:r>
      <w:r>
        <w:rPr>
          <w:sz w:val="21"/>
        </w:rPr>
        <w:t>Hour endpoints are rounded outward so the serialized shorter-to-longer result remains a planning bound. Travel-band and level classification always use the unrounded T, preventing display rounding from changing the category.</w:t>
      </w:r>
    </w:p>
    <w:p w14:paraId="31EB5996" w14:textId="77777777" w:rsidR="00D62B8E" w:rsidRDefault="00000000">
      <w:pPr>
        <w:pStyle w:val="Heading1"/>
      </w:pPr>
      <w:r>
        <w:t>Five-level execution-burden calculation</w:t>
      </w:r>
    </w:p>
    <w:p w14:paraId="2CD8A6EF" w14:textId="77777777" w:rsidR="00D62B8E" w:rsidRDefault="00000000">
      <w:pPr>
        <w:spacing w:after="60" w:line="250" w:lineRule="auto"/>
      </w:pPr>
      <w:r>
        <w:rPr>
          <w:b/>
          <w:color w:val="17365D"/>
          <w:sz w:val="19"/>
        </w:rPr>
        <w:t xml:space="preserve">Travel band from unrounded round-trip time: </w:t>
      </w:r>
      <w:r>
        <w:rPr>
          <w:sz w:val="19"/>
        </w:rPr>
        <w:t>low &lt;1 h; moderate 1–&lt;2 h; high 2–&lt;3 h; very high ≥3 h. The matrix combines that band with the reported attendance value; attendance does not change regimen arithmetic.</w:t>
      </w:r>
    </w:p>
    <w:tbl>
      <w:tblPr>
        <w:tblStyle w:val="TableGrid"/>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00"/>
        <w:gridCol w:w="2450"/>
        <w:gridCol w:w="2450"/>
        <w:gridCol w:w="2560"/>
      </w:tblGrid>
      <w:tr w:rsidR="00D62B8E" w14:paraId="1E48C7B1" w14:textId="77777777">
        <w:trPr>
          <w:tblHeader/>
        </w:trPr>
        <w:tc>
          <w:tcPr>
            <w:tcW w:w="1900" w:type="dxa"/>
            <w:shd w:val="clear" w:color="auto" w:fill="17365D"/>
            <w:tcMar>
              <w:top w:w="70" w:type="dxa"/>
              <w:left w:w="100" w:type="dxa"/>
              <w:bottom w:w="70" w:type="dxa"/>
              <w:right w:w="100" w:type="dxa"/>
            </w:tcMar>
            <w:vAlign w:val="center"/>
          </w:tcPr>
          <w:p w14:paraId="0E88F7B1" w14:textId="77777777" w:rsidR="00D62B8E" w:rsidRDefault="00000000">
            <w:pPr>
              <w:spacing w:after="0"/>
            </w:pPr>
            <w:r>
              <w:rPr>
                <w:b/>
                <w:color w:val="FFFFFF"/>
                <w:sz w:val="17"/>
              </w:rPr>
              <w:t>Travel band</w:t>
            </w:r>
          </w:p>
        </w:tc>
        <w:tc>
          <w:tcPr>
            <w:tcW w:w="2450" w:type="dxa"/>
            <w:shd w:val="clear" w:color="auto" w:fill="17365D"/>
            <w:tcMar>
              <w:top w:w="70" w:type="dxa"/>
              <w:left w:w="100" w:type="dxa"/>
              <w:bottom w:w="70" w:type="dxa"/>
              <w:right w:w="100" w:type="dxa"/>
            </w:tcMar>
            <w:vAlign w:val="center"/>
          </w:tcPr>
          <w:p w14:paraId="3793051D" w14:textId="77777777" w:rsidR="00D62B8E" w:rsidRDefault="00000000">
            <w:pPr>
              <w:spacing w:after="0"/>
              <w:jc w:val="center"/>
            </w:pPr>
            <w:r>
              <w:rPr>
                <w:b/>
                <w:color w:val="FFFFFF"/>
                <w:sz w:val="17"/>
              </w:rPr>
              <w:t>Attendance: none</w:t>
            </w:r>
          </w:p>
        </w:tc>
        <w:tc>
          <w:tcPr>
            <w:tcW w:w="2450" w:type="dxa"/>
            <w:shd w:val="clear" w:color="auto" w:fill="17365D"/>
            <w:tcMar>
              <w:top w:w="70" w:type="dxa"/>
              <w:left w:w="100" w:type="dxa"/>
              <w:bottom w:w="70" w:type="dxa"/>
              <w:right w:w="100" w:type="dxa"/>
            </w:tcMar>
            <w:vAlign w:val="center"/>
          </w:tcPr>
          <w:p w14:paraId="1E37EBC6" w14:textId="77777777" w:rsidR="00D62B8E" w:rsidRDefault="00000000">
            <w:pPr>
              <w:spacing w:after="0"/>
              <w:jc w:val="center"/>
            </w:pPr>
            <w:r>
              <w:rPr>
                <w:b/>
                <w:color w:val="FFFFFF"/>
                <w:sz w:val="17"/>
              </w:rPr>
              <w:t>Attendance: some</w:t>
            </w:r>
          </w:p>
        </w:tc>
        <w:tc>
          <w:tcPr>
            <w:tcW w:w="2560" w:type="dxa"/>
            <w:shd w:val="clear" w:color="auto" w:fill="17365D"/>
            <w:tcMar>
              <w:top w:w="70" w:type="dxa"/>
              <w:left w:w="100" w:type="dxa"/>
              <w:bottom w:w="70" w:type="dxa"/>
              <w:right w:w="100" w:type="dxa"/>
            </w:tcMar>
            <w:vAlign w:val="center"/>
          </w:tcPr>
          <w:p w14:paraId="625CD448" w14:textId="77777777" w:rsidR="00D62B8E" w:rsidRDefault="00000000">
            <w:pPr>
              <w:spacing w:after="0"/>
              <w:jc w:val="center"/>
            </w:pPr>
            <w:r>
              <w:rPr>
                <w:b/>
                <w:color w:val="FFFFFF"/>
                <w:sz w:val="17"/>
              </w:rPr>
              <w:t>Attendance: major</w:t>
            </w:r>
          </w:p>
        </w:tc>
      </w:tr>
      <w:tr w:rsidR="00D62B8E" w14:paraId="51494D81" w14:textId="77777777">
        <w:tc>
          <w:tcPr>
            <w:tcW w:w="1900" w:type="dxa"/>
            <w:shd w:val="clear" w:color="auto" w:fill="F2F4F7"/>
            <w:tcMar>
              <w:top w:w="70" w:type="dxa"/>
              <w:left w:w="100" w:type="dxa"/>
              <w:bottom w:w="70" w:type="dxa"/>
              <w:right w:w="100" w:type="dxa"/>
            </w:tcMar>
            <w:vAlign w:val="center"/>
          </w:tcPr>
          <w:p w14:paraId="69219C9A" w14:textId="77777777" w:rsidR="00D62B8E" w:rsidRDefault="00000000">
            <w:pPr>
              <w:spacing w:after="0" w:line="240" w:lineRule="auto"/>
            </w:pPr>
            <w:r>
              <w:rPr>
                <w:b/>
                <w:sz w:val="17"/>
              </w:rPr>
              <w:t>Low</w:t>
            </w:r>
          </w:p>
        </w:tc>
        <w:tc>
          <w:tcPr>
            <w:tcW w:w="2450" w:type="dxa"/>
            <w:shd w:val="clear" w:color="auto" w:fill="F2F4F7"/>
            <w:tcMar>
              <w:top w:w="70" w:type="dxa"/>
              <w:left w:w="100" w:type="dxa"/>
              <w:bottom w:w="70" w:type="dxa"/>
              <w:right w:w="100" w:type="dxa"/>
            </w:tcMar>
            <w:vAlign w:val="center"/>
          </w:tcPr>
          <w:p w14:paraId="4981AED7" w14:textId="77777777" w:rsidR="00D62B8E" w:rsidRDefault="00000000">
            <w:pPr>
              <w:spacing w:after="0" w:line="240" w:lineRule="auto"/>
              <w:jc w:val="center"/>
            </w:pPr>
            <w:r>
              <w:rPr>
                <w:b/>
                <w:color w:val="17365D"/>
                <w:sz w:val="17"/>
              </w:rPr>
              <w:t>1  Low</w:t>
            </w:r>
          </w:p>
        </w:tc>
        <w:tc>
          <w:tcPr>
            <w:tcW w:w="2450" w:type="dxa"/>
            <w:shd w:val="clear" w:color="auto" w:fill="F2F4F7"/>
            <w:tcMar>
              <w:top w:w="70" w:type="dxa"/>
              <w:left w:w="100" w:type="dxa"/>
              <w:bottom w:w="70" w:type="dxa"/>
              <w:right w:w="100" w:type="dxa"/>
            </w:tcMar>
            <w:vAlign w:val="center"/>
          </w:tcPr>
          <w:p w14:paraId="0F1D415B" w14:textId="77777777" w:rsidR="00D62B8E" w:rsidRDefault="00000000">
            <w:pPr>
              <w:spacing w:after="0" w:line="240" w:lineRule="auto"/>
              <w:jc w:val="center"/>
            </w:pPr>
            <w:r>
              <w:rPr>
                <w:b/>
                <w:color w:val="17365D"/>
                <w:sz w:val="17"/>
              </w:rPr>
              <w:t>2  Moderate</w:t>
            </w:r>
          </w:p>
        </w:tc>
        <w:tc>
          <w:tcPr>
            <w:tcW w:w="2560" w:type="dxa"/>
            <w:shd w:val="clear" w:color="auto" w:fill="F2F4F7"/>
            <w:tcMar>
              <w:top w:w="70" w:type="dxa"/>
              <w:left w:w="100" w:type="dxa"/>
              <w:bottom w:w="70" w:type="dxa"/>
              <w:right w:w="100" w:type="dxa"/>
            </w:tcMar>
            <w:vAlign w:val="center"/>
          </w:tcPr>
          <w:p w14:paraId="7060EBF7" w14:textId="77777777" w:rsidR="00D62B8E" w:rsidRDefault="00000000">
            <w:pPr>
              <w:spacing w:after="0" w:line="240" w:lineRule="auto"/>
              <w:jc w:val="center"/>
            </w:pPr>
            <w:r>
              <w:rPr>
                <w:b/>
                <w:color w:val="17365D"/>
                <w:sz w:val="17"/>
              </w:rPr>
              <w:t>4  Very high</w:t>
            </w:r>
          </w:p>
        </w:tc>
      </w:tr>
      <w:tr w:rsidR="00D62B8E" w14:paraId="14C82865" w14:textId="77777777">
        <w:tc>
          <w:tcPr>
            <w:tcW w:w="1900" w:type="dxa"/>
            <w:tcMar>
              <w:top w:w="70" w:type="dxa"/>
              <w:left w:w="100" w:type="dxa"/>
              <w:bottom w:w="70" w:type="dxa"/>
              <w:right w:w="100" w:type="dxa"/>
            </w:tcMar>
            <w:vAlign w:val="center"/>
          </w:tcPr>
          <w:p w14:paraId="042F2190" w14:textId="77777777" w:rsidR="00D62B8E" w:rsidRDefault="00000000">
            <w:pPr>
              <w:spacing w:after="0" w:line="240" w:lineRule="auto"/>
            </w:pPr>
            <w:r>
              <w:rPr>
                <w:b/>
                <w:sz w:val="17"/>
              </w:rPr>
              <w:t>Moderate</w:t>
            </w:r>
          </w:p>
        </w:tc>
        <w:tc>
          <w:tcPr>
            <w:tcW w:w="2450" w:type="dxa"/>
            <w:tcMar>
              <w:top w:w="70" w:type="dxa"/>
              <w:left w:w="100" w:type="dxa"/>
              <w:bottom w:w="70" w:type="dxa"/>
              <w:right w:w="100" w:type="dxa"/>
            </w:tcMar>
            <w:vAlign w:val="center"/>
          </w:tcPr>
          <w:p w14:paraId="1F2740AB" w14:textId="77777777" w:rsidR="00D62B8E" w:rsidRDefault="00000000">
            <w:pPr>
              <w:spacing w:after="0" w:line="240" w:lineRule="auto"/>
              <w:jc w:val="center"/>
            </w:pPr>
            <w:r>
              <w:rPr>
                <w:b/>
                <w:color w:val="17365D"/>
                <w:sz w:val="17"/>
              </w:rPr>
              <w:t>2  Moderate</w:t>
            </w:r>
          </w:p>
        </w:tc>
        <w:tc>
          <w:tcPr>
            <w:tcW w:w="2450" w:type="dxa"/>
            <w:tcMar>
              <w:top w:w="70" w:type="dxa"/>
              <w:left w:w="100" w:type="dxa"/>
              <w:bottom w:w="70" w:type="dxa"/>
              <w:right w:w="100" w:type="dxa"/>
            </w:tcMar>
            <w:vAlign w:val="center"/>
          </w:tcPr>
          <w:p w14:paraId="3FE8B22B" w14:textId="77777777" w:rsidR="00D62B8E" w:rsidRDefault="00000000">
            <w:pPr>
              <w:spacing w:after="0" w:line="240" w:lineRule="auto"/>
              <w:jc w:val="center"/>
            </w:pPr>
            <w:r>
              <w:rPr>
                <w:b/>
                <w:color w:val="17365D"/>
                <w:sz w:val="17"/>
              </w:rPr>
              <w:t>3  High</w:t>
            </w:r>
          </w:p>
        </w:tc>
        <w:tc>
          <w:tcPr>
            <w:tcW w:w="2560" w:type="dxa"/>
            <w:tcMar>
              <w:top w:w="70" w:type="dxa"/>
              <w:left w:w="100" w:type="dxa"/>
              <w:bottom w:w="70" w:type="dxa"/>
              <w:right w:w="100" w:type="dxa"/>
            </w:tcMar>
            <w:vAlign w:val="center"/>
          </w:tcPr>
          <w:p w14:paraId="5D07F17D" w14:textId="77777777" w:rsidR="00D62B8E" w:rsidRDefault="00000000">
            <w:pPr>
              <w:spacing w:after="0" w:line="240" w:lineRule="auto"/>
              <w:jc w:val="center"/>
            </w:pPr>
            <w:r>
              <w:rPr>
                <w:b/>
                <w:color w:val="17365D"/>
                <w:sz w:val="17"/>
              </w:rPr>
              <w:t>4  Very high</w:t>
            </w:r>
          </w:p>
        </w:tc>
      </w:tr>
      <w:tr w:rsidR="00D62B8E" w14:paraId="4C0C1895" w14:textId="77777777">
        <w:tc>
          <w:tcPr>
            <w:tcW w:w="1900" w:type="dxa"/>
            <w:shd w:val="clear" w:color="auto" w:fill="F2F4F7"/>
            <w:tcMar>
              <w:top w:w="70" w:type="dxa"/>
              <w:left w:w="100" w:type="dxa"/>
              <w:bottom w:w="70" w:type="dxa"/>
              <w:right w:w="100" w:type="dxa"/>
            </w:tcMar>
            <w:vAlign w:val="center"/>
          </w:tcPr>
          <w:p w14:paraId="5DC27851" w14:textId="77777777" w:rsidR="00D62B8E" w:rsidRDefault="00000000">
            <w:pPr>
              <w:spacing w:after="0" w:line="240" w:lineRule="auto"/>
            </w:pPr>
            <w:r>
              <w:rPr>
                <w:b/>
                <w:sz w:val="17"/>
              </w:rPr>
              <w:t>High</w:t>
            </w:r>
          </w:p>
        </w:tc>
        <w:tc>
          <w:tcPr>
            <w:tcW w:w="2450" w:type="dxa"/>
            <w:shd w:val="clear" w:color="auto" w:fill="F2F4F7"/>
            <w:tcMar>
              <w:top w:w="70" w:type="dxa"/>
              <w:left w:w="100" w:type="dxa"/>
              <w:bottom w:w="70" w:type="dxa"/>
              <w:right w:w="100" w:type="dxa"/>
            </w:tcMar>
            <w:vAlign w:val="center"/>
          </w:tcPr>
          <w:p w14:paraId="088E9C29" w14:textId="77777777" w:rsidR="00D62B8E" w:rsidRDefault="00000000">
            <w:pPr>
              <w:spacing w:after="0" w:line="240" w:lineRule="auto"/>
              <w:jc w:val="center"/>
            </w:pPr>
            <w:r>
              <w:rPr>
                <w:b/>
                <w:color w:val="17365D"/>
                <w:sz w:val="17"/>
              </w:rPr>
              <w:t>3  High</w:t>
            </w:r>
          </w:p>
        </w:tc>
        <w:tc>
          <w:tcPr>
            <w:tcW w:w="2450" w:type="dxa"/>
            <w:shd w:val="clear" w:color="auto" w:fill="F2F4F7"/>
            <w:tcMar>
              <w:top w:w="70" w:type="dxa"/>
              <w:left w:w="100" w:type="dxa"/>
              <w:bottom w:w="70" w:type="dxa"/>
              <w:right w:w="100" w:type="dxa"/>
            </w:tcMar>
            <w:vAlign w:val="center"/>
          </w:tcPr>
          <w:p w14:paraId="6209977A" w14:textId="77777777" w:rsidR="00D62B8E" w:rsidRDefault="00000000">
            <w:pPr>
              <w:spacing w:after="0" w:line="240" w:lineRule="auto"/>
              <w:jc w:val="center"/>
            </w:pPr>
            <w:r>
              <w:rPr>
                <w:b/>
                <w:color w:val="17365D"/>
                <w:sz w:val="17"/>
              </w:rPr>
              <w:t>4  Very high</w:t>
            </w:r>
          </w:p>
        </w:tc>
        <w:tc>
          <w:tcPr>
            <w:tcW w:w="2560" w:type="dxa"/>
            <w:shd w:val="clear" w:color="auto" w:fill="F2F4F7"/>
            <w:tcMar>
              <w:top w:w="70" w:type="dxa"/>
              <w:left w:w="100" w:type="dxa"/>
              <w:bottom w:w="70" w:type="dxa"/>
              <w:right w:w="100" w:type="dxa"/>
            </w:tcMar>
            <w:vAlign w:val="center"/>
          </w:tcPr>
          <w:p w14:paraId="25050135" w14:textId="77777777" w:rsidR="00D62B8E" w:rsidRDefault="00000000">
            <w:pPr>
              <w:spacing w:after="0" w:line="240" w:lineRule="auto"/>
              <w:jc w:val="center"/>
            </w:pPr>
            <w:r>
              <w:rPr>
                <w:b/>
                <w:color w:val="17365D"/>
                <w:sz w:val="17"/>
              </w:rPr>
              <w:t>5  Extreme</w:t>
            </w:r>
          </w:p>
        </w:tc>
      </w:tr>
      <w:tr w:rsidR="00D62B8E" w14:paraId="7FAE9996" w14:textId="77777777">
        <w:tc>
          <w:tcPr>
            <w:tcW w:w="1900" w:type="dxa"/>
            <w:tcMar>
              <w:top w:w="70" w:type="dxa"/>
              <w:left w:w="100" w:type="dxa"/>
              <w:bottom w:w="70" w:type="dxa"/>
              <w:right w:w="100" w:type="dxa"/>
            </w:tcMar>
            <w:vAlign w:val="center"/>
          </w:tcPr>
          <w:p w14:paraId="0717ED2A" w14:textId="77777777" w:rsidR="00D62B8E" w:rsidRDefault="00000000">
            <w:pPr>
              <w:spacing w:after="0" w:line="240" w:lineRule="auto"/>
            </w:pPr>
            <w:r>
              <w:rPr>
                <w:b/>
                <w:sz w:val="17"/>
              </w:rPr>
              <w:t>Very high</w:t>
            </w:r>
          </w:p>
        </w:tc>
        <w:tc>
          <w:tcPr>
            <w:tcW w:w="2450" w:type="dxa"/>
            <w:tcMar>
              <w:top w:w="70" w:type="dxa"/>
              <w:left w:w="100" w:type="dxa"/>
              <w:bottom w:w="70" w:type="dxa"/>
              <w:right w:w="100" w:type="dxa"/>
            </w:tcMar>
            <w:vAlign w:val="center"/>
          </w:tcPr>
          <w:p w14:paraId="3BF2205A" w14:textId="77777777" w:rsidR="00D62B8E" w:rsidRDefault="00000000">
            <w:pPr>
              <w:spacing w:after="0" w:line="240" w:lineRule="auto"/>
              <w:jc w:val="center"/>
            </w:pPr>
            <w:r>
              <w:rPr>
                <w:b/>
                <w:color w:val="17365D"/>
                <w:sz w:val="17"/>
              </w:rPr>
              <w:t>4  Very high</w:t>
            </w:r>
          </w:p>
        </w:tc>
        <w:tc>
          <w:tcPr>
            <w:tcW w:w="2450" w:type="dxa"/>
            <w:tcMar>
              <w:top w:w="70" w:type="dxa"/>
              <w:left w:w="100" w:type="dxa"/>
              <w:bottom w:w="70" w:type="dxa"/>
              <w:right w:w="100" w:type="dxa"/>
            </w:tcMar>
            <w:vAlign w:val="center"/>
          </w:tcPr>
          <w:p w14:paraId="52CFEA18" w14:textId="77777777" w:rsidR="00D62B8E" w:rsidRDefault="00000000">
            <w:pPr>
              <w:spacing w:after="0" w:line="240" w:lineRule="auto"/>
              <w:jc w:val="center"/>
            </w:pPr>
            <w:r>
              <w:rPr>
                <w:b/>
                <w:color w:val="17365D"/>
                <w:sz w:val="17"/>
              </w:rPr>
              <w:t>5  Extreme</w:t>
            </w:r>
          </w:p>
        </w:tc>
        <w:tc>
          <w:tcPr>
            <w:tcW w:w="2560" w:type="dxa"/>
            <w:tcMar>
              <w:top w:w="70" w:type="dxa"/>
              <w:left w:w="100" w:type="dxa"/>
              <w:bottom w:w="70" w:type="dxa"/>
              <w:right w:w="100" w:type="dxa"/>
            </w:tcMar>
            <w:vAlign w:val="center"/>
          </w:tcPr>
          <w:p w14:paraId="0D548CEA" w14:textId="77777777" w:rsidR="00D62B8E" w:rsidRDefault="00000000">
            <w:pPr>
              <w:spacing w:after="0" w:line="240" w:lineRule="auto"/>
              <w:jc w:val="center"/>
            </w:pPr>
            <w:r>
              <w:rPr>
                <w:b/>
                <w:color w:val="17365D"/>
                <w:sz w:val="17"/>
              </w:rPr>
              <w:t>5  Extreme</w:t>
            </w:r>
          </w:p>
        </w:tc>
      </w:tr>
    </w:tbl>
    <w:p w14:paraId="6847129D" w14:textId="77777777" w:rsidR="00D62B8E" w:rsidRDefault="00000000">
      <w:pPr>
        <w:pStyle w:val="Heading1"/>
      </w:pPr>
      <w:r>
        <w:t>What is returned</w:t>
      </w:r>
    </w:p>
    <w:p w14:paraId="09A20C4C" w14:textId="77777777" w:rsidR="00D62B8E" w:rsidRDefault="00000000">
      <w:pPr>
        <w:spacing w:after="0"/>
      </w:pPr>
      <w:r>
        <w:rPr>
          <w:b/>
          <w:color w:val="17365D"/>
          <w:sz w:val="20"/>
        </w:rPr>
        <w:t xml:space="preserve">Fixed-shape analysis result. </w:t>
      </w:r>
      <w:r>
        <w:rPr>
          <w:sz w:val="20"/>
        </w:rPr>
        <w:t>The completed result keeps three concepts separate: (1) objective burden for both scenarios and the overall range; (2) weekday-attendance feasibility reproduced verbatim; and (3) the ordinal level 1–5 with primary and secondary drivers. The level is a transparent planning convention—not a clinical severity score, adherence prediction, probability, or validated psychometric measure.</w:t>
      </w:r>
    </w:p>
    <w:sectPr w:rsidR="00D62B8E" w:rsidSect="00034616">
      <w:footerReference w:type="default" r:id="rId8"/>
      <w:pgSz w:w="12240" w:h="15840"/>
      <w:pgMar w:top="1008" w:right="1440" w:bottom="89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6907B3" w14:textId="77777777" w:rsidR="007916D5" w:rsidRDefault="007916D5">
      <w:pPr>
        <w:spacing w:after="0" w:line="240" w:lineRule="auto"/>
      </w:pPr>
      <w:r>
        <w:separator/>
      </w:r>
    </w:p>
  </w:endnote>
  <w:endnote w:type="continuationSeparator" w:id="0">
    <w:p w14:paraId="550AF468" w14:textId="77777777" w:rsidR="007916D5" w:rsidRDefault="0079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45173" w14:textId="77777777" w:rsidR="00D62B8E" w:rsidRDefault="00000000">
    <w:pPr>
      <w:pStyle w:val="Footer"/>
    </w:pPr>
    <w:r>
      <w:rPr>
        <w:color w:val="667085"/>
        <w:sz w:val="15"/>
      </w:rPr>
      <w:t xml:space="preserve">Source summarized: DFU HBOT Bounded Regimen and Execution Burden CKS, Version </w:t>
    </w:r>
    <w:proofErr w:type="gramStart"/>
    <w:r>
      <w:rPr>
        <w:color w:val="667085"/>
        <w:sz w:val="15"/>
      </w:rPr>
      <w:t>1.0  |</w:t>
    </w:r>
    <w:proofErr w:type="gramEnd"/>
    <w:r>
      <w:rPr>
        <w:color w:val="667085"/>
        <w:sz w:val="15"/>
      </w:rPr>
      <w:t xml:space="preserve">  Informational synopsis; the normative CKS governs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AFAAF" w14:textId="77777777" w:rsidR="007916D5" w:rsidRDefault="007916D5">
      <w:pPr>
        <w:spacing w:after="0" w:line="240" w:lineRule="auto"/>
      </w:pPr>
      <w:r>
        <w:separator/>
      </w:r>
    </w:p>
  </w:footnote>
  <w:footnote w:type="continuationSeparator" w:id="0">
    <w:p w14:paraId="7E1C8BEB" w14:textId="77777777" w:rsidR="007916D5" w:rsidRDefault="0079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229287">
    <w:abstractNumId w:val="8"/>
  </w:num>
  <w:num w:numId="2" w16cid:durableId="613052674">
    <w:abstractNumId w:val="6"/>
  </w:num>
  <w:num w:numId="3" w16cid:durableId="966358151">
    <w:abstractNumId w:val="5"/>
  </w:num>
  <w:num w:numId="4" w16cid:durableId="1843426620">
    <w:abstractNumId w:val="4"/>
  </w:num>
  <w:num w:numId="5" w16cid:durableId="1060593680">
    <w:abstractNumId w:val="7"/>
  </w:num>
  <w:num w:numId="6" w16cid:durableId="882443498">
    <w:abstractNumId w:val="3"/>
  </w:num>
  <w:num w:numId="7" w16cid:durableId="1193961674">
    <w:abstractNumId w:val="2"/>
  </w:num>
  <w:num w:numId="8" w16cid:durableId="1463378459">
    <w:abstractNumId w:val="1"/>
  </w:num>
  <w:num w:numId="9" w16cid:durableId="11356363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90"/>
    <w:rsid w:val="0029639D"/>
    <w:rsid w:val="00326F90"/>
    <w:rsid w:val="007916D5"/>
    <w:rsid w:val="00AA1D8D"/>
    <w:rsid w:val="00B47730"/>
    <w:rsid w:val="00CB0664"/>
    <w:rsid w:val="00D62B8E"/>
    <w:rsid w:val="00F10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F5039"/>
  <w14:defaultImageDpi w14:val="300"/>
  <w15:docId w15:val="{CDEBB842-0578-BE4F-A55D-C8570E5F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100" w:after="50" w:line="240" w:lineRule="auto"/>
      <w:outlineLvl w:val="0"/>
    </w:pPr>
    <w:rPr>
      <w:rFonts w:asciiTheme="majorHAnsi" w:eastAsiaTheme="majorEastAsia" w:hAnsiTheme="majorHAnsi" w:cstheme="majorBidi"/>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2644</Characters>
  <Application>Microsoft Office Word</Application>
  <DocSecurity>0</DocSecurity>
  <Lines>55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DFU HBOT Burden CKS — One-page Clinical Knowledge Summary</dc:title>
  <dc:subject>Informatics summary of regimen bounds, burden arithmetic, and execution-burden classification</dc:subject>
  <dc:creator>OpenAI Codex</dc:creator>
  <cp:keywords/>
  <dc:description>generated by python-docx</dc:description>
  <cp:lastModifiedBy>Editor: Flynn</cp:lastModifiedBy>
  <cp:revision>2</cp:revision>
  <dcterms:created xsi:type="dcterms:W3CDTF">2013-12-23T23:15:00Z</dcterms:created>
  <dcterms:modified xsi:type="dcterms:W3CDTF">2026-08-06T16:00:00Z</dcterms:modified>
  <cp:category/>
</cp:coreProperties>
</file>