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6646BD" w14:textId="76194B5A" w:rsidR="00D62B8E" w:rsidRDefault="00000000">
      <w:pPr>
        <w:keepNext/>
        <w:spacing w:after="20"/>
        <w:rPr>
          <w:b/>
          <w:color w:val="17365D"/>
          <w:sz w:val="42"/>
        </w:rPr>
      </w:pPr>
      <w:r>
        <w:rPr>
          <w:b/>
          <w:color w:val="17365D"/>
          <w:sz w:val="42"/>
        </w:rPr>
        <w:t>Margolis DFU Prognostic CKS</w:t>
      </w:r>
      <w:r w:rsidR="00F105E7">
        <w:rPr>
          <w:b/>
          <w:color w:val="17365D"/>
          <w:sz w:val="42"/>
        </w:rPr>
        <w:t xml:space="preserve"> Summary</w:t>
      </w:r>
    </w:p>
    <w:p w14:paraId="3A5D9BBD" w14:textId="77777777" w:rsidR="00F105E7" w:rsidRDefault="00F105E7">
      <w:pPr>
        <w:keepNext/>
        <w:spacing w:after="20"/>
      </w:pPr>
    </w:p>
    <w:p w14:paraId="2D618024" w14:textId="77777777" w:rsidR="00D62B8E" w:rsidRDefault="00000000">
      <w:pPr>
        <w:shd w:val="clear" w:color="auto" w:fill="E8EEF5"/>
        <w:spacing w:after="100"/>
        <w:ind w:left="173" w:right="173"/>
      </w:pPr>
      <w:r>
        <w:rPr>
          <w:b/>
          <w:color w:val="17365D"/>
        </w:rPr>
        <w:t xml:space="preserve">Purpose. </w:t>
      </w:r>
      <w:r>
        <w:t>This CKS estimates the model-based probability that one diabetic foot ulcer will heal by 16 weeks, using only wound area and wound duration measured at the first clinical visit. It is a categorical pretreatment prognosis—not a continuous individualized risk equation, treatment-effect estimate, HBOT eligibility decision, or treatment recommendation.</w:t>
      </w:r>
    </w:p>
    <w:p w14:paraId="107DAF2F" w14:textId="77777777" w:rsidR="00D62B8E" w:rsidRDefault="00000000">
      <w:pPr>
        <w:keepNext/>
        <w:spacing w:after="60"/>
        <w:jc w:val="center"/>
      </w:pPr>
      <w:r>
        <w:rPr>
          <w:b/>
          <w:color w:val="17365D"/>
          <w:sz w:val="19"/>
        </w:rPr>
        <w:t>2 FIRST-VISIT QUANTITIES  →  EXACT UNIT VALIDATION  →  4-STATE LOOKUP  →  16-WEEK PROGNOSIS</w:t>
      </w:r>
    </w:p>
    <w:p w14:paraId="40B66A34" w14:textId="77777777" w:rsidR="00D62B8E" w:rsidRDefault="00000000">
      <w:pPr>
        <w:pStyle w:val="Heading1"/>
      </w:pPr>
      <w:r>
        <w:t>What the function receives</w:t>
      </w:r>
    </w:p>
    <w:p w14:paraId="31151559" w14:textId="77777777" w:rsidR="00D62B8E" w:rsidRDefault="00000000">
      <w:pPr>
        <w:spacing w:after="64"/>
      </w:pPr>
      <w:r>
        <w:rPr>
          <w:b/>
          <w:color w:val="17365D"/>
          <w:sz w:val="21"/>
        </w:rPr>
        <w:t xml:space="preserve">1. Wound area. </w:t>
      </w:r>
      <w:r>
        <w:rPr>
          <w:sz w:val="21"/>
        </w:rPr>
        <w:t>First-visit longest × widest area as a closed Quantity containing only value and UCUM code. Accepted codes are cm2 and mm2; normalized area must be greater than zero.</w:t>
      </w:r>
    </w:p>
    <w:p w14:paraId="10E0C39D" w14:textId="77777777" w:rsidR="00D62B8E" w:rsidRDefault="00000000">
      <w:pPr>
        <w:spacing w:after="64"/>
      </w:pPr>
      <w:r>
        <w:rPr>
          <w:b/>
          <w:color w:val="17365D"/>
          <w:sz w:val="21"/>
        </w:rPr>
        <w:t xml:space="preserve">2. Wound duration. </w:t>
      </w:r>
      <w:r>
        <w:rPr>
          <w:sz w:val="21"/>
        </w:rPr>
        <w:t>Elapsed duration at the same first visit as a closed Quantity containing only value and UCUM code. Accepted codes are wk and d; the supplied value must be nonnegative.</w:t>
      </w:r>
    </w:p>
    <w:p w14:paraId="19BD0E11" w14:textId="77777777" w:rsidR="00D62B8E" w:rsidRDefault="00000000">
      <w:pPr>
        <w:spacing w:after="70"/>
      </w:pPr>
      <w:r>
        <w:rPr>
          <w:b/>
          <w:color w:val="17365D"/>
          <w:sz w:val="21"/>
        </w:rPr>
        <w:t xml:space="preserve">3. Host boundary. </w:t>
      </w:r>
      <w:r>
        <w:rPr>
          <w:sz w:val="21"/>
        </w:rPr>
        <w:t>The host binds both measurements to the same identified ulcer and visit and retains identifiers, dates, measurement provenance, and supporting evidence outside the core payload. The core accepts no additional predictors, dates, comparators, uncertainty, or source fields.</w:t>
      </w:r>
    </w:p>
    <w:p w14:paraId="04D16637" w14:textId="77777777" w:rsidR="00D62B8E" w:rsidRDefault="00000000">
      <w:pPr>
        <w:pStyle w:val="Heading1"/>
      </w:pPr>
      <w:r>
        <w:t>What is calculated—and how</w:t>
      </w:r>
    </w:p>
    <w:p w14:paraId="704AFCC2" w14:textId="77777777" w:rsidR="00D62B8E" w:rsidRDefault="00000000">
      <w:pPr>
        <w:spacing w:after="64"/>
      </w:pPr>
      <w:r>
        <w:rPr>
          <w:b/>
          <w:color w:val="17365D"/>
          <w:sz w:val="21"/>
        </w:rPr>
        <w:t xml:space="preserve">Exact validation and normalization. </w:t>
      </w:r>
      <w:r>
        <w:rPr>
          <w:sz w:val="21"/>
        </w:rPr>
        <w:t>The evaluator validates both closed Quantity objects, parses finite numbers as exact base-10 values, and rejects missing, additional, unsupported, or incompatible content without unit inference, repair, or coercion.</w:t>
      </w:r>
    </w:p>
    <w:p w14:paraId="07CF81D6" w14:textId="77777777" w:rsidR="00D62B8E" w:rsidRDefault="00000000">
      <w:pPr>
        <w:spacing w:after="64"/>
      </w:pPr>
      <w:r>
        <w:rPr>
          <w:b/>
          <w:color w:val="17365D"/>
          <w:sz w:val="21"/>
        </w:rPr>
        <w:t xml:space="preserve">Threshold classification. </w:t>
      </w:r>
      <w:r>
        <w:rPr>
          <w:sz w:val="21"/>
        </w:rPr>
        <w:t>Area is compared in its supplied unit with 2 cm2 or 200 mm2; duration is compared with 8 wk or 56 d. Exact comparisons avoid floating-point boundary drift. Because the source did not specify equality, this CKS assigns equality to the less-favorable ≥2 cm² or ≥8-week stratum.</w:t>
      </w:r>
    </w:p>
    <w:p w14:paraId="3EB49CAC" w14:textId="77777777" w:rsidR="00D62B8E" w:rsidRDefault="00000000">
      <w:pPr>
        <w:spacing w:after="70"/>
      </w:pPr>
      <w:r>
        <w:rPr>
          <w:b/>
          <w:color w:val="17365D"/>
          <w:sz w:val="21"/>
        </w:rPr>
        <w:t xml:space="preserve">Four-state lookup. </w:t>
      </w:r>
      <w:r>
        <w:rPr>
          <w:sz w:val="21"/>
        </w:rPr>
        <w:t>The two binary categories select exactly one published probability. The evaluator does not interpolate, use distance from a threshold, reconstruct the continuous logistic equation, or create an ordinal point score.</w:t>
      </w:r>
    </w:p>
    <w:p w14:paraId="31EB5996" w14:textId="77777777" w:rsidR="00D62B8E" w:rsidRDefault="00000000">
      <w:pPr>
        <w:pStyle w:val="Heading1"/>
      </w:pPr>
      <w:r>
        <w:t>Four-state prognostic lookup</w:t>
      </w:r>
    </w:p>
    <w:p w14:paraId="2CD8A6EF" w14:textId="77777777" w:rsidR="00D62B8E" w:rsidRDefault="00000000">
      <w:pPr>
        <w:spacing w:after="60" w:line="250" w:lineRule="auto"/>
      </w:pPr>
      <w:r>
        <w:rPr>
          <w:b/>
          <w:color w:val="17365D"/>
          <w:sz w:val="19"/>
        </w:rPr>
        <w:t xml:space="preserve">All valid inputs match exactly one rule: </w:t>
      </w:r>
      <w:r>
        <w:rPr>
          <w:sz w:val="19"/>
        </w:rPr>
        <w:t>probabilities are the published model-based healing rates, not the supplement’s observed group rates. Unit-native equivalents use 200 mm2 and 56 d.</w:t>
      </w:r>
    </w:p>
    <w:tbl>
      <w:tblPr>
        <w:tblStyle w:val="TableGrid"/>
        <w:tblW w:w="936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900"/>
        <w:gridCol w:w="2450"/>
        <w:gridCol w:w="2450"/>
        <w:gridCol w:w="2560"/>
      </w:tblGrid>
      <w:tr w:rsidR="00D62B8E" w14:paraId="1E48C7B1" w14:textId="77777777">
        <w:trPr>
          <w:tblHeader/>
        </w:trPr>
        <w:tc>
          <w:tcPr>
            <w:tcW w:w="1900" w:type="dxa"/>
            <w:shd w:val="clear" w:color="auto" w:fill="17365D"/>
            <w:tcMar>
              <w:top w:w="70" w:type="dxa"/>
              <w:left w:w="100" w:type="dxa"/>
              <w:bottom w:w="70" w:type="dxa"/>
              <w:right w:w="100" w:type="dxa"/>
            </w:tcMar>
            <w:vAlign w:val="center"/>
          </w:tcPr>
          <w:p w14:paraId="0E88F7B1" w14:textId="77777777" w:rsidR="00D62B8E" w:rsidRDefault="00000000">
            <w:pPr>
              <w:spacing w:after="0"/>
            </w:pPr>
            <w:r>
              <w:rPr>
                <w:b/>
                <w:color w:val="FFFFFF"/>
                <w:sz w:val="17"/>
              </w:rPr>
              <w:t>Rule</w:t>
            </w:r>
          </w:p>
        </w:tc>
        <w:tc>
          <w:tcPr>
            <w:tcW w:w="2450" w:type="dxa"/>
            <w:shd w:val="clear" w:color="auto" w:fill="17365D"/>
            <w:tcMar>
              <w:top w:w="70" w:type="dxa"/>
              <w:left w:w="100" w:type="dxa"/>
              <w:bottom w:w="70" w:type="dxa"/>
              <w:right w:w="100" w:type="dxa"/>
            </w:tcMar>
            <w:vAlign w:val="center"/>
          </w:tcPr>
          <w:p w14:paraId="3793051D" w14:textId="77777777" w:rsidR="00D62B8E" w:rsidRDefault="00000000">
            <w:pPr>
              <w:spacing w:after="0"/>
              <w:jc w:val="center"/>
            </w:pPr>
            <w:r>
              <w:rPr>
                <w:b/>
                <w:color w:val="FFFFFF"/>
                <w:sz w:val="17"/>
              </w:rPr>
              <w:t>Area condition</w:t>
            </w:r>
          </w:p>
        </w:tc>
        <w:tc>
          <w:tcPr>
            <w:tcW w:w="2450" w:type="dxa"/>
            <w:shd w:val="clear" w:color="auto" w:fill="17365D"/>
            <w:tcMar>
              <w:top w:w="70" w:type="dxa"/>
              <w:left w:w="100" w:type="dxa"/>
              <w:bottom w:w="70" w:type="dxa"/>
              <w:right w:w="100" w:type="dxa"/>
            </w:tcMar>
            <w:vAlign w:val="center"/>
          </w:tcPr>
          <w:p w14:paraId="1E37EBC6" w14:textId="77777777" w:rsidR="00D62B8E" w:rsidRDefault="00000000">
            <w:pPr>
              <w:spacing w:after="0"/>
              <w:jc w:val="center"/>
            </w:pPr>
            <w:r>
              <w:rPr>
                <w:b/>
                <w:color w:val="FFFFFF"/>
                <w:sz w:val="17"/>
              </w:rPr>
              <w:t>Duration condition</w:t>
            </w:r>
          </w:p>
        </w:tc>
        <w:tc>
          <w:tcPr>
            <w:tcW w:w="2560" w:type="dxa"/>
            <w:shd w:val="clear" w:color="auto" w:fill="17365D"/>
            <w:tcMar>
              <w:top w:w="70" w:type="dxa"/>
              <w:left w:w="100" w:type="dxa"/>
              <w:bottom w:w="70" w:type="dxa"/>
              <w:right w:w="100" w:type="dxa"/>
            </w:tcMar>
            <w:vAlign w:val="center"/>
          </w:tcPr>
          <w:p w14:paraId="625CD448" w14:textId="77777777" w:rsidR="00D62B8E" w:rsidRDefault="00000000">
            <w:pPr>
              <w:spacing w:after="0"/>
              <w:jc w:val="center"/>
            </w:pPr>
            <w:r>
              <w:rPr>
                <w:b/>
                <w:color w:val="FFFFFF"/>
                <w:sz w:val="17"/>
              </w:rPr>
              <w:t>Healing by 16 weeks</w:t>
            </w:r>
          </w:p>
        </w:tc>
      </w:tr>
      <w:tr w:rsidR="00D62B8E" w14:paraId="51494D81" w14:textId="77777777">
        <w:tc>
          <w:tcPr>
            <w:tcW w:w="1900" w:type="dxa"/>
            <w:shd w:val="clear" w:color="auto" w:fill="F2F4F7"/>
            <w:tcMar>
              <w:top w:w="70" w:type="dxa"/>
              <w:left w:w="100" w:type="dxa"/>
              <w:bottom w:w="70" w:type="dxa"/>
              <w:right w:w="100" w:type="dxa"/>
            </w:tcMar>
            <w:vAlign w:val="center"/>
          </w:tcPr>
          <w:p w14:paraId="69219C9A" w14:textId="77777777" w:rsidR="00D62B8E" w:rsidRDefault="00000000">
            <w:pPr>
              <w:spacing w:after="0" w:line="240" w:lineRule="auto"/>
            </w:pPr>
            <w:r>
              <w:rPr>
                <w:b/>
                <w:sz w:val="17"/>
              </w:rPr>
              <w:t>ALG-01</w:t>
            </w:r>
          </w:p>
        </w:tc>
        <w:tc>
          <w:tcPr>
            <w:tcW w:w="2450" w:type="dxa"/>
            <w:shd w:val="clear" w:color="auto" w:fill="F2F4F7"/>
            <w:tcMar>
              <w:top w:w="70" w:type="dxa"/>
              <w:left w:w="100" w:type="dxa"/>
              <w:bottom w:w="70" w:type="dxa"/>
              <w:right w:w="100" w:type="dxa"/>
            </w:tcMar>
            <w:vAlign w:val="center"/>
          </w:tcPr>
          <w:p w14:paraId="4981AED7" w14:textId="77777777" w:rsidR="00D62B8E" w:rsidRDefault="00000000">
            <w:pPr>
              <w:spacing w:after="0" w:line="240" w:lineRule="auto"/>
              <w:jc w:val="center"/>
            </w:pPr>
            <w:r>
              <w:rPr>
                <w:b/>
                <w:color w:val="17365D"/>
                <w:sz w:val="17"/>
              </w:rPr>
              <w:t>≥2 cm²</w:t>
            </w:r>
          </w:p>
        </w:tc>
        <w:tc>
          <w:tcPr>
            <w:tcW w:w="2450" w:type="dxa"/>
            <w:shd w:val="clear" w:color="auto" w:fill="F2F4F7"/>
            <w:tcMar>
              <w:top w:w="70" w:type="dxa"/>
              <w:left w:w="100" w:type="dxa"/>
              <w:bottom w:w="70" w:type="dxa"/>
              <w:right w:w="100" w:type="dxa"/>
            </w:tcMar>
            <w:vAlign w:val="center"/>
          </w:tcPr>
          <w:p w14:paraId="0F1D415B" w14:textId="77777777" w:rsidR="00D62B8E" w:rsidRDefault="00000000">
            <w:pPr>
              <w:spacing w:after="0" w:line="240" w:lineRule="auto"/>
              <w:jc w:val="center"/>
            </w:pPr>
            <w:r>
              <w:rPr>
                <w:b/>
                <w:color w:val="17365D"/>
                <w:sz w:val="17"/>
              </w:rPr>
              <w:t>≥8 weeks</w:t>
            </w:r>
          </w:p>
        </w:tc>
        <w:tc>
          <w:tcPr>
            <w:tcW w:w="2560" w:type="dxa"/>
            <w:shd w:val="clear" w:color="auto" w:fill="F2F4F7"/>
            <w:tcMar>
              <w:top w:w="70" w:type="dxa"/>
              <w:left w:w="100" w:type="dxa"/>
              <w:bottom w:w="70" w:type="dxa"/>
              <w:right w:w="100" w:type="dxa"/>
            </w:tcMar>
            <w:vAlign w:val="center"/>
          </w:tcPr>
          <w:p w14:paraId="7060EBF7" w14:textId="77777777" w:rsidR="00D62B8E" w:rsidRDefault="00000000">
            <w:pPr>
              <w:spacing w:after="0" w:line="240" w:lineRule="auto"/>
              <w:jc w:val="center"/>
            </w:pPr>
            <w:r>
              <w:rPr>
                <w:b/>
                <w:color w:val="17365D"/>
                <w:sz w:val="17"/>
              </w:rPr>
              <w:t>20.3%</w:t>
            </w:r>
          </w:p>
        </w:tc>
      </w:tr>
      <w:tr w:rsidR="00D62B8E" w14:paraId="14C82865" w14:textId="77777777">
        <w:tc>
          <w:tcPr>
            <w:tcW w:w="1900" w:type="dxa"/>
            <w:tcMar>
              <w:top w:w="70" w:type="dxa"/>
              <w:left w:w="100" w:type="dxa"/>
              <w:bottom w:w="70" w:type="dxa"/>
              <w:right w:w="100" w:type="dxa"/>
            </w:tcMar>
            <w:vAlign w:val="center"/>
          </w:tcPr>
          <w:p w14:paraId="042F2190" w14:textId="77777777" w:rsidR="00D62B8E" w:rsidRDefault="00000000">
            <w:pPr>
              <w:spacing w:after="0" w:line="240" w:lineRule="auto"/>
            </w:pPr>
            <w:r>
              <w:rPr>
                <w:b/>
                <w:sz w:val="17"/>
              </w:rPr>
              <w:t>ALG-02</w:t>
            </w:r>
          </w:p>
        </w:tc>
        <w:tc>
          <w:tcPr>
            <w:tcW w:w="2450" w:type="dxa"/>
            <w:tcMar>
              <w:top w:w="70" w:type="dxa"/>
              <w:left w:w="100" w:type="dxa"/>
              <w:bottom w:w="70" w:type="dxa"/>
              <w:right w:w="100" w:type="dxa"/>
            </w:tcMar>
            <w:vAlign w:val="center"/>
          </w:tcPr>
          <w:p w14:paraId="1F2740AB" w14:textId="77777777" w:rsidR="00D62B8E" w:rsidRDefault="00000000">
            <w:pPr>
              <w:spacing w:after="0" w:line="240" w:lineRule="auto"/>
              <w:jc w:val="center"/>
            </w:pPr>
            <w:r>
              <w:rPr>
                <w:b/>
                <w:color w:val="17365D"/>
                <w:sz w:val="17"/>
              </w:rPr>
              <w:t>≥2 cm²</w:t>
            </w:r>
          </w:p>
        </w:tc>
        <w:tc>
          <w:tcPr>
            <w:tcW w:w="2450" w:type="dxa"/>
            <w:tcMar>
              <w:top w:w="70" w:type="dxa"/>
              <w:left w:w="100" w:type="dxa"/>
              <w:bottom w:w="70" w:type="dxa"/>
              <w:right w:w="100" w:type="dxa"/>
            </w:tcMar>
            <w:vAlign w:val="center"/>
          </w:tcPr>
          <w:p w14:paraId="3FE8B22B" w14:textId="77777777" w:rsidR="00D62B8E" w:rsidRDefault="00000000">
            <w:pPr>
              <w:spacing w:after="0" w:line="240" w:lineRule="auto"/>
              <w:jc w:val="center"/>
            </w:pPr>
            <w:r>
              <w:rPr>
                <w:b/>
                <w:color w:val="17365D"/>
                <w:sz w:val="17"/>
              </w:rPr>
              <w:t>&lt;8 weeks</w:t>
            </w:r>
          </w:p>
        </w:tc>
        <w:tc>
          <w:tcPr>
            <w:tcW w:w="2560" w:type="dxa"/>
            <w:tcMar>
              <w:top w:w="70" w:type="dxa"/>
              <w:left w:w="100" w:type="dxa"/>
              <w:bottom w:w="70" w:type="dxa"/>
              <w:right w:w="100" w:type="dxa"/>
            </w:tcMar>
            <w:vAlign w:val="center"/>
          </w:tcPr>
          <w:p w14:paraId="5D07F17D" w14:textId="77777777" w:rsidR="00D62B8E" w:rsidRDefault="00000000">
            <w:pPr>
              <w:spacing w:after="0" w:line="240" w:lineRule="auto"/>
              <w:jc w:val="center"/>
            </w:pPr>
            <w:r>
              <w:rPr>
                <w:b/>
                <w:color w:val="17365D"/>
                <w:sz w:val="17"/>
              </w:rPr>
              <w:t>30.4%</w:t>
            </w:r>
          </w:p>
        </w:tc>
      </w:tr>
      <w:tr w:rsidR="00D62B8E" w14:paraId="4C0C1895" w14:textId="77777777">
        <w:tc>
          <w:tcPr>
            <w:tcW w:w="1900" w:type="dxa"/>
            <w:shd w:val="clear" w:color="auto" w:fill="F2F4F7"/>
            <w:tcMar>
              <w:top w:w="70" w:type="dxa"/>
              <w:left w:w="100" w:type="dxa"/>
              <w:bottom w:w="70" w:type="dxa"/>
              <w:right w:w="100" w:type="dxa"/>
            </w:tcMar>
            <w:vAlign w:val="center"/>
          </w:tcPr>
          <w:p w14:paraId="5DC27851" w14:textId="77777777" w:rsidR="00D62B8E" w:rsidRDefault="00000000">
            <w:pPr>
              <w:spacing w:after="0" w:line="240" w:lineRule="auto"/>
            </w:pPr>
            <w:r>
              <w:rPr>
                <w:b/>
                <w:sz w:val="17"/>
              </w:rPr>
              <w:t>ALG-03</w:t>
            </w:r>
          </w:p>
        </w:tc>
        <w:tc>
          <w:tcPr>
            <w:tcW w:w="2450" w:type="dxa"/>
            <w:shd w:val="clear" w:color="auto" w:fill="F2F4F7"/>
            <w:tcMar>
              <w:top w:w="70" w:type="dxa"/>
              <w:left w:w="100" w:type="dxa"/>
              <w:bottom w:w="70" w:type="dxa"/>
              <w:right w:w="100" w:type="dxa"/>
            </w:tcMar>
            <w:vAlign w:val="center"/>
          </w:tcPr>
          <w:p w14:paraId="088E9C29" w14:textId="77777777" w:rsidR="00D62B8E" w:rsidRDefault="00000000">
            <w:pPr>
              <w:spacing w:after="0" w:line="240" w:lineRule="auto"/>
              <w:jc w:val="center"/>
            </w:pPr>
            <w:r>
              <w:rPr>
                <w:b/>
                <w:color w:val="17365D"/>
                <w:sz w:val="17"/>
              </w:rPr>
              <w:t>&lt;2 cm²</w:t>
            </w:r>
          </w:p>
        </w:tc>
        <w:tc>
          <w:tcPr>
            <w:tcW w:w="2450" w:type="dxa"/>
            <w:shd w:val="clear" w:color="auto" w:fill="F2F4F7"/>
            <w:tcMar>
              <w:top w:w="70" w:type="dxa"/>
              <w:left w:w="100" w:type="dxa"/>
              <w:bottom w:w="70" w:type="dxa"/>
              <w:right w:w="100" w:type="dxa"/>
            </w:tcMar>
            <w:vAlign w:val="center"/>
          </w:tcPr>
          <w:p w14:paraId="6209977A" w14:textId="77777777" w:rsidR="00D62B8E" w:rsidRDefault="00000000">
            <w:pPr>
              <w:spacing w:after="0" w:line="240" w:lineRule="auto"/>
              <w:jc w:val="center"/>
            </w:pPr>
            <w:r>
              <w:rPr>
                <w:b/>
                <w:color w:val="17365D"/>
                <w:sz w:val="17"/>
              </w:rPr>
              <w:t>≥8 weeks</w:t>
            </w:r>
          </w:p>
        </w:tc>
        <w:tc>
          <w:tcPr>
            <w:tcW w:w="2560" w:type="dxa"/>
            <w:shd w:val="clear" w:color="auto" w:fill="F2F4F7"/>
            <w:tcMar>
              <w:top w:w="70" w:type="dxa"/>
              <w:left w:w="100" w:type="dxa"/>
              <w:bottom w:w="70" w:type="dxa"/>
              <w:right w:w="100" w:type="dxa"/>
            </w:tcMar>
            <w:vAlign w:val="center"/>
          </w:tcPr>
          <w:p w14:paraId="25050135" w14:textId="77777777" w:rsidR="00D62B8E" w:rsidRDefault="00000000">
            <w:pPr>
              <w:spacing w:after="0" w:line="240" w:lineRule="auto"/>
              <w:jc w:val="center"/>
            </w:pPr>
            <w:r>
              <w:rPr>
                <w:b/>
                <w:color w:val="17365D"/>
                <w:sz w:val="17"/>
              </w:rPr>
              <w:t>44.8%</w:t>
            </w:r>
          </w:p>
        </w:tc>
      </w:tr>
      <w:tr w:rsidR="00D62B8E" w14:paraId="7FAE9996" w14:textId="77777777">
        <w:tc>
          <w:tcPr>
            <w:tcW w:w="1900" w:type="dxa"/>
            <w:tcMar>
              <w:top w:w="70" w:type="dxa"/>
              <w:left w:w="100" w:type="dxa"/>
              <w:bottom w:w="70" w:type="dxa"/>
              <w:right w:w="100" w:type="dxa"/>
            </w:tcMar>
            <w:vAlign w:val="center"/>
          </w:tcPr>
          <w:p w14:paraId="0717ED2A" w14:textId="77777777" w:rsidR="00D62B8E" w:rsidRDefault="00000000">
            <w:pPr>
              <w:spacing w:after="0" w:line="240" w:lineRule="auto"/>
            </w:pPr>
            <w:r>
              <w:rPr>
                <w:b/>
                <w:sz w:val="17"/>
              </w:rPr>
              <w:t>ALG-04</w:t>
            </w:r>
          </w:p>
        </w:tc>
        <w:tc>
          <w:tcPr>
            <w:tcW w:w="2450" w:type="dxa"/>
            <w:tcMar>
              <w:top w:w="70" w:type="dxa"/>
              <w:left w:w="100" w:type="dxa"/>
              <w:bottom w:w="70" w:type="dxa"/>
              <w:right w:w="100" w:type="dxa"/>
            </w:tcMar>
            <w:vAlign w:val="center"/>
          </w:tcPr>
          <w:p w14:paraId="3BF2205A" w14:textId="77777777" w:rsidR="00D62B8E" w:rsidRDefault="00000000">
            <w:pPr>
              <w:spacing w:after="0" w:line="240" w:lineRule="auto"/>
              <w:jc w:val="center"/>
            </w:pPr>
            <w:r>
              <w:rPr>
                <w:b/>
                <w:color w:val="17365D"/>
                <w:sz w:val="17"/>
              </w:rPr>
              <w:t>&lt;2 cm²</w:t>
            </w:r>
          </w:p>
        </w:tc>
        <w:tc>
          <w:tcPr>
            <w:tcW w:w="2450" w:type="dxa"/>
            <w:tcMar>
              <w:top w:w="70" w:type="dxa"/>
              <w:left w:w="100" w:type="dxa"/>
              <w:bottom w:w="70" w:type="dxa"/>
              <w:right w:w="100" w:type="dxa"/>
            </w:tcMar>
            <w:vAlign w:val="center"/>
          </w:tcPr>
          <w:p w14:paraId="52CFEA18" w14:textId="77777777" w:rsidR="00D62B8E" w:rsidRDefault="00000000">
            <w:pPr>
              <w:spacing w:after="0" w:line="240" w:lineRule="auto"/>
              <w:jc w:val="center"/>
            </w:pPr>
            <w:r>
              <w:rPr>
                <w:b/>
                <w:color w:val="17365D"/>
                <w:sz w:val="17"/>
              </w:rPr>
              <w:t>&lt;8 weeks</w:t>
            </w:r>
          </w:p>
        </w:tc>
        <w:tc>
          <w:tcPr>
            <w:tcW w:w="2560" w:type="dxa"/>
            <w:tcMar>
              <w:top w:w="70" w:type="dxa"/>
              <w:left w:w="100" w:type="dxa"/>
              <w:bottom w:w="70" w:type="dxa"/>
              <w:right w:w="100" w:type="dxa"/>
            </w:tcMar>
            <w:vAlign w:val="center"/>
          </w:tcPr>
          <w:p w14:paraId="0D548CEA" w14:textId="77777777" w:rsidR="00D62B8E" w:rsidRDefault="00000000">
            <w:pPr>
              <w:spacing w:after="0" w:line="240" w:lineRule="auto"/>
              <w:jc w:val="center"/>
            </w:pPr>
            <w:r>
              <w:rPr>
                <w:b/>
                <w:color w:val="17365D"/>
                <w:sz w:val="17"/>
              </w:rPr>
              <w:t>63.1%</w:t>
            </w:r>
          </w:p>
        </w:tc>
      </w:tr>
    </w:tbl>
    <w:p w14:paraId="6847129D" w14:textId="77777777" w:rsidR="00D62B8E" w:rsidRDefault="00000000">
      <w:pPr>
        <w:pStyle w:val="Heading1"/>
      </w:pPr>
      <w:r>
        <w:t>What is returned</w:t>
      </w:r>
    </w:p>
    <w:p w14:paraId="09A20C4C" w14:textId="77777777" w:rsidR="00D62B8E" w:rsidRDefault="00000000">
      <w:pPr>
        <w:spacing w:after="0"/>
      </w:pPr>
      <w:r>
        <w:rPr>
          <w:b/>
          <w:color w:val="17365D"/>
          <w:sz w:val="20"/>
        </w:rPr>
        <w:t xml:space="preserve">Fixed-shape prognosis result. </w:t>
      </w:r>
      <w:r>
        <w:rPr>
          <w:sz w:val="20"/>
        </w:rPr>
        <w:t>A successful result returns the rule and prognostic group, decimal and display probability, area and duration categories, exact comparison basis, normalized inputs, source reference, and threshold-equality notes when applicable. A validation failure returns ordered errors and no prognosis. The probability is a group-level 16-week estimate—not a guarantee—and does not account for predictors or treatments outside this two-factor model.</w:t>
      </w:r>
    </w:p>
    <w:sectPr w:rsidR="00D62B8E" w:rsidSect="00034616">
      <w:footerReference w:type="default" r:id="rId8"/>
      <w:pgSz w:w="12240" w:h="15840"/>
      <w:pgMar w:top="1008" w:right="1440" w:bottom="893"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6907B3" w14:textId="77777777" w:rsidR="007916D5" w:rsidRDefault="007916D5">
      <w:pPr>
        <w:spacing w:after="0" w:line="240" w:lineRule="auto"/>
      </w:pPr>
      <w:r>
        <w:separator/>
      </w:r>
    </w:p>
  </w:endnote>
  <w:endnote w:type="continuationSeparator" w:id="0">
    <w:p w14:paraId="550AF468" w14:textId="77777777" w:rsidR="007916D5" w:rsidRDefault="00791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745173" w14:textId="77777777" w:rsidR="00D62B8E" w:rsidRDefault="00000000">
    <w:pPr>
      <w:pStyle w:val="Footer"/>
    </w:pPr>
    <w:r>
      <w:rPr>
        <w:color w:val="667085"/>
        <w:sz w:val="15"/>
      </w:rPr>
      <w:t xml:space="preserve">Source summarized: Margolis 2022 DFU Prognostic CKS, Version </w:t>
    </w:r>
    <w:proofErr w:type="gramStart"/>
    <w:r>
      <w:rPr>
        <w:color w:val="667085"/>
        <w:sz w:val="15"/>
      </w:rPr>
      <w:t>1.0  |</w:t>
    </w:r>
    <w:proofErr w:type="gramEnd"/>
    <w:r>
      <w:rPr>
        <w:color w:val="667085"/>
        <w:sz w:val="15"/>
      </w:rPr>
      <w:t xml:space="preserve">  Informational synopsis; the normative CKS governs implementation.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7AFAAF" w14:textId="77777777" w:rsidR="007916D5" w:rsidRDefault="007916D5">
      <w:pPr>
        <w:spacing w:after="0" w:line="240" w:lineRule="auto"/>
      </w:pPr>
      <w:r>
        <w:separator/>
      </w:r>
    </w:p>
  </w:footnote>
  <w:footnote w:type="continuationSeparator" w:id="0">
    <w:p w14:paraId="7E1C8BEB" w14:textId="77777777" w:rsidR="007916D5" w:rsidRDefault="007916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9229287">
    <w:abstractNumId w:val="8"/>
  </w:num>
  <w:num w:numId="2" w16cid:durableId="613052674">
    <w:abstractNumId w:val="6"/>
  </w:num>
  <w:num w:numId="3" w16cid:durableId="966358151">
    <w:abstractNumId w:val="5"/>
  </w:num>
  <w:num w:numId="4" w16cid:durableId="1843426620">
    <w:abstractNumId w:val="4"/>
  </w:num>
  <w:num w:numId="5" w16cid:durableId="1060593680">
    <w:abstractNumId w:val="7"/>
  </w:num>
  <w:num w:numId="6" w16cid:durableId="882443498">
    <w:abstractNumId w:val="3"/>
  </w:num>
  <w:num w:numId="7" w16cid:durableId="1193961674">
    <w:abstractNumId w:val="2"/>
  </w:num>
  <w:num w:numId="8" w16cid:durableId="1463378459">
    <w:abstractNumId w:val="1"/>
  </w:num>
  <w:num w:numId="9" w16cid:durableId="11356363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E90"/>
    <w:rsid w:val="0029639D"/>
    <w:rsid w:val="00326F90"/>
    <w:rsid w:val="007916D5"/>
    <w:rsid w:val="00AA1D8D"/>
    <w:rsid w:val="00B47730"/>
    <w:rsid w:val="00CB0664"/>
    <w:rsid w:val="00D62B8E"/>
    <w:rsid w:val="00F105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F5039"/>
  <w14:defaultImageDpi w14:val="300"/>
  <w15:docId w15:val="{CDEBB842-0578-BE4F-A55D-C8570E5F0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4"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100" w:after="50" w:line="240" w:lineRule="auto"/>
      <w:outlineLvl w:val="0"/>
    </w:pPr>
    <w:rPr>
      <w:rFonts w:asciiTheme="majorHAnsi" w:eastAsiaTheme="majorEastAsia" w:hAnsiTheme="majorHAnsi" w:cstheme="majorBidi"/>
      <w:b/>
      <w:bCs/>
      <w:color w:val="2E74B5"/>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468</Words>
  <Characters>2644</Characters>
  <Application>Microsoft Office Word</Application>
  <DocSecurity>0</DocSecurity>
  <Lines>55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Margolis DFU Prognostic CKS — One-page Summary</dc:title>
  <dc:subject>Informatics summary of the two-factor 16-week DFU healing prognostic model</dc:subject>
  <dc:creator>OpenAI Codex</dc:creator>
  <cp:keywords/>
  <dc:description>generated by python-docx</dc:description>
  <cp:lastModifiedBy>Editor: Flynn</cp:lastModifiedBy>
  <cp:revision>2</cp:revision>
  <dcterms:created xsi:type="dcterms:W3CDTF">2013-12-23T23:15:00Z</dcterms:created>
  <dcterms:modified xsi:type="dcterms:W3CDTF">2026-08-06T16:00:00Z</dcterms:modified>
  <cp:category/>
</cp:coreProperties>
</file>