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PC3 Architecture Blueprint v1.0</w:t>
      </w:r>
    </w:p>
    <w:p>
      <w:pPr>
        <w:jc w:val="center"/>
      </w:pPr>
      <w:r>
        <w:rPr>
          <w:b/>
          <w:sz w:val="28"/>
        </w:rPr>
        <w:t>Final Release — Version 1.0</w:t>
      </w:r>
    </w:p>
    <w:p>
      <w:pPr>
        <w:jc w:val="center"/>
      </w:pPr>
      <w:r>
        <w:rPr>
          <w:i/>
        </w:rPr>
        <w:t>Published Computational Capability Console (PC3)</w:t>
      </w:r>
    </w:p>
    <w:p>
      <w:pPr>
        <w:jc w:val="center"/>
      </w:pPr>
      <w:r>
        <w:t>Governing normative baseline: PC3.v1.0.Specification.Pass11.7.docx</w:t>
      </w:r>
    </w:p>
    <w:p>
      <w:pPr>
        <w:jc w:val="center"/>
      </w:pPr>
      <w:r>
        <w:t>Final blueprint baseline: PC3_Architecture_Blueprint_v1.0_BP10(1).docx</w:t>
      </w:r>
    </w:p>
    <w:p/>
    <w:p>
      <w:pPr>
        <w:jc w:val="center"/>
      </w:pPr>
      <w:r>
        <w:t>Non-normative implementation architecture companion to the PC3 v1.0 Specification</w:t>
      </w:r>
    </w:p>
    <w:p>
      <w:r>
        <w:br w:type="page"/>
      </w:r>
    </w:p>
    <w:p>
      <w:pPr>
        <w:jc w:val="center"/>
      </w:pPr>
      <w:r>
        <w:rPr>
          <w:i/>
          <w:sz w:val="20"/>
        </w:rPr>
        <w:t>This release completes the first usable PC3 Architecture Blueprint.</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vAlign w:val="top"/>
            <w:shd w:fill="D9E2F3"/>
          </w:tcPr>
          <w:p>
            <w:pPr>
              <w:spacing w:after="0"/>
            </w:pPr>
            <w:r/>
            <w:r>
              <w:rPr>
                <w:b/>
                <w:sz w:val="18"/>
              </w:rPr>
              <w:t>Release metadata</w:t>
            </w:r>
          </w:p>
        </w:tc>
        <w:tc>
          <w:tcPr>
            <w:tcW w:type="dxa" w:w="4997"/>
            <w:vAlign w:val="top"/>
            <w:shd w:fill="D9E2F3"/>
          </w:tcPr>
          <w:p>
            <w:pPr>
              <w:spacing w:after="0"/>
            </w:pPr>
            <w:r/>
            <w:r>
              <w:rPr>
                <w:b/>
                <w:sz w:val="18"/>
              </w:rPr>
              <w:t>Value</w:t>
            </w:r>
          </w:p>
        </w:tc>
      </w:tr>
      <w:tr>
        <w:trPr>
          <w:cantSplit/>
        </w:trPr>
        <w:tc>
          <w:tcPr>
            <w:tcW w:type="dxa" w:w="4997"/>
            <w:vAlign w:val="top"/>
          </w:tcPr>
          <w:p>
            <w:pPr>
              <w:spacing w:after="0"/>
            </w:pPr>
            <w:r/>
            <w:r>
              <w:rPr>
                <w:b w:val="0"/>
                <w:sz w:val="18"/>
              </w:rPr>
              <w:t>Blueprint version</w:t>
            </w:r>
          </w:p>
        </w:tc>
        <w:tc>
          <w:tcPr>
            <w:tcW w:type="dxa" w:w="4997"/>
            <w:vAlign w:val="top"/>
          </w:tcPr>
          <w:p>
            <w:pPr>
              <w:spacing w:after="0"/>
            </w:pPr>
            <w:r/>
            <w:r>
              <w:rPr>
                <w:b w:val="0"/>
                <w:sz w:val="18"/>
              </w:rPr>
              <w:t>1.0</w:t>
            </w:r>
          </w:p>
        </w:tc>
      </w:tr>
      <w:tr>
        <w:trPr>
          <w:cantSplit/>
        </w:trPr>
        <w:tc>
          <w:tcPr>
            <w:tcW w:type="dxa" w:w="4997"/>
            <w:vAlign w:val="top"/>
          </w:tcPr>
          <w:p>
            <w:pPr>
              <w:spacing w:after="0"/>
            </w:pPr>
            <w:r/>
            <w:r>
              <w:rPr>
                <w:b w:val="0"/>
                <w:sz w:val="18"/>
              </w:rPr>
              <w:t>Status</w:t>
            </w:r>
          </w:p>
        </w:tc>
        <w:tc>
          <w:tcPr>
            <w:tcW w:type="dxa" w:w="4997"/>
            <w:vAlign w:val="top"/>
          </w:tcPr>
          <w:p>
            <w:pPr>
              <w:spacing w:after="0"/>
            </w:pPr>
            <w:r/>
            <w:r>
              <w:rPr>
                <w:b w:val="0"/>
                <w:sz w:val="18"/>
              </w:rPr>
              <w:t>Released implementation architecture</w:t>
            </w:r>
          </w:p>
        </w:tc>
      </w:tr>
      <w:tr>
        <w:trPr>
          <w:cantSplit/>
        </w:trPr>
        <w:tc>
          <w:tcPr>
            <w:tcW w:type="dxa" w:w="4997"/>
            <w:vAlign w:val="top"/>
          </w:tcPr>
          <w:p>
            <w:pPr>
              <w:spacing w:after="0"/>
            </w:pPr>
            <w:r/>
            <w:r>
              <w:rPr>
                <w:b w:val="0"/>
                <w:sz w:val="18"/>
              </w:rPr>
              <w:t>Normative specification baseline</w:t>
            </w:r>
          </w:p>
        </w:tc>
        <w:tc>
          <w:tcPr>
            <w:tcW w:type="dxa" w:w="4997"/>
            <w:vAlign w:val="top"/>
          </w:tcPr>
          <w:p>
            <w:pPr>
              <w:spacing w:after="0"/>
            </w:pPr>
            <w:r/>
            <w:r>
              <w:rPr>
                <w:b w:val="0"/>
                <w:sz w:val="18"/>
              </w:rPr>
              <w:t>PC3.v1.0.Specification.Pass11.7.docx</w:t>
            </w:r>
          </w:p>
        </w:tc>
      </w:tr>
      <w:tr>
        <w:trPr>
          <w:cantSplit/>
        </w:trPr>
        <w:tc>
          <w:tcPr>
            <w:tcW w:type="dxa" w:w="4997"/>
            <w:vAlign w:val="top"/>
          </w:tcPr>
          <w:p>
            <w:pPr>
              <w:spacing w:after="0"/>
            </w:pPr>
            <w:r/>
            <w:r>
              <w:rPr>
                <w:b w:val="0"/>
                <w:sz w:val="18"/>
              </w:rPr>
              <w:t>Final working baseline</w:t>
            </w:r>
          </w:p>
        </w:tc>
        <w:tc>
          <w:tcPr>
            <w:tcW w:type="dxa" w:w="4997"/>
            <w:vAlign w:val="top"/>
          </w:tcPr>
          <w:p>
            <w:pPr>
              <w:spacing w:after="0"/>
            </w:pPr>
            <w:r/>
            <w:r>
              <w:rPr>
                <w:b w:val="0"/>
                <w:sz w:val="18"/>
              </w:rPr>
              <w:t>PC3_Architecture_Blueprint_v1.0_BP10(1).docx</w:t>
            </w:r>
          </w:p>
        </w:tc>
      </w:tr>
      <w:tr>
        <w:trPr>
          <w:cantSplit/>
        </w:trPr>
        <w:tc>
          <w:tcPr>
            <w:tcW w:type="dxa" w:w="4997"/>
            <w:vAlign w:val="top"/>
          </w:tcPr>
          <w:p>
            <w:pPr>
              <w:spacing w:after="0"/>
            </w:pPr>
            <w:r/>
            <w:r>
              <w:rPr>
                <w:b w:val="0"/>
                <w:sz w:val="18"/>
              </w:rPr>
              <w:t>Architectural posture</w:t>
            </w:r>
          </w:p>
        </w:tc>
        <w:tc>
          <w:tcPr>
            <w:tcW w:type="dxa" w:w="4997"/>
            <w:vAlign w:val="top"/>
          </w:tcPr>
          <w:p>
            <w:pPr>
              <w:spacing w:after="0"/>
            </w:pPr>
            <w:r/>
            <w:r>
              <w:rPr>
                <w:b w:val="0"/>
                <w:sz w:val="18"/>
              </w:rPr>
              <w:t>Non-normative; implementation-organizing; technology-neutral</w:t>
            </w:r>
          </w:p>
        </w:tc>
      </w:tr>
    </w:tbl>
    <w:p>
      <w:pPr>
        <w:pStyle w:val="Heading1"/>
        <w:keepNext/>
        <w:spacing w:before="240" w:after="100"/>
      </w:pPr>
      <w:r>
        <w:t>1. Purpose, Status, and Architectural Boundary</w:t>
      </w:r>
    </w:p>
    <w:p>
      <w:pPr>
        <w:spacing w:after="80" w:line="252" w:lineRule="auto"/>
      </w:pPr>
      <w:r>
        <w:t>This blueprint is a non-normative implementation bridge between the PC3 v1.0 Specification and engineering work. It recommends how software responsibilities can be organized so that an implementation can realize the specification faithfully. It does not create requirements, redefine PC3 concepts, prescribe implementation technologies, or substitute for the specification.</w:t>
      </w:r>
    </w:p>
    <w:p>
      <w:pPr>
        <w:spacing w:after="80" w:line="252" w:lineRule="auto"/>
      </w:pPr>
      <w:r>
        <w:t>The governing test is dependency: an engineer should be able to organize a codebase from this blueprint, but should not be able to determine conforming PC3 behavior without consulting the normative specification.</w:t>
      </w:r>
    </w:p>
    <w:p>
      <w:pPr>
        <w:pStyle w:val="Heading2"/>
        <w:keepNext/>
        <w:spacing w:before="180" w:after="60"/>
      </w:pPr>
      <w:r>
        <w:t>1.1 Specification and Blueprint Responsibilities</w:t>
      </w:r>
    </w:p>
    <w:tbl>
      <w:tblPr>
        <w:tblStyle w:val="TableGrid"/>
        <w:tblW w:type="auto" w:w="0"/>
        <w:jc w:val="center"/>
        <w:tblLook w:firstColumn="1" w:firstRow="1" w:lastColumn="0" w:lastRow="0" w:noHBand="0" w:noVBand="1" w:val="04A0"/>
      </w:tblPr>
      <w:tblGrid>
        <w:gridCol w:w="4997"/>
        <w:gridCol w:w="4997"/>
      </w:tblGrid>
      <w:tr>
        <w:trPr>
          <w:tblHeader w:val="true"/>
          <w:cantSplit w:val="true"/>
          <w:tblHeader w:val="true"/>
          <w:cantSplit/>
        </w:trPr>
        <w:tc>
          <w:tcPr>
            <w:tcW w:type="dxa" w:w="4997"/>
            <w:vAlign w:val="top"/>
            <w:shd w:fill="D9E2F3"/>
          </w:tcPr>
          <w:p>
            <w:r>
              <w:rPr>
                <w:b/>
                <w:sz w:val="18"/>
              </w:rPr>
              <w:t>Normative PC3 specification</w:t>
            </w:r>
          </w:p>
        </w:tc>
        <w:tc>
          <w:tcPr>
            <w:tcW w:type="dxa" w:w="4997"/>
            <w:vAlign w:val="top"/>
            <w:shd w:fill="D9E2F3"/>
          </w:tcPr>
          <w:p>
            <w:r>
              <w:rPr>
                <w:b/>
                <w:sz w:val="18"/>
              </w:rPr>
              <w:t>Non-normative architecture blueprint</w:t>
            </w:r>
          </w:p>
        </w:tc>
      </w:tr>
      <w:tr>
        <w:trPr>
          <w:cantSplit w:val="true"/>
          <w:cantSplit/>
        </w:trPr>
        <w:tc>
          <w:tcPr>
            <w:tcW w:type="dxa" w:w="4997"/>
            <w:vAlign w:val="top"/>
          </w:tcPr>
          <w:p>
            <w:pPr>
              <w:spacing w:after="20"/>
            </w:pPr>
            <w:r>
              <w:rPr>
                <w:sz w:val="18"/>
              </w:rPr>
              <w:t>Defines what PC3 is and is not.</w:t>
            </w:r>
          </w:p>
        </w:tc>
        <w:tc>
          <w:tcPr>
            <w:tcW w:type="dxa" w:w="4997"/>
            <w:vAlign w:val="top"/>
          </w:tcPr>
          <w:p>
            <w:pPr>
              <w:spacing w:after="20"/>
            </w:pPr>
            <w:r>
              <w:rPr>
                <w:sz w:val="18"/>
              </w:rPr>
              <w:t>Recommends how software responsibilities can be partitioned.</w:t>
            </w:r>
          </w:p>
        </w:tc>
      </w:tr>
      <w:tr>
        <w:trPr>
          <w:cantSplit w:val="true"/>
          <w:cantSplit/>
        </w:trPr>
        <w:tc>
          <w:tcPr>
            <w:tcW w:type="dxa" w:w="4997"/>
            <w:vAlign w:val="top"/>
          </w:tcPr>
          <w:p>
            <w:pPr>
              <w:spacing w:after="20"/>
            </w:pPr>
            <w:r>
              <w:rPr>
                <w:sz w:val="18"/>
              </w:rPr>
              <w:t>Defines required behavior, information, constraints, and conformance.</w:t>
            </w:r>
          </w:p>
        </w:tc>
        <w:tc>
          <w:tcPr>
            <w:tcW w:type="dxa" w:w="4997"/>
            <w:vAlign w:val="top"/>
          </w:tcPr>
          <w:p>
            <w:pPr>
              <w:spacing w:after="20"/>
            </w:pPr>
            <w:r>
              <w:rPr>
                <w:sz w:val="18"/>
              </w:rPr>
              <w:t>Identifies logical components, owners, dependencies, ports, adapters, and collaboration patterns.</w:t>
            </w:r>
          </w:p>
        </w:tc>
      </w:tr>
      <w:tr>
        <w:trPr>
          <w:cantSplit w:val="true"/>
          <w:cantSplit/>
        </w:trPr>
        <w:tc>
          <w:tcPr>
            <w:tcW w:type="dxa" w:w="4997"/>
            <w:vAlign w:val="top"/>
          </w:tcPr>
          <w:p>
            <w:pPr>
              <w:spacing w:after="20"/>
            </w:pPr>
            <w:r>
              <w:rPr>
                <w:sz w:val="18"/>
              </w:rPr>
              <w:t>Defines permitted, prohibited, and required outcomes.</w:t>
            </w:r>
          </w:p>
        </w:tc>
        <w:tc>
          <w:tcPr>
            <w:tcW w:type="dxa" w:w="4997"/>
            <w:vAlign w:val="top"/>
          </w:tcPr>
          <w:p>
            <w:pPr>
              <w:spacing w:after="20"/>
            </w:pPr>
            <w:r>
              <w:rPr>
                <w:sz w:val="18"/>
              </w:rPr>
              <w:t>Explains where state should live and how boundaries should be preserved.</w:t>
            </w:r>
          </w:p>
        </w:tc>
      </w:tr>
      <w:tr>
        <w:trPr>
          <w:cantSplit w:val="true"/>
          <w:cantSplit/>
        </w:trPr>
        <w:tc>
          <w:tcPr>
            <w:tcW w:type="dxa" w:w="4997"/>
            <w:vAlign w:val="top"/>
          </w:tcPr>
          <w:p>
            <w:pPr>
              <w:spacing w:after="20"/>
            </w:pPr>
            <w:r>
              <w:rPr>
                <w:sz w:val="18"/>
              </w:rPr>
              <w:t>Defines Execution Evidence requirements.</w:t>
            </w:r>
          </w:p>
        </w:tc>
        <w:tc>
          <w:tcPr>
            <w:tcW w:type="dxa" w:w="4997"/>
            <w:vAlign w:val="top"/>
          </w:tcPr>
          <w:p>
            <w:pPr>
              <w:spacing w:after="20"/>
            </w:pPr>
            <w:r>
              <w:rPr>
                <w:sz w:val="18"/>
              </w:rPr>
              <w:t>Separates evidence composition, serialization, integrity, signing, verification, and export responsibilities.</w:t>
            </w:r>
          </w:p>
        </w:tc>
      </w:tr>
      <w:tr>
        <w:trPr>
          <w:cantSplit w:val="true"/>
          <w:cantSplit/>
        </w:trPr>
        <w:tc>
          <w:tcPr>
            <w:tcW w:type="dxa" w:w="4997"/>
            <w:vAlign w:val="top"/>
          </w:tcPr>
          <w:p>
            <w:pPr>
              <w:spacing w:after="20"/>
            </w:pPr>
            <w:r>
              <w:rPr>
                <w:sz w:val="18"/>
              </w:rPr>
              <w:t>Defines execution-environment boundary behavior.</w:t>
            </w:r>
          </w:p>
        </w:tc>
        <w:tc>
          <w:tcPr>
            <w:tcW w:type="dxa" w:w="4997"/>
            <w:vAlign w:val="top"/>
          </w:tcPr>
          <w:p>
            <w:pPr>
              <w:spacing w:after="20"/>
            </w:pPr>
            <w:r>
              <w:rPr>
                <w:sz w:val="18"/>
              </w:rPr>
              <w:t>Recommends connector and coordination boundaries that preserve external ownership.</w:t>
            </w:r>
          </w:p>
        </w:tc>
      </w:tr>
    </w:tbl>
    <w:p/>
    <w:p>
      <w:pPr>
        <w:pStyle w:val="Heading2"/>
        <w:keepNext/>
        <w:spacing w:before="180" w:after="60"/>
      </w:pPr>
      <w:r>
        <w:t>1.2 System Context</w:t>
      </w:r>
    </w:p>
    <w:p>
      <w:pPr>
        <w:spacing w:after="80" w:line="252" w:lineRule="auto"/>
      </w:pPr>
      <w:r>
        <w:t>PC3 is a multisession, browser-accessible interpretive console for one active published computational capability per session. It sits between a read-only publication and one or more external execution environments. PC3 loads and interprets the publication, constructs an Internal Operational Representation (IOR), exposes executable realization pathways through the Executable Realization Matrix, coordinates supported exercise through external environments, collects Runtime Observations, and optionally produces Execution Evidence.</w:t>
      </w:r>
    </w:p>
    <w:p>
      <w:pPr>
        <w:spacing w:after="80" w:line="252" w:lineRule="auto"/>
      </w:pPr>
      <w:r>
        <w:t>PC3 is not a publication-authoring system, repository-management system, publication-conformance tool, software-development environment, execution environment, runtime platform, or infrastructure-administration console.</w:t>
      </w:r>
    </w:p>
    <w:p>
      <w:pPr>
        <w:pStyle w:val="Heading2"/>
        <w:keepNext/>
        <w:spacing w:before="180" w:after="60"/>
      </w:pPr>
      <w:r>
        <w:t>1.3 Architectural Guardrails</w:t>
      </w:r>
    </w:p>
    <w:p>
      <w:pPr>
        <w:pStyle w:val="ListBullet"/>
        <w:spacing w:after="40"/>
      </w:pPr>
      <w:r>
        <w:t>Published computational capabilities remain read-only. PC3 does not repair, supplement, rewrite, or write observations or evidence into them.</w:t>
      </w:r>
    </w:p>
    <w:p>
      <w:pPr>
        <w:pStyle w:val="ListBullet"/>
        <w:spacing w:after="40"/>
      </w:pPr>
      <w:r>
        <w:t>PC3 coordinates exercise but does not perform the published computation.</w:t>
      </w:r>
    </w:p>
    <w:p>
      <w:pPr>
        <w:pStyle w:val="ListBullet"/>
        <w:spacing w:after="40"/>
      </w:pPr>
      <w:r>
        <w:t>Execution environments remain external and externally governed: see it here; manage it elsewhere.</w:t>
      </w:r>
    </w:p>
    <w:p>
      <w:pPr>
        <w:pStyle w:val="ListBullet"/>
        <w:spacing w:after="40"/>
      </w:pPr>
      <w:r>
        <w:t>Publication Truth, PC3 Interpretation, Runtime Observation, and Execution Evidence remain distinct in code, state, views, and persistence.</w:t>
      </w:r>
    </w:p>
    <w:p>
      <w:pPr>
        <w:pStyle w:val="ListBullet"/>
        <w:spacing w:after="40"/>
      </w:pPr>
      <w:r>
        <w:t>Each session has exactly one active publication context at a time, and publication-specific state does not silently cross contexts.</w:t>
      </w:r>
    </w:p>
    <w:p>
      <w:pPr>
        <w:pStyle w:val="ListBullet"/>
        <w:spacing w:after="40"/>
      </w:pPr>
      <w:r>
        <w:t>Selection and exercise remain separate user actions.</w:t>
      </w:r>
    </w:p>
    <w:p>
      <w:pPr>
        <w:pStyle w:val="ListBullet"/>
        <w:spacing w:after="40"/>
      </w:pPr>
      <w:r>
        <w:t>Unsupported conditions remain visible; PC3 does not bypass a pathway or substitute another realization to obtain a result.</w:t>
      </w:r>
    </w:p>
    <w:p>
      <w:pPr>
        <w:pStyle w:val="ListBullet"/>
        <w:spacing w:after="40"/>
      </w:pPr>
      <w:r>
        <w:t>Execution Evidence is optional, user-requested, attempt-specific, inspectable before saving, and external to the publication.</w:t>
      </w:r>
    </w:p>
    <w:p>
      <w:pPr>
        <w:pStyle w:val="ListBullet"/>
        <w:spacing w:after="40"/>
      </w:pPr>
      <w:r>
        <w:t>Conformance information applies only to the identified PC3 implementation and exact version.</w:t>
      </w:r>
    </w:p>
    <w:p>
      <w:pPr>
        <w:pStyle w:val="Heading1"/>
        <w:keepNext/>
        <w:spacing w:before="240" w:after="100"/>
      </w:pPr>
      <w:r>
        <w:t>2. Logical Component Architecture</w:t>
      </w:r>
    </w:p>
    <w:p>
      <w:pPr>
        <w:spacing w:after="80" w:line="252" w:lineRule="auto"/>
      </w:pPr>
      <w:r>
        <w:t>The component model makes responsibility visible and testable. Physical packaging may vary, but the following logical ownership boundaries should remain identifiable.</w:t>
      </w:r>
    </w:p>
    <w:p>
      <w:pPr>
        <w:pStyle w:val="Heading2"/>
        <w:keepNext/>
        <w:spacing w:before="180" w:after="60"/>
      </w:pPr>
      <w:r>
        <w:t>2.1 Primary Component Groups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val="true"/>
          <w:tblHeader w:val="true"/>
          <w:cantSplit/>
        </w:trPr>
        <w:tc>
          <w:tcPr>
            <w:tcW w:type="dxa" w:w="3331"/>
            <w:vAlign w:val="top"/>
            <w:shd w:fill="D9E2F3"/>
          </w:tcPr>
          <w:p>
            <w:r>
              <w:rPr>
                <w:b/>
                <w:sz w:val="18"/>
              </w:rPr>
              <w:t>Group</w:t>
            </w:r>
          </w:p>
        </w:tc>
        <w:tc>
          <w:tcPr>
            <w:tcW w:type="dxa" w:w="3331"/>
            <w:vAlign w:val="top"/>
            <w:shd w:fill="D9E2F3"/>
          </w:tcPr>
          <w:p>
            <w:r>
              <w:rPr>
                <w:b/>
                <w:sz w:val="18"/>
              </w:rPr>
              <w:t>Primary components</w:t>
            </w:r>
          </w:p>
        </w:tc>
        <w:tc>
          <w:tcPr>
            <w:tcW w:type="dxa" w:w="3331"/>
            <w:vAlign w:val="top"/>
            <w:shd w:fill="D9E2F3"/>
          </w:tcPr>
          <w:p>
            <w:r>
              <w:rPr>
                <w:b/>
                <w:sz w:val="18"/>
              </w:rPr>
              <w:t>Architectural role</w:t>
            </w:r>
          </w:p>
        </w:tc>
      </w:tr>
      <w:tr>
        <w:trPr>
          <w:cantSplit w:val="true"/>
          <w:cantSplit/>
        </w:trPr>
        <w:tc>
          <w:tcPr>
            <w:tcW w:type="dxa" w:w="3331"/>
            <w:vAlign w:val="top"/>
          </w:tcPr>
          <w:p>
            <w:pPr>
              <w:spacing w:after="20"/>
            </w:pPr>
            <w:r>
              <w:rPr>
                <w:sz w:val="18"/>
              </w:rPr>
              <w:t>Publication interpretation</w:t>
            </w:r>
          </w:p>
        </w:tc>
        <w:tc>
          <w:tcPr>
            <w:tcW w:type="dxa" w:w="3331"/>
            <w:vAlign w:val="top"/>
          </w:tcPr>
          <w:p>
            <w:pPr>
              <w:spacing w:after="20"/>
            </w:pPr>
            <w:r>
              <w:rPr>
                <w:sz w:val="18"/>
              </w:rPr>
              <w:t>Publication Loader; Publication Interpreter; IOR Manager</w:t>
            </w:r>
          </w:p>
        </w:tc>
        <w:tc>
          <w:tcPr>
            <w:tcW w:type="dxa" w:w="3331"/>
            <w:vAlign w:val="top"/>
          </w:tcPr>
          <w:p>
            <w:pPr>
              <w:spacing w:after="20"/>
            </w:pPr>
            <w:r>
              <w:rPr>
                <w:sz w:val="18"/>
              </w:rPr>
              <w:t>Acquire a publication read-only, interpret declarations, and construct the PC3 operational model.</w:t>
            </w:r>
          </w:p>
        </w:tc>
      </w:tr>
      <w:tr>
        <w:trPr>
          <w:cantSplit w:val="true"/>
          <w:cantSplit/>
        </w:trPr>
        <w:tc>
          <w:tcPr>
            <w:tcW w:type="dxa" w:w="3331"/>
            <w:vAlign w:val="top"/>
          </w:tcPr>
          <w:p>
            <w:pPr>
              <w:spacing w:after="20"/>
            </w:pPr>
            <w:r>
              <w:rPr>
                <w:sz w:val="18"/>
              </w:rPr>
              <w:t>Active operation</w:t>
            </w:r>
          </w:p>
        </w:tc>
        <w:tc>
          <w:tcPr>
            <w:tcW w:type="dxa" w:w="3331"/>
            <w:vAlign w:val="top"/>
          </w:tcPr>
          <w:p>
            <w:pPr>
              <w:spacing w:after="20"/>
            </w:pPr>
            <w:r>
              <w:rPr>
                <w:sz w:val="18"/>
              </w:rPr>
              <w:t>Session Manager; Active Operational Context Manager; Executable Realization Matrix; Realization Engagement</w:t>
            </w:r>
          </w:p>
        </w:tc>
        <w:tc>
          <w:tcPr>
            <w:tcW w:type="dxa" w:w="3331"/>
            <w:vAlign w:val="top"/>
          </w:tcPr>
          <w:p>
            <w:pPr>
              <w:spacing w:after="20"/>
            </w:pPr>
            <w:r>
              <w:rPr>
                <w:sz w:val="18"/>
              </w:rPr>
              <w:t>Maintain one active publication context, expose pathways, preserve selection, and coordinate Exercise Attempts.</w:t>
            </w:r>
          </w:p>
        </w:tc>
      </w:tr>
      <w:tr>
        <w:trPr>
          <w:cantSplit w:val="true"/>
          <w:cantSplit/>
        </w:trPr>
        <w:tc>
          <w:tcPr>
            <w:tcW w:type="dxa" w:w="3331"/>
            <w:vAlign w:val="top"/>
          </w:tcPr>
          <w:p>
            <w:pPr>
              <w:spacing w:after="20"/>
            </w:pPr>
            <w:r>
              <w:rPr>
                <w:sz w:val="18"/>
              </w:rPr>
              <w:t>External engagement</w:t>
            </w:r>
          </w:p>
        </w:tc>
        <w:tc>
          <w:tcPr>
            <w:tcW w:type="dxa" w:w="3331"/>
            <w:vAlign w:val="top"/>
          </w:tcPr>
          <w:p>
            <w:pPr>
              <w:spacing w:after="20"/>
            </w:pPr>
            <w:r>
              <w:rPr>
                <w:sz w:val="18"/>
              </w:rPr>
              <w:t>Execution Environment Coordination; Connector Registry; Invocation Adapter Registry</w:t>
            </w:r>
          </w:p>
        </w:tc>
        <w:tc>
          <w:tcPr>
            <w:tcW w:type="dxa" w:w="3331"/>
            <w:vAlign w:val="top"/>
          </w:tcPr>
          <w:p>
            <w:pPr>
              <w:spacing w:after="20"/>
            </w:pPr>
            <w:r>
              <w:rPr>
                <w:sz w:val="18"/>
              </w:rPr>
              <w:t>Identify and engage external environments while isolating provider- and invocation-specific variation.</w:t>
            </w:r>
          </w:p>
        </w:tc>
      </w:tr>
      <w:tr>
        <w:trPr>
          <w:cantSplit w:val="true"/>
          <w:cantSplit/>
        </w:trPr>
        <w:tc>
          <w:tcPr>
            <w:tcW w:type="dxa" w:w="3331"/>
            <w:vAlign w:val="top"/>
          </w:tcPr>
          <w:p>
            <w:pPr>
              <w:spacing w:after="20"/>
            </w:pPr>
            <w:r>
              <w:rPr>
                <w:sz w:val="18"/>
              </w:rPr>
              <w:t>Observation and evidence</w:t>
            </w:r>
          </w:p>
        </w:tc>
        <w:tc>
          <w:tcPr>
            <w:tcW w:type="dxa" w:w="3331"/>
            <w:vAlign w:val="top"/>
          </w:tcPr>
          <w:p>
            <w:pPr>
              <w:spacing w:after="20"/>
            </w:pPr>
            <w:r>
              <w:rPr>
                <w:sz w:val="18"/>
              </w:rPr>
              <w:t>Runtime Observation Collection; Execution Evidence Generation; Evidence Serializer; Integrity and Verification Service</w:t>
            </w:r>
          </w:p>
        </w:tc>
        <w:tc>
          <w:tcPr>
            <w:tcW w:type="dxa" w:w="3331"/>
            <w:vAlign w:val="top"/>
          </w:tcPr>
          <w:p>
            <w:pPr>
              <w:spacing w:after="20"/>
            </w:pPr>
            <w:r>
              <w:rPr>
                <w:sz w:val="18"/>
              </w:rPr>
              <w:t>Retain attempt-specific observations and produce, inspect, protect, verify, and export optional evidence.</w:t>
            </w:r>
          </w:p>
        </w:tc>
      </w:tr>
      <w:tr>
        <w:trPr>
          <w:cantSplit w:val="true"/>
          <w:cantSplit/>
        </w:trPr>
        <w:tc>
          <w:tcPr>
            <w:tcW w:type="dxa" w:w="3331"/>
            <w:vAlign w:val="top"/>
          </w:tcPr>
          <w:p>
            <w:pPr>
              <w:spacing w:after="20"/>
            </w:pPr>
            <w:r>
              <w:rPr>
                <w:sz w:val="18"/>
              </w:rPr>
              <w:t>Implementation disclosure</w:t>
            </w:r>
          </w:p>
        </w:tc>
        <w:tc>
          <w:tcPr>
            <w:tcW w:type="dxa" w:w="3331"/>
            <w:vAlign w:val="top"/>
          </w:tcPr>
          <w:p>
            <w:pPr>
              <w:spacing w:after="20"/>
            </w:pPr>
            <w:r>
              <w:rPr>
                <w:sz w:val="18"/>
              </w:rPr>
              <w:t>Conformance Declaration Provider</w:t>
            </w:r>
          </w:p>
        </w:tc>
        <w:tc>
          <w:tcPr>
            <w:tcW w:type="dxa" w:w="3331"/>
            <w:vAlign w:val="top"/>
          </w:tcPr>
          <w:p>
            <w:pPr>
              <w:spacing w:after="20"/>
            </w:pPr>
            <w:r>
              <w:rPr>
                <w:sz w:val="18"/>
              </w:rPr>
              <w:t>Expose exact operating implementation identity, version, claim scope, and limitations.</w:t>
            </w:r>
          </w:p>
        </w:tc>
      </w:tr>
      <w:tr>
        <w:trPr>
          <w:cantSplit w:val="true"/>
          <w:cantSplit/>
        </w:trPr>
        <w:tc>
          <w:tcPr>
            <w:tcW w:type="dxa" w:w="3331"/>
            <w:vAlign w:val="top"/>
          </w:tcPr>
          <w:p>
            <w:pPr>
              <w:spacing w:after="20"/>
            </w:pPr>
            <w:r>
              <w:rPr>
                <w:sz w:val="18"/>
              </w:rPr>
              <w:t>Shared support</w:t>
            </w:r>
          </w:p>
        </w:tc>
        <w:tc>
          <w:tcPr>
            <w:tcW w:type="dxa" w:w="3331"/>
            <w:vAlign w:val="top"/>
          </w:tcPr>
          <w:p>
            <w:pPr>
              <w:spacing w:after="20"/>
            </w:pPr>
            <w:r>
              <w:rPr>
                <w:sz w:val="18"/>
              </w:rPr>
              <w:t>Identifiers, clock, digest, secret references, persistence ports, internal coordination mechanism</w:t>
            </w:r>
          </w:p>
        </w:tc>
        <w:tc>
          <w:tcPr>
            <w:tcW w:type="dxa" w:w="3331"/>
            <w:vAlign w:val="top"/>
          </w:tcPr>
          <w:p>
            <w:pPr>
              <w:spacing w:after="20"/>
            </w:pPr>
            <w:r>
              <w:rPr>
                <w:sz w:val="18"/>
              </w:rPr>
              <w:t>Provide reusable mechanisms without acquiring architectural authority.</w:t>
            </w:r>
          </w:p>
        </w:tc>
      </w:tr>
    </w:tbl>
    <w:p/>
    <w:p>
      <w:pPr>
        <w:pStyle w:val="Heading2"/>
        <w:keepNext/>
        <w:spacing w:before="180" w:after="60"/>
      </w:pPr>
      <w:r>
        <w:t>2.2 Primary Responsibilities</w:t>
      </w:r>
    </w:p>
    <w:p>
      <w:pPr>
        <w:pStyle w:val="Heading3"/>
        <w:keepNext/>
        <w:spacing w:before="120" w:after="40"/>
      </w:pPr>
      <w:r>
        <w:rPr>
          <w:b/>
        </w:rPr>
        <w:t>Publication Loader</w:t>
      </w:r>
    </w:p>
    <w:p>
      <w:pPr>
        <w:spacing w:after="80" w:line="252" w:lineRule="auto"/>
      </w:pPr>
      <w:r>
        <w:t>Owns read-only acquisition of publication resources and loading outcomes. It does not interpret publication architecture or manage repositories.</w:t>
      </w:r>
    </w:p>
    <w:p>
      <w:pPr>
        <w:pStyle w:val="Heading3"/>
        <w:keepNext/>
        <w:spacing w:before="120" w:after="40"/>
      </w:pPr>
      <w:r>
        <w:rPr>
          <w:b/>
        </w:rPr>
        <w:t>Publication Interpreter</w:t>
      </w:r>
    </w:p>
    <w:p>
      <w:pPr>
        <w:spacing w:after="80" w:line="252" w:lineRule="auto"/>
      </w:pPr>
      <w:r>
        <w:t>Turns declarations into provenance-bearing PC3 Interpretation needed for operation. It does not assess overall publication conformance.</w:t>
      </w:r>
    </w:p>
    <w:p>
      <w:pPr>
        <w:pStyle w:val="Heading3"/>
        <w:keepNext/>
        <w:spacing w:before="120" w:after="40"/>
      </w:pPr>
      <w:r>
        <w:rPr>
          <w:b/>
        </w:rPr>
        <w:t>IOR Manager</w:t>
      </w:r>
    </w:p>
    <w:p>
      <w:pPr>
        <w:spacing w:after="80" w:line="252" w:lineRule="auto"/>
      </w:pPr>
      <w:r>
        <w:t>Constructs and owns the replaceable operational representation for one publication load and preserves traceability to publication declarations.</w:t>
      </w:r>
    </w:p>
    <w:p>
      <w:pPr>
        <w:pStyle w:val="Heading3"/>
        <w:keepNext/>
        <w:spacing w:before="120" w:after="40"/>
      </w:pPr>
      <w:r>
        <w:rPr>
          <w:b/>
        </w:rPr>
        <w:t>Session Manager</w:t>
      </w:r>
    </w:p>
    <w:p>
      <w:pPr>
        <w:spacing w:after="80" w:line="252" w:lineRule="auto"/>
      </w:pPr>
      <w:r>
        <w:t>Owns browser-accessible session identity and lifetime, not publication-specific domain state.</w:t>
      </w:r>
    </w:p>
    <w:p>
      <w:pPr>
        <w:pStyle w:val="Heading3"/>
        <w:keepNext/>
        <w:spacing w:before="120" w:after="40"/>
      </w:pPr>
      <w:r>
        <w:rPr>
          <w:b/>
        </w:rPr>
        <w:t>Active Operational Context Manager</w:t>
      </w:r>
    </w:p>
    <w:p>
      <w:pPr>
        <w:spacing w:after="80" w:line="252" w:lineRule="auto"/>
      </w:pPr>
      <w:r>
        <w:t>Owns the active publication, selection, editable input, active environment association, and references to attempts and generated evidence for one session.</w:t>
      </w:r>
    </w:p>
    <w:p>
      <w:pPr>
        <w:pStyle w:val="Heading3"/>
        <w:keepNext/>
        <w:spacing w:before="120" w:after="40"/>
      </w:pPr>
      <w:r>
        <w:rPr>
          <w:b/>
        </w:rPr>
        <w:t>Executable Realization Matrix</w:t>
      </w:r>
    </w:p>
    <w:p>
      <w:pPr>
        <w:spacing w:after="80" w:line="252" w:lineRule="auto"/>
      </w:pPr>
      <w:r>
        <w:t>Projects the IOR and current operational support into the pathway-centered interaction surface. It is a view, not an authority.</w:t>
      </w:r>
    </w:p>
    <w:p>
      <w:pPr>
        <w:pStyle w:val="Heading3"/>
        <w:keepNext/>
        <w:spacing w:before="120" w:after="40"/>
      </w:pPr>
      <w:r>
        <w:rPr>
          <w:b/>
        </w:rPr>
        <w:t>Realization Engagement</w:t>
      </w:r>
    </w:p>
    <w:p>
      <w:pPr>
        <w:spacing w:after="80" w:line="252" w:lineRule="auto"/>
      </w:pPr>
      <w:r>
        <w:t>Coordinates one user-requested Exercise Attempt through the selected pathway and declared invocation mechanism. It does not execute the computation.</w:t>
      </w:r>
    </w:p>
    <w:p>
      <w:pPr>
        <w:pStyle w:val="Heading3"/>
        <w:keepNext/>
        <w:spacing w:before="120" w:after="40"/>
      </w:pPr>
      <w:r>
        <w:rPr>
          <w:b/>
        </w:rPr>
        <w:t>Execution Environment Coordination</w:t>
      </w:r>
    </w:p>
    <w:p>
      <w:pPr>
        <w:spacing w:after="80" w:line="252" w:lineRule="auto"/>
      </w:pPr>
      <w:r>
        <w:t>Owns PC3-side environment needs, candidates, suitability assessments, associations, readiness coordination, reuse decisions, and lifecycle requests.</w:t>
      </w:r>
    </w:p>
    <w:p>
      <w:pPr>
        <w:pStyle w:val="Heading3"/>
        <w:keepNext/>
        <w:spacing w:before="120" w:after="40"/>
      </w:pPr>
      <w:r>
        <w:rPr>
          <w:b/>
        </w:rPr>
        <w:t>Runtime Observation Collection</w:t>
      </w:r>
    </w:p>
    <w:p>
      <w:pPr>
        <w:spacing w:after="80" w:line="252" w:lineRule="auto"/>
      </w:pPr>
      <w:r>
        <w:t>Owns retained, source-aware, attempt- and environment-associated Runtime Observations.</w:t>
      </w:r>
    </w:p>
    <w:p>
      <w:pPr>
        <w:pStyle w:val="Heading3"/>
        <w:keepNext/>
        <w:spacing w:before="120" w:after="40"/>
      </w:pPr>
      <w:r>
        <w:rPr>
          <w:b/>
        </w:rPr>
        <w:t>Execution Evidence Generation</w:t>
      </w:r>
    </w:p>
    <w:p>
      <w:pPr>
        <w:spacing w:after="80" w:line="252" w:lineRule="auto"/>
      </w:pPr>
      <w:r>
        <w:t>Composes one stable evidence item from a fixed attempt-oriented snapshot after explicit user request.</w:t>
      </w:r>
    </w:p>
    <w:p>
      <w:pPr>
        <w:pStyle w:val="Heading3"/>
        <w:keepNext/>
        <w:spacing w:before="120" w:after="40"/>
      </w:pPr>
      <w:r>
        <w:rPr>
          <w:b/>
        </w:rPr>
        <w:t>Conformance Declaration Provider</w:t>
      </w:r>
    </w:p>
    <w:p>
      <w:pPr>
        <w:spacing w:after="80" w:line="252" w:lineRule="auto"/>
      </w:pPr>
      <w:r>
        <w:t>Supplies exact implementation/version conformance information without extending claims to publications, environments, or exercise outcomes.</w:t>
      </w:r>
    </w:p>
    <w:p>
      <w:pPr>
        <w:pStyle w:val="Heading2"/>
        <w:keepNext/>
        <w:spacing w:before="180" w:after="60"/>
      </w:pPr>
      <w:r>
        <w:t>2.3 Dependency Direction</w:t>
      </w:r>
    </w:p>
    <w:p>
      <w:pPr>
        <w:pStyle w:val="ListBullet"/>
        <w:spacing w:after="40"/>
      </w:pPr>
      <w:r>
        <w:t>Publication acquisition precedes interpretation; interpretation precedes IOR construction; the IOR supports active context and matrix projection.</w:t>
      </w:r>
    </w:p>
    <w:p>
      <w:pPr>
        <w:pStyle w:val="ListBullet"/>
        <w:spacing w:after="40"/>
      </w:pPr>
      <w:r>
        <w:t>Presentation submits explicit intentions and reads purpose-built views; it does not mutate domain state directly.</w:t>
      </w:r>
    </w:p>
    <w:p>
      <w:pPr>
        <w:pStyle w:val="ListBullet"/>
        <w:spacing w:after="40"/>
      </w:pPr>
      <w:r>
        <w:t>Realization Engagement depends on active context, invocation adapters, environment coordination, and observation intake.</w:t>
      </w:r>
    </w:p>
    <w:p>
      <w:pPr>
        <w:pStyle w:val="ListBullet"/>
        <w:spacing w:after="40"/>
      </w:pPr>
      <w:r>
        <w:t>Execution Environment Coordination depends on connectors but remains the owner of PC3-side environment associations.</w:t>
      </w:r>
    </w:p>
    <w:p>
      <w:pPr>
        <w:pStyle w:val="ListBullet"/>
        <w:spacing w:after="40"/>
      </w:pPr>
      <w:r>
        <w:t>Runtime Observation Collection receives material events but does not direct exercise.</w:t>
      </w:r>
    </w:p>
    <w:p>
      <w:pPr>
        <w:pStyle w:val="ListBullet"/>
        <w:spacing w:after="40"/>
      </w:pPr>
      <w:r>
        <w:t>Execution Evidence Generation reads a fixed attempt snapshot rather than mutable current session state.</w:t>
      </w:r>
    </w:p>
    <w:p>
      <w:pPr>
        <w:pStyle w:val="ListBullet"/>
        <w:spacing w:after="40"/>
      </w:pPr>
      <w:r>
        <w:t>Serializers and cryptographic services operate after evidence composition and do not redefine evidence meaning.</w:t>
      </w:r>
    </w:p>
    <w:p>
      <w:pPr>
        <w:pStyle w:val="Heading2"/>
        <w:keepNext/>
        <w:spacing w:before="180" w:after="60"/>
      </w:pPr>
      <w:r>
        <w:t>2.4 Deployment-Neutral Organization</w:t>
      </w:r>
    </w:p>
    <w:p>
      <w:pPr>
        <w:spacing w:after="80" w:line="252" w:lineRule="auto"/>
      </w:pPr>
      <w:r>
        <w:t>For the Architectural Reference Implementation, a modular monolith with explicit internal ports is the recommended starting point. It preserves testable ownership boundaries without imposing distributed-system complexity. Later process or service separation should follow proven logical boundaries rather than create new responsibilities.</w:t>
      </w:r>
    </w:p>
    <w:p>
      <w:pPr>
        <w:spacing w:after="80" w:line="252" w:lineRule="auto"/>
      </w:pPr>
      <w:r>
        <w:t>One practical package organization is: pc3.presentation, pc3.application, pc3.publication, pc3.operation, pc3.environment, pc3.observation, pc3.evidence, pc3.conformance, pc3.infrastructure, and pc3.testing. Names are illustrative.</w:t>
      </w:r>
    </w:p>
    <w:p>
      <w:pPr>
        <w:pStyle w:val="Heading1"/>
        <w:keepNext/>
        <w:spacing w:before="240" w:after="100"/>
      </w:pPr>
      <w:r>
        <w:t>3. Information Ownership, Identity, and Lifecycle</w:t>
      </w:r>
    </w:p>
    <w:p>
      <w:pPr>
        <w:spacing w:after="80" w:line="252" w:lineRule="auto"/>
      </w:pPr>
      <w:r>
        <w:t>The detailed PC3 information model remains governed by the specification. This chapter identifies architectural ownership, authority, association, and lifecycle boundaries.</w:t>
      </w:r>
    </w:p>
    <w:p>
      <w:pPr>
        <w:pStyle w:val="Heading2"/>
        <w:keepNext/>
        <w:spacing w:before="180" w:after="60"/>
      </w:pPr>
      <w:r>
        <w:t>3.1 Architectural Truth Separation</w:t>
      </w:r>
    </w:p>
    <w:tbl>
      <w:tblPr>
        <w:tblStyle w:val="TableGrid"/>
        <w:tblW w:type="auto" w:w="0"/>
        <w:jc w:val="center"/>
        <w:tblLook w:firstColumn="1" w:firstRow="1" w:lastColumn="0" w:lastRow="0" w:noHBand="0" w:noVBand="1" w:val="04A0"/>
      </w:tblPr>
      <w:tblGrid>
        <w:gridCol w:w="4997"/>
        <w:gridCol w:w="4997"/>
      </w:tblGrid>
      <w:tr>
        <w:trPr>
          <w:tblHeader w:val="true"/>
          <w:cantSplit w:val="true"/>
          <w:tblHeader w:val="true"/>
          <w:cantSplit/>
        </w:trPr>
        <w:tc>
          <w:tcPr>
            <w:tcW w:type="dxa" w:w="4997"/>
            <w:vAlign w:val="top"/>
            <w:shd w:fill="D9E2F3"/>
          </w:tcPr>
          <w:p>
            <w:r>
              <w:rPr>
                <w:b/>
                <w:sz w:val="18"/>
              </w:rPr>
              <w:t>Information category</w:t>
            </w:r>
          </w:p>
        </w:tc>
        <w:tc>
          <w:tcPr>
            <w:tcW w:type="dxa" w:w="4997"/>
            <w:vAlign w:val="top"/>
            <w:shd w:fill="D9E2F3"/>
          </w:tcPr>
          <w:p>
            <w:r>
              <w:rPr>
                <w:b/>
                <w:sz w:val="18"/>
              </w:rPr>
              <w:t>Architectural treatment</w:t>
            </w:r>
          </w:p>
        </w:tc>
      </w:tr>
      <w:tr>
        <w:trPr>
          <w:cantSplit w:val="true"/>
          <w:cantSplit/>
        </w:trPr>
        <w:tc>
          <w:tcPr>
            <w:tcW w:type="dxa" w:w="4997"/>
            <w:vAlign w:val="top"/>
          </w:tcPr>
          <w:p>
            <w:pPr>
              <w:spacing w:after="20"/>
            </w:pPr>
            <w:r>
              <w:rPr>
                <w:sz w:val="18"/>
              </w:rPr>
              <w:t>Publication Truth</w:t>
            </w:r>
          </w:p>
        </w:tc>
        <w:tc>
          <w:tcPr>
            <w:tcW w:type="dxa" w:w="4997"/>
            <w:vAlign w:val="top"/>
          </w:tcPr>
          <w:p>
            <w:pPr>
              <w:spacing w:after="20"/>
            </w:pPr>
            <w:r>
              <w:rPr>
                <w:sz w:val="18"/>
              </w:rPr>
              <w:t>Represented read-only and traceable to the publication. PC3 may interpret and display it but does not rewrite or supersede it.</w:t>
            </w:r>
          </w:p>
        </w:tc>
      </w:tr>
      <w:tr>
        <w:trPr>
          <w:cantSplit w:val="true"/>
          <w:cantSplit/>
        </w:trPr>
        <w:tc>
          <w:tcPr>
            <w:tcW w:type="dxa" w:w="4997"/>
            <w:vAlign w:val="top"/>
          </w:tcPr>
          <w:p>
            <w:pPr>
              <w:spacing w:after="20"/>
            </w:pPr>
            <w:r>
              <w:rPr>
                <w:sz w:val="18"/>
              </w:rPr>
              <w:t>PC3 Interpretation</w:t>
            </w:r>
          </w:p>
        </w:tc>
        <w:tc>
          <w:tcPr>
            <w:tcW w:type="dxa" w:w="4997"/>
            <w:vAlign w:val="top"/>
          </w:tcPr>
          <w:p>
            <w:pPr>
              <w:spacing w:after="20"/>
            </w:pPr>
            <w:r>
              <w:rPr>
                <w:sz w:val="18"/>
              </w:rPr>
              <w:t>Owned by interpretation and IOR components. Explicitly derived and subordinate to publication declarations.</w:t>
            </w:r>
          </w:p>
        </w:tc>
      </w:tr>
      <w:tr>
        <w:trPr>
          <w:cantSplit w:val="true"/>
          <w:cantSplit/>
        </w:trPr>
        <w:tc>
          <w:tcPr>
            <w:tcW w:type="dxa" w:w="4997"/>
            <w:vAlign w:val="top"/>
          </w:tcPr>
          <w:p>
            <w:pPr>
              <w:spacing w:after="20"/>
            </w:pPr>
            <w:r>
              <w:rPr>
                <w:sz w:val="18"/>
              </w:rPr>
              <w:t>Runtime Observation</w:t>
            </w:r>
          </w:p>
        </w:tc>
        <w:tc>
          <w:tcPr>
            <w:tcW w:type="dxa" w:w="4997"/>
            <w:vAlign w:val="top"/>
          </w:tcPr>
          <w:p>
            <w:pPr>
              <w:spacing w:after="20"/>
            </w:pPr>
            <w:r>
              <w:rPr>
                <w:sz w:val="18"/>
              </w:rPr>
              <w:t>Owned by the observation subsystem and associated with the relevant session, environment interaction, and Exercise Attempt.</w:t>
            </w:r>
          </w:p>
        </w:tc>
      </w:tr>
      <w:tr>
        <w:trPr>
          <w:cantSplit w:val="true"/>
          <w:cantSplit/>
        </w:trPr>
        <w:tc>
          <w:tcPr>
            <w:tcW w:type="dxa" w:w="4997"/>
            <w:vAlign w:val="top"/>
          </w:tcPr>
          <w:p>
            <w:pPr>
              <w:spacing w:after="20"/>
            </w:pPr>
            <w:r>
              <w:rPr>
                <w:sz w:val="18"/>
              </w:rPr>
              <w:t>Execution Evidence</w:t>
            </w:r>
          </w:p>
        </w:tc>
        <w:tc>
          <w:tcPr>
            <w:tcW w:type="dxa" w:w="4997"/>
            <w:vAlign w:val="top"/>
          </w:tcPr>
          <w:p>
            <w:pPr>
              <w:spacing w:after="20"/>
            </w:pPr>
            <w:r>
              <w:rPr>
                <w:sz w:val="18"/>
              </w:rPr>
              <w:t>Owned by evidence generation after explicit request. Stable after generation and external to the publication.</w:t>
            </w:r>
          </w:p>
        </w:tc>
      </w:tr>
    </w:tbl>
    <w:p/>
    <w:p>
      <w:pPr>
        <w:pStyle w:val="Heading2"/>
        <w:keepNext/>
        <w:spacing w:before="180" w:after="60"/>
      </w:pPr>
      <w:r>
        <w:t>3.2 Principal Information Boundaries</w:t>
      </w:r>
    </w:p>
    <w:p>
      <w:pPr>
        <w:pStyle w:val="ListBullet"/>
        <w:spacing w:after="40"/>
      </w:pPr>
      <w:r>
        <w:t>Loaded publication resources remain separate from the interpreted model and IOR.</w:t>
      </w:r>
    </w:p>
    <w:p>
      <w:pPr>
        <w:pStyle w:val="ListBullet"/>
        <w:spacing w:after="40"/>
      </w:pPr>
      <w:r>
        <w:t>The IOR is a replaceable, provenance-bearing PC3 Interpretation for one publication load.</w:t>
      </w:r>
    </w:p>
    <w:p>
      <w:pPr>
        <w:pStyle w:val="ListBullet"/>
        <w:spacing w:after="40"/>
      </w:pPr>
      <w:r>
        <w:t>The Executable Realization Matrix is a projection over the IOR and current operational support.</w:t>
      </w:r>
    </w:p>
    <w:p>
      <w:pPr>
        <w:pStyle w:val="ListBullet"/>
        <w:spacing w:after="40"/>
      </w:pPr>
      <w:r>
        <w:t>The Active Operational Context is the publication-specific session boundary.</w:t>
      </w:r>
    </w:p>
    <w:p>
      <w:pPr>
        <w:pStyle w:val="ListBullet"/>
        <w:spacing w:after="40"/>
      </w:pPr>
      <w:r>
        <w:t>An Exercise Attempt is the principal aggregate for one requested exercise and preserves the context applicable when the request was made.</w:t>
      </w:r>
    </w:p>
    <w:p>
      <w:pPr>
        <w:pStyle w:val="ListBullet"/>
        <w:spacing w:after="40"/>
      </w:pPr>
      <w:r>
        <w:t>External environment identity remains distinct from PC3's Environment Association and from connector-private state.</w:t>
      </w:r>
    </w:p>
    <w:p>
      <w:pPr>
        <w:pStyle w:val="ListBullet"/>
        <w:spacing w:after="40"/>
      </w:pPr>
      <w:r>
        <w:t>Runtime Observations are append-oriented and source-aware.</w:t>
      </w:r>
    </w:p>
    <w:p>
      <w:pPr>
        <w:pStyle w:val="ListBullet"/>
        <w:spacing w:after="40"/>
      </w:pPr>
      <w:r>
        <w:t>Execution Evidence is generated from a fixed attempt snapshot and does not change when later observations arrive.</w:t>
      </w:r>
    </w:p>
    <w:p>
      <w:pPr>
        <w:pStyle w:val="Heading2"/>
        <w:keepNext/>
        <w:spacing w:before="180" w:after="60"/>
      </w:pPr>
      <w:r>
        <w:t>3.3 Identity and Association</w:t>
      </w:r>
    </w:p>
    <w:p>
      <w:pPr>
        <w:spacing w:after="80" w:line="252" w:lineRule="auto"/>
      </w:pPr>
      <w:r>
        <w:t>Publication-declared identifiers should be preserved. PC3-assigned identities should be distinct for sessions, publication loads, IOR instances, Environment Associations, Exercise Attempts, Runtime Observations, evidence items, exports, and verification results. Every retained or correlated record should carry enough scope to prevent silent association with the wrong session, publication, pathway, realization, environment, or attempt.</w:t>
      </w:r>
    </w:p>
    <w:p>
      <w:pPr>
        <w:pStyle w:val="Heading2"/>
        <w:keepNext/>
        <w:spacing w:before="180" w:after="60"/>
      </w:pPr>
      <w:r>
        <w:t>3.4 Activation and Replacement</w:t>
      </w:r>
    </w:p>
    <w:p>
      <w:pPr>
        <w:spacing w:after="80" w:line="252" w:lineRule="auto"/>
      </w:pPr>
      <w:r>
        <w:t>A candidate publication should be loaded, interpreted, and made operationally coherent before replacing the active context. Replacement should be atomic from the perspective of domain ownership. Prior selection, editable input, active environment association, current operational summaries, and unsaved evidence should be cleared or explicitly segregated rather than merged into the new context.</w:t>
      </w:r>
    </w:p>
    <w:p>
      <w:pPr>
        <w:pStyle w:val="Heading2"/>
        <w:keepNext/>
        <w:spacing w:before="180" w:after="60"/>
      </w:pPr>
      <w:r>
        <w:t>3.5 Exercise Attempt</w:t>
      </w:r>
    </w:p>
    <w:p>
      <w:pPr>
        <w:spacing w:after="80" w:line="252" w:lineRule="auto"/>
      </w:pPr>
      <w:r>
        <w:t>Realization Engagement should create a distinct Exercise Attempt before external engagement begins. The attempt preserves the selected publication, pathway, realization, submitted input, environment association, returned output or exceptional outcome, Runtime Observation references, and optional evidence references as governed by the specification. This blueprint does not define fields, states, or transition rules.</w:t>
      </w:r>
    </w:p>
    <w:p>
      <w:pPr>
        <w:pStyle w:val="Heading2"/>
        <w:keepNext/>
        <w:spacing w:before="180" w:after="60"/>
      </w:pPr>
      <w:r>
        <w:t>3.6 Observation and Evidence Lifecycles</w:t>
      </w:r>
    </w:p>
    <w:p>
      <w:pPr>
        <w:spacing w:after="80" w:line="252" w:lineRule="auto"/>
      </w:pPr>
      <w:r>
        <w:t>Runtime Observations should be append-oriented. Later observations may clarify earlier information but should not silently rewrite prior records. Execution Evidence should be immutable after generation. New observations may support generation of a new evidence item, not retrospective mutation of an existing one.</w:t>
      </w:r>
    </w:p>
    <w:p>
      <w:pPr>
        <w:pStyle w:val="Heading1"/>
        <w:keepNext/>
        <w:spacing w:before="240" w:after="100"/>
      </w:pPr>
      <w:r>
        <w:t>4. Interface and Extension Architecture</w:t>
      </w:r>
    </w:p>
    <w:p>
      <w:pPr>
        <w:spacing w:after="80" w:line="252" w:lineRule="auto"/>
      </w:pPr>
      <w:r>
        <w:t>Interfaces should expose ownership and boundary crossings without becoming a second API specification. Method names, payload schemas, state vocabularies, and protocol details belong to implementation-specific technical design.</w:t>
      </w:r>
    </w:p>
    <w:p>
      <w:pPr>
        <w:pStyle w:val="Heading2"/>
        <w:keepNext/>
        <w:spacing w:before="180" w:after="60"/>
      </w:pPr>
      <w:r>
        <w:t>4.1 Interface Layers</w:t>
      </w:r>
    </w:p>
    <w:tbl>
      <w:tblPr>
        <w:tblStyle w:val="TableGrid"/>
        <w:tblW w:type="auto" w:w="0"/>
        <w:jc w:val="center"/>
        <w:tblLook w:firstColumn="1" w:firstRow="1" w:lastColumn="0" w:lastRow="0" w:noHBand="0" w:noVBand="1" w:val="04A0"/>
      </w:tblPr>
      <w:tblGrid>
        <w:gridCol w:w="4997"/>
        <w:gridCol w:w="4997"/>
      </w:tblGrid>
      <w:tr>
        <w:trPr>
          <w:tblHeader w:val="true"/>
          <w:cantSplit w:val="true"/>
          <w:tblHeader w:val="true"/>
          <w:cantSplit/>
        </w:trPr>
        <w:tc>
          <w:tcPr>
            <w:tcW w:type="dxa" w:w="4997"/>
            <w:vAlign w:val="top"/>
            <w:shd w:fill="D9E2F3"/>
          </w:tcPr>
          <w:p>
            <w:r>
              <w:rPr>
                <w:b/>
                <w:sz w:val="18"/>
              </w:rPr>
              <w:t>Layer</w:t>
            </w:r>
          </w:p>
        </w:tc>
        <w:tc>
          <w:tcPr>
            <w:tcW w:type="dxa" w:w="4997"/>
            <w:vAlign w:val="top"/>
            <w:shd w:fill="D9E2F3"/>
          </w:tcPr>
          <w:p>
            <w:r>
              <w:rPr>
                <w:b/>
                <w:sz w:val="18"/>
              </w:rPr>
              <w:t>Role</w:t>
            </w:r>
          </w:p>
        </w:tc>
      </w:tr>
      <w:tr>
        <w:trPr>
          <w:cantSplit w:val="true"/>
          <w:cantSplit/>
        </w:trPr>
        <w:tc>
          <w:tcPr>
            <w:tcW w:type="dxa" w:w="4997"/>
            <w:vAlign w:val="top"/>
          </w:tcPr>
          <w:p>
            <w:pPr>
              <w:spacing w:after="20"/>
            </w:pPr>
            <w:r>
              <w:rPr>
                <w:sz w:val="18"/>
              </w:rPr>
              <w:t>Presentation/application</w:t>
            </w:r>
          </w:p>
        </w:tc>
        <w:tc>
          <w:tcPr>
            <w:tcW w:type="dxa" w:w="4997"/>
            <w:vAlign w:val="top"/>
          </w:tcPr>
          <w:p>
            <w:pPr>
              <w:spacing w:after="20"/>
            </w:pPr>
            <w:r>
              <w:rPr>
                <w:sz w:val="18"/>
              </w:rPr>
              <w:t>Accept explicit user intentions and return purpose-built views without exposing mutable domain objects.</w:t>
            </w:r>
          </w:p>
        </w:tc>
      </w:tr>
      <w:tr>
        <w:trPr>
          <w:cantSplit w:val="true"/>
          <w:cantSplit/>
        </w:trPr>
        <w:tc>
          <w:tcPr>
            <w:tcW w:type="dxa" w:w="4997"/>
            <w:vAlign w:val="top"/>
          </w:tcPr>
          <w:p>
            <w:pPr>
              <w:spacing w:after="20"/>
            </w:pPr>
            <w:r>
              <w:rPr>
                <w:sz w:val="18"/>
              </w:rPr>
              <w:t>Application/domain</w:t>
            </w:r>
          </w:p>
        </w:tc>
        <w:tc>
          <w:tcPr>
            <w:tcW w:type="dxa" w:w="4997"/>
            <w:vAlign w:val="top"/>
          </w:tcPr>
          <w:p>
            <w:pPr>
              <w:spacing w:after="20"/>
            </w:pPr>
            <w:r>
              <w:rPr>
                <w:sz w:val="18"/>
              </w:rPr>
              <w:t>Coordinate use cases and route changes to the component that owns the affected aggregate.</w:t>
            </w:r>
          </w:p>
        </w:tc>
      </w:tr>
      <w:tr>
        <w:trPr>
          <w:cantSplit w:val="true"/>
          <w:cantSplit/>
        </w:trPr>
        <w:tc>
          <w:tcPr>
            <w:tcW w:type="dxa" w:w="4997"/>
            <w:vAlign w:val="top"/>
          </w:tcPr>
          <w:p>
            <w:pPr>
              <w:spacing w:after="20"/>
            </w:pPr>
            <w:r>
              <w:rPr>
                <w:sz w:val="18"/>
              </w:rPr>
              <w:t>Extension</w:t>
            </w:r>
          </w:p>
        </w:tc>
        <w:tc>
          <w:tcPr>
            <w:tcW w:type="dxa" w:w="4997"/>
            <w:vAlign w:val="top"/>
          </w:tcPr>
          <w:p>
            <w:pPr>
              <w:spacing w:after="20"/>
            </w:pPr>
            <w:r>
              <w:rPr>
                <w:sz w:val="18"/>
              </w:rPr>
              <w:t>Translate publication sources, realization forms, invocation mechanisms, environment providers, and evidence representations into stable PC3-facing abstractions.</w:t>
            </w:r>
          </w:p>
        </w:tc>
      </w:tr>
      <w:tr>
        <w:trPr>
          <w:cantSplit w:val="true"/>
          <w:cantSplit/>
        </w:trPr>
        <w:tc>
          <w:tcPr>
            <w:tcW w:type="dxa" w:w="4997"/>
            <w:vAlign w:val="top"/>
          </w:tcPr>
          <w:p>
            <w:pPr>
              <w:spacing w:after="20"/>
            </w:pPr>
            <w:r>
              <w:rPr>
                <w:sz w:val="18"/>
              </w:rPr>
              <w:t>Infrastructure</w:t>
            </w:r>
          </w:p>
        </w:tc>
        <w:tc>
          <w:tcPr>
            <w:tcW w:type="dxa" w:w="4997"/>
            <w:vAlign w:val="top"/>
          </w:tcPr>
          <w:p>
            <w:pPr>
              <w:spacing w:after="20"/>
            </w:pPr>
            <w:r>
              <w:rPr>
                <w:sz w:val="18"/>
              </w:rPr>
              <w:t>Provide persistence, identifiers, clock, cryptography, secure secret references, and event transport without becoming the source of architectural meaning.</w:t>
            </w:r>
          </w:p>
        </w:tc>
      </w:tr>
    </w:tbl>
    <w:p/>
    <w:p>
      <w:pPr>
        <w:pStyle w:val="Heading2"/>
        <w:keepNext/>
        <w:spacing w:before="180" w:after="60"/>
      </w:pPr>
      <w:r>
        <w:t>4.2 Commands, Queries, and Events</w:t>
      </w:r>
    </w:p>
    <w:p>
      <w:pPr>
        <w:spacing w:after="80" w:line="252" w:lineRule="auto"/>
      </w:pPr>
      <w:r>
        <w:t>The reference architecture should distinguish state-changing intentions, side-effect-free queries, and events representing completed state changes or material observations. Commands should identify session and active context explicitly. Long-running external work may be asynchronous, but correlation must remain tied to the relevant Environment Association and Exercise Attempt.</w:t>
      </w:r>
    </w:p>
    <w:p>
      <w:pPr>
        <w:pStyle w:val="Heading2"/>
        <w:keepNext/>
        <w:spacing w:before="180" w:after="60"/>
      </w:pPr>
      <w:r>
        <w:t>4.3 Adapter and Connector Boundaries</w:t>
      </w:r>
    </w:p>
    <w:p>
      <w:pPr>
        <w:pStyle w:val="Heading3"/>
        <w:keepNext/>
        <w:spacing w:before="120" w:after="40"/>
      </w:pPr>
      <w:r>
        <w:rPr>
          <w:b/>
        </w:rPr>
        <w:t>Publication Source Adapters</w:t>
      </w:r>
    </w:p>
    <w:p>
      <w:pPr>
        <w:spacing w:after="80" w:line="252" w:lineRule="auto"/>
      </w:pPr>
      <w:r>
        <w:t>Provide read-only access to uploads, archives, file locations, repositories, or publication services. They deliberately exclude authoring, commit, repair, rename, delete, and repository-administration capabilities.</w:t>
      </w:r>
    </w:p>
    <w:p>
      <w:pPr>
        <w:pStyle w:val="Heading3"/>
        <w:keepNext/>
        <w:spacing w:before="120" w:after="40"/>
      </w:pPr>
      <w:r>
        <w:rPr>
          <w:b/>
        </w:rPr>
        <w:t>Realization-Type Adapters</w:t>
      </w:r>
    </w:p>
    <w:p>
      <w:pPr>
        <w:spacing w:after="80" w:line="252" w:lineRule="auto"/>
      </w:pPr>
      <w:r>
        <w:t>Interpret recognized publication-declared realization forms and report support offered by the current PC3 implementation. They do not execute, repair, wrap, or substitute realizations.</w:t>
      </w:r>
    </w:p>
    <w:p>
      <w:pPr>
        <w:pStyle w:val="Heading3"/>
        <w:keepNext/>
        <w:spacing w:before="120" w:after="40"/>
      </w:pPr>
      <w:r>
        <w:rPr>
          <w:b/>
        </w:rPr>
        <w:t>Invocation Adapters</w:t>
      </w:r>
    </w:p>
    <w:p>
      <w:pPr>
        <w:spacing w:after="80" w:line="252" w:lineRule="auto"/>
      </w:pPr>
      <w:r>
        <w:t>Translate a declared invocation mechanism into a bounded request to the selected external execution context, preserve approved input and target identity, and return the exact output or exceptional outcome available to PC3.</w:t>
      </w:r>
    </w:p>
    <w:p>
      <w:pPr>
        <w:pStyle w:val="Heading3"/>
        <w:keepNext/>
        <w:spacing w:before="120" w:after="40"/>
      </w:pPr>
      <w:r>
        <w:rPr>
          <w:b/>
        </w:rPr>
        <w:t>Execution Environment Connectors</w:t>
      </w:r>
    </w:p>
    <w:p>
      <w:pPr>
        <w:spacing w:after="80" w:line="252" w:lineRule="auto"/>
      </w:pPr>
      <w:r>
        <w:t>Translate provider-specific discovery, establishment, status, reset, reuse, release, disposal, and endpoint interactions into stable PC3-facing abstractions. The provider and environment retain responsibility for infrastructure lifecycle, security, isolation, execution, retention, and governance.</w:t>
      </w:r>
    </w:p>
    <w:p>
      <w:pPr>
        <w:pStyle w:val="Heading3"/>
        <w:keepNext/>
        <w:spacing w:before="120" w:after="40"/>
      </w:pPr>
      <w:r>
        <w:rPr>
          <w:b/>
        </w:rPr>
        <w:t>Evidence Serializers and Cryptographic Services</w:t>
      </w:r>
    </w:p>
    <w:p>
      <w:pPr>
        <w:spacing w:after="80" w:line="252" w:lineRule="auto"/>
      </w:pPr>
      <w:r>
        <w:t>Serializers create external representations from immutable evidence. Integrity services protect and verify content. Optional signing integrations support origin authentication. Verification reports statuses without changing the evidence object.</w:t>
      </w:r>
    </w:p>
    <w:p>
      <w:pPr>
        <w:pStyle w:val="Heading2"/>
        <w:keepNext/>
        <w:spacing w:before="180" w:after="60"/>
      </w:pPr>
      <w:r>
        <w:t>4.4 Registries and Extension Selection</w:t>
      </w:r>
    </w:p>
    <w:p>
      <w:pPr>
        <w:spacing w:after="80" w:line="252" w:lineRule="auto"/>
      </w:pPr>
      <w:r>
        <w:t>Registries should select adapters and connectors by explicit descriptors and compatibility rather than publication-specific branching in the application core. Selection should be deterministic and observable. Extensions may add support but cannot redefine publication meaning, weaken architectural boundaries, or hide unsupported conditions.</w:t>
      </w:r>
    </w:p>
    <w:p>
      <w:pPr>
        <w:pStyle w:val="Heading2"/>
        <w:keepNext/>
        <w:spacing w:before="180" w:after="60"/>
      </w:pPr>
      <w:r>
        <w:t>4.5 Sensitive Information Boundary</w:t>
      </w:r>
    </w:p>
    <w:p>
      <w:pPr>
        <w:spacing w:after="80" w:line="252" w:lineRule="auto"/>
      </w:pPr>
      <w:r>
        <w:t>Credentials, tokens, private keys, provider secrets, and signing material should cross component boundaries only through opaque secure references or dedicated secret facilities. They should not enter the IOR, general commands, Runtime Observations, ordinary logs, presentation views, or Execution Evidence.</w:t>
      </w:r>
    </w:p>
    <w:p>
      <w:pPr>
        <w:pStyle w:val="Heading1"/>
        <w:keepNext/>
        <w:spacing w:before="240" w:after="100"/>
      </w:pPr>
      <w:r>
        <w:t>5. Consolidated Operational Scenarios</w:t>
      </w:r>
    </w:p>
    <w:p>
      <w:pPr>
        <w:spacing w:after="80" w:line="252" w:lineRule="auto"/>
      </w:pPr>
      <w:r>
        <w:t>These scenarios illustrate component collaboration. They do not define required workflows, legal state transitions, API calls, timing rules, or user-interface layouts.</w:t>
      </w:r>
    </w:p>
    <w:p>
      <w:pPr>
        <w:pStyle w:val="Heading2"/>
        <w:keepNext/>
        <w:spacing w:before="180" w:after="60"/>
      </w:pPr>
      <w:r>
        <w:t>5.1 Publication Activation and Replacement</w:t>
      </w:r>
    </w:p>
    <w:p>
      <w:pPr>
        <w:spacing w:after="80" w:line="252" w:lineRule="auto"/>
      </w:pPr>
      <w:r>
        <w:t>The application passes a source reference to the Publication Loader, which acquires resources through a read-only adapter. The Publication Interpreter derives operationally relevant information, the IOR Manager constructs a candidate IOR, and the Active Operational Context Manager activates it only when coherent. Interpretation limitations remain attributable and visible; PC3 does not repair or supplement the publication. A later replacement is prepared separately and applied atomically, with prior-publication state cleared or explicitly segregated.</w:t>
      </w:r>
    </w:p>
    <w:p>
      <w:pPr>
        <w:pStyle w:val="Heading2"/>
        <w:keepNext/>
        <w:spacing w:before="180" w:after="60"/>
      </w:pPr>
      <w:r>
        <w:t>5.2 Matrix Construction, Support Visibility, and Selection</w:t>
      </w:r>
    </w:p>
    <w:p>
      <w:pPr>
        <w:spacing w:after="80" w:line="252" w:lineRule="auto"/>
      </w:pPr>
      <w:r>
        <w:t>The Executable Realization Matrix projects the IOR together with current adapter support and operational summaries. All published executable realizations remain visible, including unsupported ones. Selection updates only the Active Operational Context; it does not establish an environment, invoke a realization, or create evidence.</w:t>
      </w:r>
    </w:p>
    <w:p>
      <w:pPr>
        <w:pStyle w:val="Heading2"/>
        <w:keepNext/>
        <w:spacing w:before="180" w:after="60"/>
      </w:pPr>
      <w:r>
        <w:t>5.3 Readiness and Environment Candidate Assessment</w:t>
      </w:r>
    </w:p>
    <w:p>
      <w:pPr>
        <w:spacing w:after="80" w:line="252" w:lineRule="auto"/>
      </w:pPr>
      <w:r>
        <w:t>Realization Engagement obtains the selected context and asks adapter and environment boundaries for support. Execution Environment Coordination derives environment needs from the IOR and selected invocation mechanism, queries connectors, and compares provider-reported candidates with those needs. Suitability is PC3 Interpretation, not publication or environment conformance.</w:t>
      </w:r>
    </w:p>
    <w:p>
      <w:pPr>
        <w:pStyle w:val="Heading2"/>
        <w:keepNext/>
        <w:spacing w:before="180" w:after="60"/>
      </w:pPr>
      <w:r>
        <w:t>5.4 Environment Establishment, Reuse, and Release</w:t>
      </w:r>
    </w:p>
    <w:p>
      <w:pPr>
        <w:spacing w:after="80" w:line="252" w:lineRule="auto"/>
      </w:pPr>
      <w:r>
        <w:t>Execution Environment Coordination requests establishment, reservation, validation, reset, reuse, release, or disposal through a connector. External systems perform or reject those actions. PC3 preserves provider identity, association, readiness, health, and lifecycle outcomes as sourced observations. Reuse is explicit, scoped, observable, and re-evaluated.</w:t>
      </w:r>
    </w:p>
    <w:p>
      <w:pPr>
        <w:pStyle w:val="Heading2"/>
        <w:keepNext/>
        <w:spacing w:before="180" w:after="60"/>
      </w:pPr>
      <w:r>
        <w:t>5.5 Successful Exercise Attempt</w:t>
      </w:r>
    </w:p>
    <w:p>
      <w:pPr>
        <w:spacing w:after="80" w:line="252" w:lineRule="auto"/>
      </w:pPr>
      <w:r>
        <w:t>Realization Engagement creates an Exercise Attempt from the selected context and approved input, obtains a bounded invocation target from Execution Environment Coordination, and invokes the declared mechanism through the selected adapter. Material provider and invocation events flow to Runtime Observation Collection. The returned output is associated with the attempt and presented without implying scientific validity, safety, effectiveness, equivalence, or conformance.</w:t>
      </w:r>
    </w:p>
    <w:p>
      <w:pPr>
        <w:pStyle w:val="Heading2"/>
        <w:keepNext/>
        <w:spacing w:before="180" w:after="60"/>
      </w:pPr>
      <w:r>
        <w:t>5.6 Blocked, Failed, Interrupted, Timed-Out, or Indeterminate Attempt</w:t>
      </w:r>
    </w:p>
    <w:p>
      <w:pPr>
        <w:spacing w:after="80" w:line="252" w:lineRule="auto"/>
      </w:pPr>
      <w:r>
        <w:t>The component that detects the condition supplies a user-explainable outcome and relevant observations. PC3 does not fabricate an output, treat absence as a null result, substitute another realization, or bypass the pathway. Cancellation requests and timeouts remain distinct from proof that external execution stopped; late responses remain correlated to the original attempt.</w:t>
      </w:r>
    </w:p>
    <w:p>
      <w:pPr>
        <w:pStyle w:val="Heading2"/>
        <w:keepNext/>
        <w:spacing w:before="180" w:after="60"/>
      </w:pPr>
      <w:r>
        <w:t>5.7 Runtime Observation Collection and Inspection</w:t>
      </w:r>
    </w:p>
    <w:p>
      <w:pPr>
        <w:spacing w:after="80" w:line="252" w:lineRule="auto"/>
      </w:pPr>
      <w:r>
        <w:t>Realization Engagement, invocation adapters, Execution Environment Coordination, and connectors submit material events through a narrow observation boundary. Runtime Observation Collection retains attempt- and environment-centered records with source attribution. Presentation reads purpose-built observation views rather than raw provider logs.</w:t>
      </w:r>
    </w:p>
    <w:p>
      <w:pPr>
        <w:pStyle w:val="Heading2"/>
        <w:keepNext/>
        <w:spacing w:before="180" w:after="60"/>
      </w:pPr>
      <w:r>
        <w:t>5.8 Evidence Generation and Inspection</w:t>
      </w:r>
    </w:p>
    <w:p>
      <w:pPr>
        <w:spacing w:after="80" w:line="252" w:lineRule="auto"/>
      </w:pPr>
      <w:r>
        <w:t>After explicit user request for one Exercise Attempt, Execution Evidence Generation composes an immutable evidence item from a fixed attempt snapshot, relevant observations, publication and IOR references, and the exact PC3 implementation identity and version. The item remains available for read-only inspection before saving.</w:t>
      </w:r>
    </w:p>
    <w:p>
      <w:pPr>
        <w:pStyle w:val="Heading2"/>
        <w:keepNext/>
        <w:spacing w:before="180" w:after="60"/>
      </w:pPr>
      <w:r>
        <w:t>5.9 Evidence Export, Integrity, Signing, and Verification</w:t>
      </w:r>
    </w:p>
    <w:p>
      <w:pPr>
        <w:spacing w:after="80" w:line="252" w:lineRule="auto"/>
      </w:pPr>
      <w:r>
        <w:t>A separate export action invokes an Evidence Serializer and integrity service to create a protected external representation. Optional signing is distinct from integrity. Verification is a read-only use case that reports integrity and origin status separately and does not import the file as current session state or regenerate evidence.</w:t>
      </w:r>
    </w:p>
    <w:p>
      <w:pPr>
        <w:pStyle w:val="Heading2"/>
        <w:keepNext/>
        <w:spacing w:before="180" w:after="60"/>
      </w:pPr>
      <w:r>
        <w:t>5.10 Session End and Implementation Disclosure</w:t>
      </w:r>
    </w:p>
    <w:p>
      <w:pPr>
        <w:spacing w:after="80" w:line="252" w:lineRule="auto"/>
      </w:pPr>
      <w:r>
        <w:t>Session cleanup ends active context and requests external environment release according to implementation policy without claiming external disposal unless observed. Externally saved evidence remains untouched. The Conformance Declaration Provider exposes exact implementation/version claims independently from publication, environment, and Exercise Attempt outcomes.</w:t>
      </w:r>
    </w:p>
    <w:p>
      <w:pPr>
        <w:pStyle w:val="Heading1"/>
        <w:keepNext/>
        <w:spacing w:before="240" w:after="100"/>
      </w:pPr>
      <w:r>
        <w:t>6. Execution Environment Integration</w:t>
      </w:r>
    </w:p>
    <w:p>
      <w:pPr>
        <w:spacing w:after="80" w:line="252" w:lineRule="auto"/>
      </w:pPr>
      <w:r>
        <w:t>Execution-environment integration should make the external boundary unmistakable in code, state, and user-facing information. PC3 coordinates environment use but does not absorb the environment into its component model.</w:t>
      </w:r>
    </w:p>
    <w:p>
      <w:pPr>
        <w:pStyle w:val="Heading2"/>
        <w:keepNext/>
        <w:spacing w:before="180" w:after="60"/>
      </w:pPr>
      <w:r>
        <w:t>6.1 Boundary Model</w:t>
      </w:r>
    </w:p>
    <w:p>
      <w:pPr>
        <w:pStyle w:val="ListBullet"/>
        <w:spacing w:after="40"/>
      </w:pPr>
      <w:r>
        <w:t>PC3 coordination layer: owns interpreted environment needs, candidates, suitability assessments, associations, attempt linkage, and user-visible summaries.</w:t>
      </w:r>
    </w:p>
    <w:p>
      <w:pPr>
        <w:pStyle w:val="ListBullet"/>
        <w:spacing w:after="40"/>
      </w:pPr>
      <w:r>
        <w:t>Connector layer: translates provider-specific discovery, establishment, status, endpoint, reset, reuse, release, and disposal interactions.</w:t>
      </w:r>
    </w:p>
    <w:p>
      <w:pPr>
        <w:pStyle w:val="ListBullet"/>
        <w:spacing w:after="40"/>
      </w:pPr>
      <w:r>
        <w:t>External provider and environment: own provisioning, configuration, deployment, isolation, security, runtime execution, maintenance, retention, release, disposal, and governance.</w:t>
      </w:r>
    </w:p>
    <w:p>
      <w:pPr>
        <w:pStyle w:val="Heading2"/>
        <w:keepNext/>
        <w:spacing w:before="180" w:after="60"/>
      </w:pPr>
      <w:r>
        <w:t>6.2 Environment Association</w:t>
      </w:r>
    </w:p>
    <w:p>
      <w:pPr>
        <w:spacing w:after="80" w:line="252" w:lineRule="auto"/>
      </w:pPr>
      <w:r>
        <w:t>An Environment Association is the PC3-owned link between operational context and an external environment. It is not the environment itself and should not mirror provider control state. It should be scoped strongly enough to prevent accidental reuse or response delivery across sessions, publications, pathways, realizations, or Exercise Attempts.</w:t>
      </w:r>
    </w:p>
    <w:p>
      <w:pPr>
        <w:pStyle w:val="Heading2"/>
        <w:keepNext/>
        <w:spacing w:before="180" w:after="60"/>
      </w:pPr>
      <w:r>
        <w:t>6.3 Readiness and Invocation Handoff</w:t>
      </w:r>
    </w:p>
    <w:p>
      <w:pPr>
        <w:spacing w:after="80" w:line="252" w:lineRule="auto"/>
      </w:pPr>
      <w:r>
        <w:t>Provider acceptance, environment existence, deployment completion, readiness, health, and invocation availability should remain distinguishable as time-bearing observations. Once sufficiently ready, Execution Environment Coordination supplies Realization Engagement with a bounded invocation target or association reference rather than a raw provider control object.</w:t>
      </w:r>
    </w:p>
    <w:p>
      <w:pPr>
        <w:pStyle w:val="Heading2"/>
        <w:keepNext/>
        <w:spacing w:before="180" w:after="60"/>
      </w:pPr>
      <w:r>
        <w:t>6.4 Responsiveness Through Reuse</w:t>
      </w:r>
    </w:p>
    <w:p>
      <w:pPr>
        <w:spacing w:after="80" w:line="252" w:lineRule="auto"/>
      </w:pPr>
      <w:r>
        <w:t>HEE-9B permits retention or reuse where allowed. Reuse should be an explicit coordination decision, not a hidden optimization. Before reuse, the association should be re-evaluated and, where supported, validated, reset, reattached, or reacquired. Uncertainty about identity, cleanliness, isolation, readiness, or continued availability remains visible.</w:t>
      </w:r>
    </w:p>
    <w:p>
      <w:pPr>
        <w:pStyle w:val="Heading2"/>
        <w:keepNext/>
        <w:spacing w:before="180" w:after="60"/>
      </w:pPr>
      <w:r>
        <w:t>6.5 Lifecycle Requests and Historical Context</w:t>
      </w:r>
    </w:p>
    <w:p>
      <w:pPr>
        <w:spacing w:after="80" w:line="252" w:lineRule="auto"/>
      </w:pPr>
      <w:r>
        <w:t>Reset, release, and disposal are requests issued to external systems. PC3 records the request and observed outcome separately. Historical Exercise Attempts retain their Environment Association and relevant observations after active use ends.</w:t>
      </w:r>
    </w:p>
    <w:p>
      <w:pPr>
        <w:pStyle w:val="Heading2"/>
        <w:keepNext/>
        <w:spacing w:before="180" w:after="60"/>
      </w:pPr>
      <w:r>
        <w:t>6.6 Failure Containment</w:t>
      </w:r>
    </w:p>
    <w:p>
      <w:pPr>
        <w:spacing w:after="80" w:line="252" w:lineRule="auto"/>
      </w:pPr>
      <w:r>
        <w:t>Provider outages, stale associations, unsupported lifecycle operations, inaccessible endpoints, failed resets, and indeterminate releases should remain localized to environment integration. They should not corrupt the IOR or active publication state. Provider failover, where allowed, must preserve the selected realization and pathway and remain observable.</w:t>
      </w:r>
    </w:p>
    <w:p>
      <w:pPr>
        <w:pStyle w:val="Heading1"/>
        <w:keepNext/>
        <w:spacing w:before="240" w:after="100"/>
      </w:pPr>
      <w:r>
        <w:t>7. Runtime Observation and Execution Evidence</w:t>
      </w:r>
    </w:p>
    <w:p>
      <w:pPr>
        <w:pStyle w:val="Heading2"/>
        <w:keepNext/>
        <w:spacing w:before="180" w:after="60"/>
      </w:pPr>
      <w:r>
        <w:t>7.1 Observation Architecture</w:t>
      </w:r>
    </w:p>
    <w:p>
      <w:pPr>
        <w:spacing w:after="80" w:line="252" w:lineRule="auto"/>
      </w:pPr>
      <w:r>
        <w:t>Runtime Observation Collection should be a distinct module with append-oriented intake and attempt-centered queries. Not every internal technical event belongs in the retained operational record. Events should be promoted when they materially affect understanding of the environment interaction, invocation, outcome, or evidence.</w:t>
      </w:r>
    </w:p>
    <w:p>
      <w:pPr>
        <w:spacing w:after="80" w:line="252" w:lineRule="auto"/>
      </w:pPr>
      <w:r>
        <w:t>Observation incompleteness remains separate from exercise outcome. A successful invocation may have incomplete observation coverage; a failed attempt may still have faithful and useful observations.</w:t>
      </w:r>
    </w:p>
    <w:p>
      <w:pPr>
        <w:pStyle w:val="Heading2"/>
        <w:keepNext/>
        <w:spacing w:before="180" w:after="60"/>
      </w:pPr>
      <w:r>
        <w:t>7.2 Evidence Composition</w:t>
      </w:r>
    </w:p>
    <w:p>
      <w:pPr>
        <w:spacing w:after="80" w:line="252" w:lineRule="auto"/>
      </w:pPr>
      <w:r>
        <w:t>Execution Evidence Generation should operate on a fixed attempt-oriented snapshot rather than mutable session state. Evidence meaning is owned by composition. Serializers, integrity services, signing integrations, and verifiers operate afterward and do not change the documented exercise meaning.</w:t>
      </w:r>
    </w:p>
    <w:p>
      <w:pPr>
        <w:pStyle w:val="Heading2"/>
        <w:keepNext/>
        <w:spacing w:before="180" w:after="60"/>
      </w:pPr>
      <w:r>
        <w:t>7.3 Generation, Inspection, and Export</w:t>
      </w:r>
    </w:p>
    <w:p>
      <w:pPr>
        <w:pStyle w:val="ListBullet"/>
        <w:spacing w:after="40"/>
      </w:pPr>
      <w:r>
        <w:t>Generation occurs only after explicit user request for one Exercise Attempt.</w:t>
      </w:r>
    </w:p>
    <w:p>
      <w:pPr>
        <w:pStyle w:val="ListBullet"/>
        <w:spacing w:after="40"/>
      </w:pPr>
      <w:r>
        <w:t>The generated item is first retained for inspection within the session.</w:t>
      </w:r>
    </w:p>
    <w:p>
      <w:pPr>
        <w:pStyle w:val="ListBullet"/>
        <w:spacing w:after="40"/>
      </w:pPr>
      <w:r>
        <w:t>Inspection is read-only and does not regenerate, sign, export, or verify.</w:t>
      </w:r>
    </w:p>
    <w:p>
      <w:pPr>
        <w:pStyle w:val="ListBullet"/>
        <w:spacing w:after="40"/>
      </w:pPr>
      <w:r>
        <w:t>Export is a separate user action that creates an external representation.</w:t>
      </w:r>
    </w:p>
    <w:p>
      <w:pPr>
        <w:pStyle w:val="ListBullet"/>
        <w:spacing w:after="40"/>
      </w:pPr>
      <w:r>
        <w:t>After successful saving, custody of the external file is outside PC3.</w:t>
      </w:r>
    </w:p>
    <w:p>
      <w:pPr>
        <w:pStyle w:val="Heading2"/>
        <w:keepNext/>
        <w:spacing w:before="180" w:after="60"/>
      </w:pPr>
      <w:r>
        <w:t>7.4 Integrity and Origin Authentication</w:t>
      </w:r>
    </w:p>
    <w:p>
      <w:pPr>
        <w:spacing w:after="80" w:line="252" w:lineRule="auto"/>
      </w:pPr>
      <w:r>
        <w:t>Machine-readable exported evidence requires integrity protection as governed by the specification. Integrity and origin authentication remain separate capabilities. A digest is not proof of origin; a valid signature is not proof of successful exercise, scientific validity, safety, effectiveness, publication conformance, environment conformance, or fitness for purpose.</w:t>
      </w:r>
    </w:p>
    <w:p>
      <w:pPr>
        <w:pStyle w:val="Heading2"/>
        <w:keepNext/>
        <w:spacing w:before="180" w:after="60"/>
      </w:pPr>
      <w:r>
        <w:t>7.5 Verification</w:t>
      </w:r>
    </w:p>
    <w:p>
      <w:pPr>
        <w:spacing w:after="80" w:line="252" w:lineRule="auto"/>
      </w:pPr>
      <w:r>
        <w:t>Verification of previously exported evidence should be read-only. It may parse a supported representation, verify integrity, evaluate supported origin-authentication material, and report limitations. It should preserve original identity and attribution and should not import the file as active operational state.</w:t>
      </w:r>
    </w:p>
    <w:p>
      <w:pPr>
        <w:pStyle w:val="Heading2"/>
        <w:keepNext/>
        <w:spacing w:before="180" w:after="60"/>
      </w:pPr>
      <w:r>
        <w:t>7.6 Sensitive Information</w:t>
      </w:r>
    </w:p>
    <w:p>
      <w:pPr>
        <w:spacing w:after="80" w:line="252" w:lineRule="auto"/>
      </w:pPr>
      <w:r>
        <w:t>Inputs, outputs, diagnostics, and environment information may be sensitive. Sensitivity review and redaction support belong at observation intake, evidence composition, presentation, and export boundaries. Credentials, provider secrets, private keys, and signing keys remain outside observation and evidence objects.</w:t>
      </w:r>
    </w:p>
    <w:p>
      <w:pPr>
        <w:pStyle w:val="Heading1"/>
        <w:keepNext/>
        <w:spacing w:before="240" w:after="100"/>
      </w:pPr>
      <w:r>
        <w:t>8. Persistence, Security, Isolation, and Recovery</w:t>
      </w:r>
    </w:p>
    <w:p>
      <w:pPr>
        <w:pStyle w:val="Heading2"/>
        <w:keepNext/>
        <w:spacing w:before="180" w:after="60"/>
      </w:pPr>
      <w:r>
        <w:t>8.1 Session and Publication Isolation</w:t>
      </w:r>
    </w:p>
    <w:p>
      <w:pPr>
        <w:spacing w:after="80" w:line="252" w:lineRule="auto"/>
      </w:pPr>
      <w:r>
        <w:t>The Session Manager owns session identity and lifetime. The Active Operational Context Manager owns publication-specific state. Isolation should be enforced below presentation so that views, request parameters, caches, or background tasks cannot expose or mutate another session or publication context.</w:t>
      </w:r>
    </w:p>
    <w:p>
      <w:pPr>
        <w:pStyle w:val="Heading2"/>
        <w:keepNext/>
        <w:spacing w:before="180" w:after="60"/>
      </w:pPr>
      <w:r>
        <w:t>8.2 Persistence Ownership</w:t>
      </w:r>
    </w:p>
    <w:tbl>
      <w:tblPr>
        <w:tblStyle w:val="TableGrid"/>
        <w:tblW w:type="auto" w:w="0"/>
        <w:jc w:val="center"/>
        <w:tblLook w:firstColumn="1" w:firstRow="1" w:lastColumn="0" w:lastRow="0" w:noHBand="0" w:noVBand="1" w:val="04A0"/>
      </w:tblPr>
      <w:tblGrid>
        <w:gridCol w:w="4997"/>
        <w:gridCol w:w="4997"/>
      </w:tblGrid>
      <w:tr>
        <w:trPr>
          <w:tblHeader w:val="true"/>
          <w:cantSplit w:val="true"/>
          <w:tblHeader w:val="true"/>
          <w:cantSplit/>
        </w:trPr>
        <w:tc>
          <w:tcPr>
            <w:tcW w:type="dxa" w:w="4997"/>
            <w:vAlign w:val="top"/>
            <w:shd w:fill="D9E2F3"/>
          </w:tcPr>
          <w:p>
            <w:r>
              <w:rPr>
                <w:b/>
                <w:sz w:val="18"/>
              </w:rPr>
              <w:t>Owner</w:t>
            </w:r>
          </w:p>
        </w:tc>
        <w:tc>
          <w:tcPr>
            <w:tcW w:type="dxa" w:w="4997"/>
            <w:vAlign w:val="top"/>
            <w:shd w:fill="D9E2F3"/>
          </w:tcPr>
          <w:p>
            <w:r>
              <w:rPr>
                <w:b/>
                <w:sz w:val="18"/>
              </w:rPr>
              <w:t>Retained responsibility</w:t>
            </w:r>
          </w:p>
        </w:tc>
      </w:tr>
      <w:tr>
        <w:trPr>
          <w:cantSplit w:val="true"/>
          <w:cantSplit/>
        </w:trPr>
        <w:tc>
          <w:tcPr>
            <w:tcW w:type="dxa" w:w="4997"/>
            <w:vAlign w:val="top"/>
          </w:tcPr>
          <w:p>
            <w:pPr>
              <w:spacing w:after="20"/>
            </w:pPr>
            <w:r>
              <w:rPr>
                <w:sz w:val="18"/>
              </w:rPr>
              <w:t>Publication Loader / Interpreter</w:t>
            </w:r>
          </w:p>
        </w:tc>
        <w:tc>
          <w:tcPr>
            <w:tcW w:type="dxa" w:w="4997"/>
            <w:vAlign w:val="top"/>
          </w:tcPr>
          <w:p>
            <w:pPr>
              <w:spacing w:after="20"/>
            </w:pPr>
            <w:r>
              <w:rPr>
                <w:sz w:val="18"/>
              </w:rPr>
              <w:t>Acquisition and interpretation results</w:t>
            </w:r>
          </w:p>
        </w:tc>
      </w:tr>
      <w:tr>
        <w:trPr>
          <w:cantSplit w:val="true"/>
          <w:cantSplit/>
        </w:trPr>
        <w:tc>
          <w:tcPr>
            <w:tcW w:type="dxa" w:w="4997"/>
            <w:vAlign w:val="top"/>
          </w:tcPr>
          <w:p>
            <w:pPr>
              <w:spacing w:after="20"/>
            </w:pPr>
            <w:r>
              <w:rPr>
                <w:sz w:val="18"/>
              </w:rPr>
              <w:t>IOR Manager</w:t>
            </w:r>
          </w:p>
        </w:tc>
        <w:tc>
          <w:tcPr>
            <w:tcW w:type="dxa" w:w="4997"/>
            <w:vAlign w:val="top"/>
          </w:tcPr>
          <w:p>
            <w:pPr>
              <w:spacing w:after="20"/>
            </w:pPr>
            <w:r>
              <w:rPr>
                <w:sz w:val="18"/>
              </w:rPr>
              <w:t>IOR instances and publication traceability</w:t>
            </w:r>
          </w:p>
        </w:tc>
      </w:tr>
      <w:tr>
        <w:trPr>
          <w:cantSplit w:val="true"/>
          <w:cantSplit/>
        </w:trPr>
        <w:tc>
          <w:tcPr>
            <w:tcW w:type="dxa" w:w="4997"/>
            <w:vAlign w:val="top"/>
          </w:tcPr>
          <w:p>
            <w:pPr>
              <w:spacing w:after="20"/>
            </w:pPr>
            <w:r>
              <w:rPr>
                <w:sz w:val="18"/>
              </w:rPr>
              <w:t>Active Operational Context Manager</w:t>
            </w:r>
          </w:p>
        </w:tc>
        <w:tc>
          <w:tcPr>
            <w:tcW w:type="dxa" w:w="4997"/>
            <w:vAlign w:val="top"/>
          </w:tcPr>
          <w:p>
            <w:pPr>
              <w:spacing w:after="20"/>
            </w:pPr>
            <w:r>
              <w:rPr>
                <w:sz w:val="18"/>
              </w:rPr>
              <w:t>Session and active-publication context</w:t>
            </w:r>
          </w:p>
        </w:tc>
      </w:tr>
      <w:tr>
        <w:trPr>
          <w:cantSplit w:val="true"/>
          <w:cantSplit/>
        </w:trPr>
        <w:tc>
          <w:tcPr>
            <w:tcW w:type="dxa" w:w="4997"/>
            <w:vAlign w:val="top"/>
          </w:tcPr>
          <w:p>
            <w:pPr>
              <w:spacing w:after="20"/>
            </w:pPr>
            <w:r>
              <w:rPr>
                <w:sz w:val="18"/>
              </w:rPr>
              <w:t>Realization Engagement</w:t>
            </w:r>
          </w:p>
        </w:tc>
        <w:tc>
          <w:tcPr>
            <w:tcW w:type="dxa" w:w="4997"/>
            <w:vAlign w:val="top"/>
          </w:tcPr>
          <w:p>
            <w:pPr>
              <w:spacing w:after="20"/>
            </w:pPr>
            <w:r>
              <w:rPr>
                <w:sz w:val="18"/>
              </w:rPr>
              <w:t>Exercise Attempt history</w:t>
            </w:r>
          </w:p>
        </w:tc>
      </w:tr>
      <w:tr>
        <w:trPr>
          <w:cantSplit w:val="true"/>
          <w:cantSplit/>
        </w:trPr>
        <w:tc>
          <w:tcPr>
            <w:tcW w:type="dxa" w:w="4997"/>
            <w:vAlign w:val="top"/>
          </w:tcPr>
          <w:p>
            <w:pPr>
              <w:spacing w:after="20"/>
            </w:pPr>
            <w:r>
              <w:rPr>
                <w:sz w:val="18"/>
              </w:rPr>
              <w:t>Execution Environment Coordination</w:t>
            </w:r>
          </w:p>
        </w:tc>
        <w:tc>
          <w:tcPr>
            <w:tcW w:type="dxa" w:w="4997"/>
            <w:vAlign w:val="top"/>
          </w:tcPr>
          <w:p>
            <w:pPr>
              <w:spacing w:after="20"/>
            </w:pPr>
            <w:r>
              <w:rPr>
                <w:sz w:val="18"/>
              </w:rPr>
              <w:t>Environment Associations and lifecycle-request records</w:t>
            </w:r>
          </w:p>
        </w:tc>
      </w:tr>
      <w:tr>
        <w:trPr>
          <w:cantSplit w:val="true"/>
          <w:cantSplit/>
        </w:trPr>
        <w:tc>
          <w:tcPr>
            <w:tcW w:type="dxa" w:w="4997"/>
            <w:vAlign w:val="top"/>
          </w:tcPr>
          <w:p>
            <w:pPr>
              <w:spacing w:after="20"/>
            </w:pPr>
            <w:r>
              <w:rPr>
                <w:sz w:val="18"/>
              </w:rPr>
              <w:t>Runtime Observation Collection</w:t>
            </w:r>
          </w:p>
        </w:tc>
        <w:tc>
          <w:tcPr>
            <w:tcW w:type="dxa" w:w="4997"/>
            <w:vAlign w:val="top"/>
          </w:tcPr>
          <w:p>
            <w:pPr>
              <w:spacing w:after="20"/>
            </w:pPr>
            <w:r>
              <w:rPr>
                <w:sz w:val="18"/>
              </w:rPr>
              <w:t>Runtime Observations and indexes</w:t>
            </w:r>
          </w:p>
        </w:tc>
      </w:tr>
      <w:tr>
        <w:trPr>
          <w:cantSplit w:val="true"/>
          <w:cantSplit/>
        </w:trPr>
        <w:tc>
          <w:tcPr>
            <w:tcW w:type="dxa" w:w="4997"/>
            <w:vAlign w:val="top"/>
          </w:tcPr>
          <w:p>
            <w:pPr>
              <w:spacing w:after="20"/>
            </w:pPr>
            <w:r>
              <w:rPr>
                <w:sz w:val="18"/>
              </w:rPr>
              <w:t>Execution Evidence Generation</w:t>
            </w:r>
          </w:p>
        </w:tc>
        <w:tc>
          <w:tcPr>
            <w:tcW w:type="dxa" w:w="4997"/>
            <w:vAlign w:val="top"/>
          </w:tcPr>
          <w:p>
            <w:pPr>
              <w:spacing w:after="20"/>
            </w:pPr>
            <w:r>
              <w:rPr>
                <w:sz w:val="18"/>
              </w:rPr>
              <w:t>Session-retained evidence objects and generation identity</w:t>
            </w:r>
          </w:p>
        </w:tc>
      </w:tr>
      <w:tr>
        <w:trPr>
          <w:cantSplit w:val="true"/>
          <w:cantSplit/>
        </w:trPr>
        <w:tc>
          <w:tcPr>
            <w:tcW w:type="dxa" w:w="4997"/>
            <w:vAlign w:val="top"/>
          </w:tcPr>
          <w:p>
            <w:pPr>
              <w:spacing w:after="20"/>
            </w:pPr>
            <w:r>
              <w:rPr>
                <w:sz w:val="18"/>
              </w:rPr>
              <w:t>Conformance Declaration Provider</w:t>
            </w:r>
          </w:p>
        </w:tc>
        <w:tc>
          <w:tcPr>
            <w:tcW w:type="dxa" w:w="4997"/>
            <w:vAlign w:val="top"/>
          </w:tcPr>
          <w:p>
            <w:pPr>
              <w:spacing w:after="20"/>
            </w:pPr>
            <w:r>
              <w:rPr>
                <w:sz w:val="18"/>
              </w:rPr>
              <w:t>Implementation-version declaration records</w:t>
            </w:r>
          </w:p>
        </w:tc>
      </w:tr>
    </w:tbl>
    <w:p/>
    <w:p>
      <w:pPr>
        <w:spacing w:after="80" w:line="252" w:lineRule="auto"/>
      </w:pPr>
      <w:r>
        <w:t>Persistence should remain behind component-owned ports or repositories. Storage structures should not become a competing source of architectural meaning or permit one component to rewrite another component's records.</w:t>
      </w:r>
    </w:p>
    <w:p>
      <w:pPr>
        <w:pStyle w:val="Heading2"/>
        <w:keepNext/>
        <w:spacing w:before="180" w:after="60"/>
      </w:pPr>
      <w:r>
        <w:t>8.3 Persistence and Retention</w:t>
      </w:r>
    </w:p>
    <w:p>
      <w:pPr>
        <w:spacing w:after="80" w:line="252" w:lineRule="auto"/>
      </w:pPr>
      <w:r>
        <w:t>Persistence answers where information is stored and how it is recovered. Retention answers how long it remains, when it is archived, and when it is removed. Retention policy should be applied through dedicated infrastructure or policy boundaries rather than embedded in engagement, observation, evidence, or presentation logic.</w:t>
      </w:r>
    </w:p>
    <w:p>
      <w:pPr>
        <w:pStyle w:val="Heading2"/>
        <w:keepNext/>
        <w:spacing w:before="180" w:after="60"/>
      </w:pPr>
      <w:r>
        <w:t>8.4 Concurrency and Stale Context</w:t>
      </w:r>
    </w:p>
    <w:p>
      <w:pPr>
        <w:spacing w:after="80" w:line="252" w:lineRule="auto"/>
      </w:pPr>
      <w:r>
        <w:t>Every state-changing operation should be correlated to the applicable session and active publication context. Late provider responses and observations should remain tied to the original Environment Association and Exercise Attempt. Evidence generation should read a fixed snapshot so concurrent session activity cannot contaminate it.</w:t>
      </w:r>
    </w:p>
    <w:p>
      <w:pPr>
        <w:pStyle w:val="Heading2"/>
        <w:keepNext/>
        <w:spacing w:before="180" w:after="60"/>
      </w:pPr>
      <w:r>
        <w:t>8.5 Caches and Freshness</w:t>
      </w:r>
    </w:p>
    <w:p>
      <w:pPr>
        <w:spacing w:after="80" w:line="252" w:lineRule="auto"/>
      </w:pPr>
      <w:r>
        <w:t>Caches may improve responsiveness but remain disposable accelerators. Cached provider responses do not prove current environment availability, and retained Environment Associations do not prove continued existence or suitability. Cache keys should preserve session and publication scope where applicable, and freshness should be explicit.</w:t>
      </w:r>
    </w:p>
    <w:p>
      <w:pPr>
        <w:pStyle w:val="Heading2"/>
        <w:keepNext/>
        <w:spacing w:before="180" w:after="60"/>
      </w:pPr>
      <w:r>
        <w:t>8.6 Security Services</w:t>
      </w:r>
    </w:p>
    <w:p>
      <w:pPr>
        <w:spacing w:after="80" w:line="252" w:lineRule="auto"/>
      </w:pPr>
      <w:r>
        <w:t>Authentication, authorization, encryption, secret storage, signing-key custody, redaction, and privacy controls should be provided through dedicated security services or infrastructure. Securing PC3 connector credentials does not imply that PC3 secures the external execution environment.</w:t>
      </w:r>
    </w:p>
    <w:p>
      <w:pPr>
        <w:pStyle w:val="Heading2"/>
        <w:keepNext/>
        <w:spacing w:before="180" w:after="60"/>
      </w:pPr>
      <w:r>
        <w:t>8.7 Restart and Recovery</w:t>
      </w:r>
    </w:p>
    <w:p>
      <w:pPr>
        <w:spacing w:after="80" w:line="252" w:lineRule="auto"/>
      </w:pPr>
      <w:r>
        <w:t>Recovery should restore coherent PC3-owned state, not recreate transient external runtime history. Retained sessions, IORs, attempts, observations, evidence, and declarations may be restored according to implementation policy. External environment associations must be re-evaluated; recovery does not imply that an environment still exists, remains ready, or is still controlled by the same provider.</w:t>
      </w:r>
    </w:p>
    <w:p>
      <w:pPr>
        <w:pStyle w:val="Heading2"/>
        <w:keepNext/>
        <w:spacing w:before="180" w:after="60"/>
      </w:pPr>
      <w:r>
        <w:t>8.8 Backup, Restore, and External Custody</w:t>
      </w:r>
    </w:p>
    <w:p>
      <w:pPr>
        <w:spacing w:after="80" w:line="252" w:lineRule="auto"/>
      </w:pPr>
      <w:r>
        <w:t>Backup and restore should preserve identity, association, and immutability across aggregates. Restored historical environment information remains prior observation, not current availability. Externally exported evidence remains outside PC3 custody regardless of internal backup or retention policy.</w:t>
      </w:r>
    </w:p>
    <w:p>
      <w:pPr>
        <w:pStyle w:val="Heading1"/>
        <w:keepNext/>
      </w:pPr>
      <w:r>
        <w:t>9. Implementation Readiness</w:t>
      </w:r>
    </w:p>
    <w:p>
      <w:pPr>
        <w:spacing w:after="80" w:line="252" w:lineRule="auto"/>
      </w:pPr>
      <w:r>
        <w:t>This chapter turns the completed architecture into a practical starting plan for an Architectural Reference Implementation. It organizes engineering work, checkpoints, and review discipline without defining new PC3 behavior, interfaces, information structures, or conformance requirements. The PC3 specification remains the authority for what the implementation must do; this chapter addresses how a team can begin building it coherently.</w:t>
      </w:r>
    </w:p>
    <w:p>
      <w:pPr>
        <w:pStyle w:val="Heading2"/>
        <w:keepNext/>
      </w:pPr>
      <w:r>
        <w:t>9.1 Implementation Posture</w:t>
      </w:r>
    </w:p>
    <w:p>
      <w:pPr>
        <w:spacing w:after="80" w:line="252" w:lineRule="auto"/>
      </w:pPr>
      <w:r>
        <w:t>The initial build should prove the architectural boundaries end to end before pursuing broad realization coverage, visual polish, production scaling, or infrastructure generality. Architectural fidelity, traceability, and observability should take precedence over feature breadth.</w:t>
      </w:r>
    </w:p>
    <w:p>
      <w:pPr>
        <w:pStyle w:val="ListBullet"/>
        <w:spacing w:after="40"/>
      </w:pPr>
      <w:r>
        <w:t>Implement the smallest coherent vertical slice that exercises every major architectural boundary.</w:t>
      </w:r>
    </w:p>
    <w:p>
      <w:pPr>
        <w:pStyle w:val="ListBullet"/>
        <w:spacing w:after="40"/>
      </w:pPr>
      <w:r>
        <w:t>Treat the specification as the source of behavioral decisions and the blueprint as the source of software organization.</w:t>
      </w:r>
    </w:p>
    <w:p>
      <w:pPr>
        <w:pStyle w:val="ListBullet"/>
        <w:spacing w:after="40"/>
      </w:pPr>
      <w:r>
        <w:t>Keep implementation-specific design decisions documented outside the blueprint and subordinate to the specification.</w:t>
      </w:r>
    </w:p>
    <w:p>
      <w:pPr>
        <w:pStyle w:val="ListBullet"/>
        <w:spacing w:after="40"/>
      </w:pPr>
      <w:r>
        <w:t>Prefer explicit ownership and observable handoffs over convenience-driven shared state.</w:t>
      </w:r>
    </w:p>
    <w:p>
      <w:pPr>
        <w:pStyle w:val="ListBullet"/>
        <w:spacing w:after="40"/>
      </w:pPr>
      <w:r>
        <w:t>Use fakes and simulators to prove boundaries before integrating external providers.</w:t>
      </w:r>
    </w:p>
    <w:p>
      <w:pPr>
        <w:pStyle w:val="ListBullet"/>
        <w:spacing w:after="40"/>
      </w:pPr>
      <w:r>
        <w:t>Defer technology optimization until the logical component boundaries are demonstrably stable.</w:t>
      </w:r>
    </w:p>
    <w:p>
      <w:pPr>
        <w:pStyle w:val="Heading2"/>
        <w:keepNext/>
      </w:pPr>
      <w:r>
        <w:t>9.2 Reference Implementation Scope</w:t>
      </w:r>
    </w:p>
    <w:p>
      <w:pPr>
        <w:spacing w:after="80" w:line="252" w:lineRule="auto"/>
      </w:pPr>
      <w:r>
        <w:t>A suitable v0.1 slice remains intentionally narrow:</w:t>
      </w:r>
    </w:p>
    <w:p>
      <w:pPr>
        <w:pStyle w:val="ListNumber"/>
        <w:spacing w:after="40"/>
      </w:pPr>
      <w:r>
        <w:t>Load one UKO through one read-only Publication Source Adapter.</w:t>
      </w:r>
    </w:p>
    <w:p>
      <w:pPr>
        <w:pStyle w:val="ListNumber"/>
        <w:spacing w:after="40"/>
      </w:pPr>
      <w:r>
        <w:t>Interpret its declarations and construct one Internal Operational Representation.</w:t>
      </w:r>
    </w:p>
    <w:p>
      <w:pPr>
        <w:pStyle w:val="ListNumber"/>
        <w:spacing w:after="40"/>
      </w:pPr>
      <w:r>
        <w:t>Display the Executable Realization Matrix with supported and unsupported realizations visible.</w:t>
      </w:r>
    </w:p>
    <w:p>
      <w:pPr>
        <w:pStyle w:val="ListNumber"/>
        <w:spacing w:after="40"/>
      </w:pPr>
      <w:r>
        <w:t>Select one realization pathway without initiating exercise.</w:t>
      </w:r>
    </w:p>
    <w:p>
      <w:pPr>
        <w:pStyle w:val="ListNumber"/>
        <w:spacing w:after="40"/>
      </w:pPr>
      <w:r>
        <w:t>Use one Invocation Adapter and one real Execution Environment Connector.</w:t>
      </w:r>
    </w:p>
    <w:p>
      <w:pPr>
        <w:pStyle w:val="ListNumber"/>
        <w:spacing w:after="40"/>
      </w:pPr>
      <w:r>
        <w:t>Establish or reuse one permitted external execution environment.</w:t>
      </w:r>
    </w:p>
    <w:p>
      <w:pPr>
        <w:pStyle w:val="ListNumber"/>
        <w:spacing w:after="40"/>
      </w:pPr>
      <w:r>
        <w:t>Coordinate one Exercise Attempt and collect Runtime Observations.</w:t>
      </w:r>
    </w:p>
    <w:p>
      <w:pPr>
        <w:pStyle w:val="ListNumber"/>
        <w:spacing w:after="40"/>
      </w:pPr>
      <w:r>
        <w:t>Display one returned output or one faithful exceptional condition without pathway substitution.</w:t>
      </w:r>
    </w:p>
    <w:p>
      <w:pPr>
        <w:pStyle w:val="ListNumber"/>
        <w:spacing w:after="40"/>
      </w:pPr>
      <w:r>
        <w:t>Generate one Execution Evidence item after explicit user request.</w:t>
      </w:r>
    </w:p>
    <w:p>
      <w:pPr>
        <w:pStyle w:val="ListNumber"/>
        <w:spacing w:after="40"/>
      </w:pPr>
      <w:r>
        <w:t>Inspect and export one machine-readable representation with integrity protection.</w:t>
      </w:r>
    </w:p>
    <w:p>
      <w:pPr>
        <w:pStyle w:val="ListNumber"/>
        <w:spacing w:after="40"/>
      </w:pPr>
      <w:r>
        <w:t>Expose the exact PC3 implementation identity, version, and conformance declaration.</w:t>
      </w:r>
    </w:p>
    <w:p>
      <w:pPr>
        <w:spacing w:after="80" w:line="252" w:lineRule="auto"/>
      </w:pPr>
      <w:r>
        <w:t>This scope proves the architectural chain from publication interpretation through externally performed execution and optional evidence export. Additional realization types, providers, formats, and production hardening remain later work.</w:t>
      </w:r>
    </w:p>
    <w:p>
      <w:pPr>
        <w:pStyle w:val="Heading2"/>
        <w:keepNext/>
      </w:pPr>
      <w:r>
        <w:t>9.3 Suggested Engineering Work Packages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val="true"/>
          <w:tblHeader w:val="true"/>
          <w:cantSplit/>
        </w:trPr>
        <w:tc>
          <w:tcPr>
            <w:tcW w:type="dxa" w:w="2880"/>
            <w:vAlign w:val="top"/>
            <w:shd w:fill="D9E2F3"/>
          </w:tcPr>
          <w:p>
            <w:pPr>
              <w:spacing w:after="0"/>
            </w:pPr>
            <w:r/>
            <w:r>
              <w:rPr>
                <w:b/>
                <w:sz w:val="18"/>
              </w:rPr>
              <w:t>Work package</w:t>
            </w:r>
          </w:p>
        </w:tc>
        <w:tc>
          <w:tcPr>
            <w:tcW w:type="dxa" w:w="2880"/>
            <w:vAlign w:val="top"/>
            <w:shd w:fill="D9E2F3"/>
          </w:tcPr>
          <w:p>
            <w:pPr>
              <w:spacing w:after="0"/>
            </w:pPr>
            <w:r/>
            <w:r>
              <w:rPr>
                <w:b/>
                <w:sz w:val="18"/>
              </w:rPr>
              <w:t>Primary outcome</w:t>
            </w:r>
          </w:p>
        </w:tc>
        <w:tc>
          <w:tcPr>
            <w:tcW w:type="dxa" w:w="2880"/>
            <w:vAlign w:val="top"/>
            <w:shd w:fill="D9E2F3"/>
          </w:tcPr>
          <w:p>
            <w:pPr>
              <w:spacing w:after="0"/>
            </w:pPr>
            <w:r/>
            <w:r>
              <w:rPr>
                <w:b/>
                <w:sz w:val="18"/>
              </w:rPr>
              <w:t>Principal owners</w:t>
            </w:r>
          </w:p>
        </w:tc>
      </w:tr>
      <w:tr>
        <w:trPr>
          <w:cantSplit w:val="true"/>
          <w:cantSplit/>
        </w:trPr>
        <w:tc>
          <w:tcPr>
            <w:tcW w:type="dxa" w:w="2880"/>
            <w:vAlign w:val="top"/>
          </w:tcPr>
          <w:p>
            <w:pPr>
              <w:spacing w:after="0"/>
            </w:pPr>
            <w:r/>
            <w:r>
              <w:rPr>
                <w:b w:val="0"/>
                <w:sz w:val="18"/>
              </w:rPr>
              <w:t>WP-0 — Architecture skeleton</w:t>
            </w:r>
          </w:p>
        </w:tc>
        <w:tc>
          <w:tcPr>
            <w:tcW w:type="dxa" w:w="2880"/>
            <w:vAlign w:val="top"/>
          </w:tcPr>
          <w:p>
            <w:pPr>
              <w:spacing w:after="0"/>
            </w:pPr>
            <w:r/>
            <w:r>
              <w:rPr>
                <w:b w:val="0"/>
                <w:sz w:val="18"/>
              </w:rPr>
              <w:t>Modular codebase, dependency rules, shared identifiers/clock, persistence and secret ports, test harness</w:t>
            </w:r>
          </w:p>
        </w:tc>
        <w:tc>
          <w:tcPr>
            <w:tcW w:type="dxa" w:w="2880"/>
            <w:vAlign w:val="top"/>
          </w:tcPr>
          <w:p>
            <w:pPr>
              <w:spacing w:after="0"/>
            </w:pPr>
            <w:r/>
            <w:r>
              <w:rPr>
                <w:b w:val="0"/>
                <w:sz w:val="18"/>
              </w:rPr>
              <w:t>Application, infrastructure, testing</w:t>
            </w:r>
          </w:p>
        </w:tc>
      </w:tr>
      <w:tr>
        <w:trPr>
          <w:cantSplit w:val="true"/>
          <w:cantSplit/>
        </w:trPr>
        <w:tc>
          <w:tcPr>
            <w:tcW w:type="dxa" w:w="2880"/>
            <w:vAlign w:val="top"/>
          </w:tcPr>
          <w:p>
            <w:pPr>
              <w:spacing w:after="0"/>
            </w:pPr>
            <w:r/>
            <w:r>
              <w:rPr>
                <w:b w:val="0"/>
                <w:sz w:val="18"/>
              </w:rPr>
              <w:t>WP-1 — Publication intake</w:t>
            </w:r>
          </w:p>
        </w:tc>
        <w:tc>
          <w:tcPr>
            <w:tcW w:type="dxa" w:w="2880"/>
            <w:vAlign w:val="top"/>
          </w:tcPr>
          <w:p>
            <w:pPr>
              <w:spacing w:after="0"/>
            </w:pPr>
            <w:r/>
            <w:r>
              <w:rPr>
                <w:b w:val="0"/>
                <w:sz w:val="18"/>
              </w:rPr>
              <w:t>Read-only source acquisition, interpretation, IOR construction, active-publication activation</w:t>
            </w:r>
          </w:p>
        </w:tc>
        <w:tc>
          <w:tcPr>
            <w:tcW w:type="dxa" w:w="2880"/>
            <w:vAlign w:val="top"/>
          </w:tcPr>
          <w:p>
            <w:pPr>
              <w:spacing w:after="0"/>
            </w:pPr>
            <w:r/>
            <w:r>
              <w:rPr>
                <w:b w:val="0"/>
                <w:sz w:val="18"/>
              </w:rPr>
              <w:t>Publication Loader, Interpreter, IOR Manager, Active Context</w:t>
            </w:r>
          </w:p>
        </w:tc>
      </w:tr>
      <w:tr>
        <w:trPr>
          <w:cantSplit w:val="true"/>
          <w:cantSplit/>
        </w:trPr>
        <w:tc>
          <w:tcPr>
            <w:tcW w:type="dxa" w:w="2880"/>
            <w:vAlign w:val="top"/>
          </w:tcPr>
          <w:p>
            <w:pPr>
              <w:spacing w:after="0"/>
            </w:pPr>
            <w:r/>
            <w:r>
              <w:rPr>
                <w:b w:val="0"/>
                <w:sz w:val="18"/>
              </w:rPr>
              <w:t>WP-2 — Operational presentation</w:t>
            </w:r>
          </w:p>
        </w:tc>
        <w:tc>
          <w:tcPr>
            <w:tcW w:type="dxa" w:w="2880"/>
            <w:vAlign w:val="top"/>
          </w:tcPr>
          <w:p>
            <w:pPr>
              <w:spacing w:after="0"/>
            </w:pPr>
            <w:r/>
            <w:r>
              <w:rPr>
                <w:b w:val="0"/>
                <w:sz w:val="18"/>
              </w:rPr>
              <w:t>Matrix projection, support visibility, selection, implementation/version disclosure</w:t>
            </w:r>
          </w:p>
        </w:tc>
        <w:tc>
          <w:tcPr>
            <w:tcW w:type="dxa" w:w="2880"/>
            <w:vAlign w:val="top"/>
          </w:tcPr>
          <w:p>
            <w:pPr>
              <w:spacing w:after="0"/>
            </w:pPr>
            <w:r/>
            <w:r>
              <w:rPr>
                <w:b w:val="0"/>
                <w:sz w:val="18"/>
              </w:rPr>
              <w:t>Matrix, Active Context, Conformance Provider, presentation</w:t>
            </w:r>
          </w:p>
        </w:tc>
      </w:tr>
      <w:tr>
        <w:trPr>
          <w:cantSplit w:val="true"/>
          <w:cantSplit/>
        </w:trPr>
        <w:tc>
          <w:tcPr>
            <w:tcW w:type="dxa" w:w="2880"/>
            <w:vAlign w:val="top"/>
          </w:tcPr>
          <w:p>
            <w:pPr>
              <w:spacing w:after="0"/>
            </w:pPr>
            <w:r/>
            <w:r>
              <w:rPr>
                <w:b w:val="0"/>
                <w:sz w:val="18"/>
              </w:rPr>
              <w:t>WP-3 — Attempt coordination</w:t>
            </w:r>
          </w:p>
        </w:tc>
        <w:tc>
          <w:tcPr>
            <w:tcW w:type="dxa" w:w="2880"/>
            <w:vAlign w:val="top"/>
          </w:tcPr>
          <w:p>
            <w:pPr>
              <w:spacing w:after="0"/>
            </w:pPr>
            <w:r/>
            <w:r>
              <w:rPr>
                <w:b w:val="0"/>
                <w:sz w:val="18"/>
              </w:rPr>
              <w:t>Exercise Attempt creation, fixed request context, fake invocation and environment boundaries</w:t>
            </w:r>
          </w:p>
        </w:tc>
        <w:tc>
          <w:tcPr>
            <w:tcW w:type="dxa" w:w="2880"/>
            <w:vAlign w:val="top"/>
          </w:tcPr>
          <w:p>
            <w:pPr>
              <w:spacing w:after="0"/>
            </w:pPr>
            <w:r/>
            <w:r>
              <w:rPr>
                <w:b w:val="0"/>
                <w:sz w:val="18"/>
              </w:rPr>
              <w:t>Realization Engagement, adapters, environment coordination</w:t>
            </w:r>
          </w:p>
        </w:tc>
      </w:tr>
      <w:tr>
        <w:trPr>
          <w:cantSplit w:val="true"/>
          <w:cantSplit/>
        </w:trPr>
        <w:tc>
          <w:tcPr>
            <w:tcW w:type="dxa" w:w="2880"/>
            <w:vAlign w:val="top"/>
          </w:tcPr>
          <w:p>
            <w:pPr>
              <w:spacing w:after="0"/>
            </w:pPr>
            <w:r/>
            <w:r>
              <w:rPr>
                <w:b w:val="0"/>
                <w:sz w:val="18"/>
              </w:rPr>
              <w:t>WP-4 — Observation architecture</w:t>
            </w:r>
          </w:p>
        </w:tc>
        <w:tc>
          <w:tcPr>
            <w:tcW w:type="dxa" w:w="2880"/>
            <w:vAlign w:val="top"/>
          </w:tcPr>
          <w:p>
            <w:pPr>
              <w:spacing w:after="0"/>
            </w:pPr>
            <w:r/>
            <w:r>
              <w:rPr>
                <w:b w:val="0"/>
                <w:sz w:val="18"/>
              </w:rPr>
              <w:t>Append-oriented observation intake and attempt-centered inspection</w:t>
            </w:r>
          </w:p>
        </w:tc>
        <w:tc>
          <w:tcPr>
            <w:tcW w:type="dxa" w:w="2880"/>
            <w:vAlign w:val="top"/>
          </w:tcPr>
          <w:p>
            <w:pPr>
              <w:spacing w:after="0"/>
            </w:pPr>
            <w:r/>
            <w:r>
              <w:rPr>
                <w:b w:val="0"/>
                <w:sz w:val="18"/>
              </w:rPr>
              <w:t>Runtime Observation Collection</w:t>
            </w:r>
          </w:p>
        </w:tc>
      </w:tr>
      <w:tr>
        <w:trPr>
          <w:cantSplit w:val="true"/>
          <w:cantSplit/>
        </w:trPr>
        <w:tc>
          <w:tcPr>
            <w:tcW w:type="dxa" w:w="2880"/>
            <w:vAlign w:val="top"/>
          </w:tcPr>
          <w:p>
            <w:pPr>
              <w:spacing w:after="0"/>
            </w:pPr>
            <w:r/>
            <w:r>
              <w:rPr>
                <w:b w:val="0"/>
                <w:sz w:val="18"/>
              </w:rPr>
              <w:t>WP-5 — External engagement</w:t>
            </w:r>
          </w:p>
        </w:tc>
        <w:tc>
          <w:tcPr>
            <w:tcW w:type="dxa" w:w="2880"/>
            <w:vAlign w:val="top"/>
          </w:tcPr>
          <w:p>
            <w:pPr>
              <w:spacing w:after="0"/>
            </w:pPr>
            <w:r/>
            <w:r>
              <w:rPr>
                <w:b w:val="0"/>
                <w:sz w:val="18"/>
              </w:rPr>
              <w:t>One real connector, one invocation adapter, readiness, reuse, failure, and release handling</w:t>
            </w:r>
          </w:p>
        </w:tc>
        <w:tc>
          <w:tcPr>
            <w:tcW w:type="dxa" w:w="2880"/>
            <w:vAlign w:val="top"/>
          </w:tcPr>
          <w:p>
            <w:pPr>
              <w:spacing w:after="0"/>
            </w:pPr>
            <w:r/>
            <w:r>
              <w:rPr>
                <w:b w:val="0"/>
                <w:sz w:val="18"/>
              </w:rPr>
              <w:t>Environment Coordination, connector, invocation adapter</w:t>
            </w:r>
          </w:p>
        </w:tc>
      </w:tr>
      <w:tr>
        <w:trPr>
          <w:cantSplit w:val="true"/>
          <w:cantSplit/>
        </w:trPr>
        <w:tc>
          <w:tcPr>
            <w:tcW w:type="dxa" w:w="2880"/>
            <w:vAlign w:val="top"/>
          </w:tcPr>
          <w:p>
            <w:pPr>
              <w:spacing w:after="0"/>
            </w:pPr>
            <w:r/>
            <w:r>
              <w:rPr>
                <w:b w:val="0"/>
                <w:sz w:val="18"/>
              </w:rPr>
              <w:t>WP-6 — Evidence path</w:t>
            </w:r>
          </w:p>
        </w:tc>
        <w:tc>
          <w:tcPr>
            <w:tcW w:type="dxa" w:w="2880"/>
            <w:vAlign w:val="top"/>
          </w:tcPr>
          <w:p>
            <w:pPr>
              <w:spacing w:after="0"/>
            </w:pPr>
            <w:r/>
            <w:r>
              <w:rPr>
                <w:b w:val="0"/>
                <w:sz w:val="18"/>
              </w:rPr>
              <w:t>Attempt snapshot, explicit evidence generation, inspection, serialization, integrity, export, verification</w:t>
            </w:r>
          </w:p>
        </w:tc>
        <w:tc>
          <w:tcPr>
            <w:tcW w:type="dxa" w:w="2880"/>
            <w:vAlign w:val="top"/>
          </w:tcPr>
          <w:p>
            <w:pPr>
              <w:spacing w:after="0"/>
            </w:pPr>
            <w:r/>
            <w:r>
              <w:rPr>
                <w:b w:val="0"/>
                <w:sz w:val="18"/>
              </w:rPr>
              <w:t>Evidence Generation, Serializer, Integrity/Verification</w:t>
            </w:r>
          </w:p>
        </w:tc>
      </w:tr>
      <w:tr>
        <w:trPr>
          <w:cantSplit w:val="true"/>
          <w:cantSplit/>
        </w:trPr>
        <w:tc>
          <w:tcPr>
            <w:tcW w:type="dxa" w:w="2880"/>
            <w:vAlign w:val="top"/>
          </w:tcPr>
          <w:p>
            <w:pPr>
              <w:spacing w:after="0"/>
            </w:pPr>
            <w:r/>
            <w:r>
              <w:rPr>
                <w:b w:val="0"/>
                <w:sz w:val="18"/>
              </w:rPr>
              <w:t>WP-7 — Isolation and recovery</w:t>
            </w:r>
          </w:p>
        </w:tc>
        <w:tc>
          <w:tcPr>
            <w:tcW w:type="dxa" w:w="2880"/>
            <w:vAlign w:val="top"/>
          </w:tcPr>
          <w:p>
            <w:pPr>
              <w:spacing w:after="0"/>
            </w:pPr>
            <w:r/>
            <w:r>
              <w:rPr>
                <w:b w:val="0"/>
                <w:sz w:val="18"/>
              </w:rPr>
              <w:t>Multisession isolation, publication replacement, persistence, restart recovery, stale-response containment</w:t>
            </w:r>
          </w:p>
        </w:tc>
        <w:tc>
          <w:tcPr>
            <w:tcW w:type="dxa" w:w="2880"/>
            <w:vAlign w:val="top"/>
          </w:tcPr>
          <w:p>
            <w:pPr>
              <w:spacing w:after="0"/>
            </w:pPr>
            <w:r/>
            <w:r>
              <w:rPr>
                <w:b w:val="0"/>
                <w:sz w:val="18"/>
              </w:rPr>
              <w:t>Session, Active Context, persistence/infrastructure</w:t>
            </w:r>
          </w:p>
        </w:tc>
      </w:tr>
      <w:tr>
        <w:trPr>
          <w:cantSplit w:val="true"/>
          <w:cantSplit/>
        </w:trPr>
        <w:tc>
          <w:tcPr>
            <w:tcW w:type="dxa" w:w="2880"/>
            <w:vAlign w:val="top"/>
          </w:tcPr>
          <w:p>
            <w:pPr>
              <w:spacing w:after="0"/>
            </w:pPr>
            <w:r/>
            <w:r>
              <w:rPr>
                <w:b w:val="0"/>
                <w:sz w:val="18"/>
              </w:rPr>
              <w:t>WP-8 — End-to-end proof</w:t>
            </w:r>
          </w:p>
        </w:tc>
        <w:tc>
          <w:tcPr>
            <w:tcW w:type="dxa" w:w="2880"/>
            <w:vAlign w:val="top"/>
          </w:tcPr>
          <w:p>
            <w:pPr>
              <w:spacing w:after="0"/>
            </w:pPr>
            <w:r/>
            <w:r>
              <w:rPr>
                <w:b w:val="0"/>
                <w:sz w:val="18"/>
              </w:rPr>
              <w:t>One coherent reference pathway, architectural traceability, boundary tests, documented limitations</w:t>
            </w:r>
          </w:p>
        </w:tc>
        <w:tc>
          <w:tcPr>
            <w:tcW w:type="dxa" w:w="2880"/>
            <w:vAlign w:val="top"/>
          </w:tcPr>
          <w:p>
            <w:pPr>
              <w:spacing w:after="0"/>
            </w:pPr>
            <w:r/>
            <w:r>
              <w:rPr>
                <w:b w:val="0"/>
                <w:sz w:val="18"/>
              </w:rPr>
              <w:t>All owners, testing</w:t>
            </w:r>
          </w:p>
        </w:tc>
      </w:tr>
    </w:tbl>
    <w:p>
      <w:pPr>
        <w:spacing w:after="80" w:line="252" w:lineRule="auto"/>
      </w:pPr>
      <w:r>
        <w:t>Work packages describe a useful development decomposition, not required project phases. Teams may combine or reorder them while preserving ownership and dependency direction.</w:t>
      </w:r>
    </w:p>
    <w:p>
      <w:pPr>
        <w:pStyle w:val="Heading2"/>
        <w:keepNext/>
      </w:pPr>
      <w:r>
        <w:t>9.4 Milestone Sequence</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val="true"/>
          <w:tblHeader w:val="true"/>
          <w:cantSplit/>
        </w:trPr>
        <w:tc>
          <w:tcPr>
            <w:tcW w:type="dxa" w:w="2880"/>
            <w:vAlign w:val="top"/>
            <w:shd w:fill="D9E2F3"/>
          </w:tcPr>
          <w:p>
            <w:pPr>
              <w:spacing w:after="0"/>
            </w:pPr>
            <w:r/>
            <w:r>
              <w:rPr>
                <w:b/>
                <w:sz w:val="18"/>
              </w:rPr>
              <w:t>Milestone</w:t>
            </w:r>
          </w:p>
        </w:tc>
        <w:tc>
          <w:tcPr>
            <w:tcW w:type="dxa" w:w="2880"/>
            <w:vAlign w:val="top"/>
            <w:shd w:fill="D9E2F3"/>
          </w:tcPr>
          <w:p>
            <w:pPr>
              <w:spacing w:after="0"/>
            </w:pPr>
            <w:r/>
            <w:r>
              <w:rPr>
                <w:b/>
                <w:sz w:val="18"/>
              </w:rPr>
              <w:t>Demonstration</w:t>
            </w:r>
          </w:p>
        </w:tc>
        <w:tc>
          <w:tcPr>
            <w:tcW w:type="dxa" w:w="2880"/>
            <w:vAlign w:val="top"/>
            <w:shd w:fill="D9E2F3"/>
          </w:tcPr>
          <w:p>
            <w:pPr>
              <w:spacing w:after="0"/>
            </w:pPr>
            <w:r/>
            <w:r>
              <w:rPr>
                <w:b/>
                <w:sz w:val="18"/>
              </w:rPr>
              <w:t>Readiness signal</w:t>
            </w:r>
          </w:p>
        </w:tc>
      </w:tr>
      <w:tr>
        <w:trPr>
          <w:cantSplit w:val="true"/>
          <w:cantSplit/>
        </w:trPr>
        <w:tc>
          <w:tcPr>
            <w:tcW w:type="dxa" w:w="2880"/>
            <w:vAlign w:val="top"/>
          </w:tcPr>
          <w:p>
            <w:pPr>
              <w:spacing w:after="0"/>
            </w:pPr>
            <w:r/>
            <w:r>
              <w:rPr>
                <w:b w:val="0"/>
                <w:sz w:val="18"/>
              </w:rPr>
              <w:t>M0 — Skeleton</w:t>
            </w:r>
          </w:p>
        </w:tc>
        <w:tc>
          <w:tcPr>
            <w:tcW w:type="dxa" w:w="2880"/>
            <w:vAlign w:val="top"/>
          </w:tcPr>
          <w:p>
            <w:pPr>
              <w:spacing w:after="0"/>
            </w:pPr>
            <w:r/>
            <w:r>
              <w:rPr>
                <w:b w:val="0"/>
                <w:sz w:val="18"/>
              </w:rPr>
              <w:t>Modules compile and communicate only through intended boundaries using fakes.</w:t>
            </w:r>
          </w:p>
        </w:tc>
        <w:tc>
          <w:tcPr>
            <w:tcW w:type="dxa" w:w="2880"/>
            <w:vAlign w:val="top"/>
          </w:tcPr>
          <w:p>
            <w:pPr>
              <w:spacing w:after="0"/>
            </w:pPr>
            <w:r/>
            <w:r>
              <w:rPr>
                <w:b w:val="0"/>
                <w:sz w:val="18"/>
              </w:rPr>
              <w:t>Core dependencies point inward; no provider or publication-specific branching in the application core.</w:t>
            </w:r>
          </w:p>
        </w:tc>
      </w:tr>
      <w:tr>
        <w:trPr>
          <w:cantSplit w:val="true"/>
          <w:cantSplit/>
        </w:trPr>
        <w:tc>
          <w:tcPr>
            <w:tcW w:type="dxa" w:w="2880"/>
            <w:vAlign w:val="top"/>
          </w:tcPr>
          <w:p>
            <w:pPr>
              <w:spacing w:after="0"/>
            </w:pPr>
            <w:r/>
            <w:r>
              <w:rPr>
                <w:b w:val="0"/>
                <w:sz w:val="18"/>
              </w:rPr>
              <w:t>M1 — Publication interpretation</w:t>
            </w:r>
          </w:p>
        </w:tc>
        <w:tc>
          <w:tcPr>
            <w:tcW w:type="dxa" w:w="2880"/>
            <w:vAlign w:val="top"/>
          </w:tcPr>
          <w:p>
            <w:pPr>
              <w:spacing w:after="0"/>
            </w:pPr>
            <w:r/>
            <w:r>
              <w:rPr>
                <w:b w:val="0"/>
                <w:sz w:val="18"/>
              </w:rPr>
              <w:t>One UKO loads read-only, produces an IOR, and becomes the active publication.</w:t>
            </w:r>
          </w:p>
        </w:tc>
        <w:tc>
          <w:tcPr>
            <w:tcW w:type="dxa" w:w="2880"/>
            <w:vAlign w:val="top"/>
          </w:tcPr>
          <w:p>
            <w:pPr>
              <w:spacing w:after="0"/>
            </w:pPr>
            <w:r/>
            <w:r>
              <w:rPr>
                <w:b w:val="0"/>
                <w:sz w:val="18"/>
              </w:rPr>
              <w:t>Publication resources remain unchanged; interpretation and IOR provenance are inspectable.</w:t>
            </w:r>
          </w:p>
        </w:tc>
      </w:tr>
      <w:tr>
        <w:trPr>
          <w:cantSplit w:val="true"/>
          <w:cantSplit/>
        </w:trPr>
        <w:tc>
          <w:tcPr>
            <w:tcW w:type="dxa" w:w="2880"/>
            <w:vAlign w:val="top"/>
          </w:tcPr>
          <w:p>
            <w:pPr>
              <w:spacing w:after="0"/>
            </w:pPr>
            <w:r/>
            <w:r>
              <w:rPr>
                <w:b w:val="0"/>
                <w:sz w:val="18"/>
              </w:rPr>
              <w:t>M2 — Matrix and selection</w:t>
            </w:r>
          </w:p>
        </w:tc>
        <w:tc>
          <w:tcPr>
            <w:tcW w:type="dxa" w:w="2880"/>
            <w:vAlign w:val="top"/>
          </w:tcPr>
          <w:p>
            <w:pPr>
              <w:spacing w:after="0"/>
            </w:pPr>
            <w:r/>
            <w:r>
              <w:rPr>
                <w:b w:val="0"/>
                <w:sz w:val="18"/>
              </w:rPr>
              <w:t>The matrix exposes all declared executable realizations and supports selection.</w:t>
            </w:r>
          </w:p>
        </w:tc>
        <w:tc>
          <w:tcPr>
            <w:tcW w:type="dxa" w:w="2880"/>
            <w:vAlign w:val="top"/>
          </w:tcPr>
          <w:p>
            <w:pPr>
              <w:spacing w:after="0"/>
            </w:pPr>
            <w:r/>
            <w:r>
              <w:rPr>
                <w:b w:val="0"/>
                <w:sz w:val="18"/>
              </w:rPr>
              <w:t>Unsupported realizations remain visible; selection causes no exercise or environment action.</w:t>
            </w:r>
          </w:p>
        </w:tc>
      </w:tr>
      <w:tr>
        <w:trPr>
          <w:cantSplit w:val="true"/>
          <w:cantSplit/>
        </w:trPr>
        <w:tc>
          <w:tcPr>
            <w:tcW w:type="dxa" w:w="2880"/>
            <w:vAlign w:val="top"/>
          </w:tcPr>
          <w:p>
            <w:pPr>
              <w:spacing w:after="0"/>
            </w:pPr>
            <w:r/>
            <w:r>
              <w:rPr>
                <w:b w:val="0"/>
                <w:sz w:val="18"/>
              </w:rPr>
              <w:t>M3 — Coordinated exercise</w:t>
            </w:r>
          </w:p>
        </w:tc>
        <w:tc>
          <w:tcPr>
            <w:tcW w:type="dxa" w:w="2880"/>
            <w:vAlign w:val="top"/>
          </w:tcPr>
          <w:p>
            <w:pPr>
              <w:spacing w:after="0"/>
            </w:pPr>
            <w:r/>
            <w:r>
              <w:rPr>
                <w:b w:val="0"/>
                <w:sz w:val="18"/>
              </w:rPr>
              <w:t>One fake environment and invocation path complete one Exercise Attempt.</w:t>
            </w:r>
          </w:p>
        </w:tc>
        <w:tc>
          <w:tcPr>
            <w:tcW w:type="dxa" w:w="2880"/>
            <w:vAlign w:val="top"/>
          </w:tcPr>
          <w:p>
            <w:pPr>
              <w:spacing w:after="0"/>
            </w:pPr>
            <w:r/>
            <w:r>
              <w:rPr>
                <w:b w:val="0"/>
                <w:sz w:val="18"/>
              </w:rPr>
              <w:t>Attempt context is fixed; output and exceptional outcomes remain attributable.</w:t>
            </w:r>
          </w:p>
        </w:tc>
      </w:tr>
      <w:tr>
        <w:trPr>
          <w:cantSplit w:val="true"/>
          <w:cantSplit/>
        </w:trPr>
        <w:tc>
          <w:tcPr>
            <w:tcW w:type="dxa" w:w="2880"/>
            <w:vAlign w:val="top"/>
          </w:tcPr>
          <w:p>
            <w:pPr>
              <w:spacing w:after="0"/>
            </w:pPr>
            <w:r/>
            <w:r>
              <w:rPr>
                <w:b w:val="0"/>
                <w:sz w:val="18"/>
              </w:rPr>
              <w:t>M4 — Real environment boundary</w:t>
            </w:r>
          </w:p>
        </w:tc>
        <w:tc>
          <w:tcPr>
            <w:tcW w:type="dxa" w:w="2880"/>
            <w:vAlign w:val="top"/>
          </w:tcPr>
          <w:p>
            <w:pPr>
              <w:spacing w:after="0"/>
            </w:pPr>
            <w:r/>
            <w:r>
              <w:rPr>
                <w:b w:val="0"/>
                <w:sz w:val="18"/>
              </w:rPr>
              <w:t>One external connector and invocation adapter exercise the selected realization.</w:t>
            </w:r>
          </w:p>
        </w:tc>
        <w:tc>
          <w:tcPr>
            <w:tcW w:type="dxa" w:w="2880"/>
            <w:vAlign w:val="top"/>
          </w:tcPr>
          <w:p>
            <w:pPr>
              <w:spacing w:after="0"/>
            </w:pPr>
            <w:r/>
            <w:r>
              <w:rPr>
                <w:b w:val="0"/>
                <w:sz w:val="18"/>
              </w:rPr>
              <w:t>PC3 coordinates and observes; external systems perform execution and lifecycle actions.</w:t>
            </w:r>
          </w:p>
        </w:tc>
      </w:tr>
      <w:tr>
        <w:trPr>
          <w:cantSplit w:val="true"/>
          <w:cantSplit/>
        </w:trPr>
        <w:tc>
          <w:tcPr>
            <w:tcW w:type="dxa" w:w="2880"/>
            <w:vAlign w:val="top"/>
          </w:tcPr>
          <w:p>
            <w:pPr>
              <w:spacing w:after="0"/>
            </w:pPr>
            <w:r/>
            <w:r>
              <w:rPr>
                <w:b w:val="0"/>
                <w:sz w:val="18"/>
              </w:rPr>
              <w:t>M5 — Observation path</w:t>
            </w:r>
          </w:p>
        </w:tc>
        <w:tc>
          <w:tcPr>
            <w:tcW w:type="dxa" w:w="2880"/>
            <w:vAlign w:val="top"/>
          </w:tcPr>
          <w:p>
            <w:pPr>
              <w:spacing w:after="0"/>
            </w:pPr>
            <w:r/>
            <w:r>
              <w:rPr>
                <w:b w:val="0"/>
                <w:sz w:val="18"/>
              </w:rPr>
              <w:t>Material events are retained and inspected by attempt and environment association.</w:t>
            </w:r>
          </w:p>
        </w:tc>
        <w:tc>
          <w:tcPr>
            <w:tcW w:type="dxa" w:w="2880"/>
            <w:vAlign w:val="top"/>
          </w:tcPr>
          <w:p>
            <w:pPr>
              <w:spacing w:after="0"/>
            </w:pPr>
            <w:r/>
            <w:r>
              <w:rPr>
                <w:b w:val="0"/>
                <w:sz w:val="18"/>
              </w:rPr>
              <w:t>Raw logs are not the architectural record; late events cannot cross attempts.</w:t>
            </w:r>
          </w:p>
        </w:tc>
      </w:tr>
      <w:tr>
        <w:trPr>
          <w:cantSplit w:val="true"/>
          <w:cantSplit/>
        </w:trPr>
        <w:tc>
          <w:tcPr>
            <w:tcW w:type="dxa" w:w="2880"/>
            <w:vAlign w:val="top"/>
          </w:tcPr>
          <w:p>
            <w:pPr>
              <w:spacing w:after="0"/>
            </w:pPr>
            <w:r/>
            <w:r>
              <w:rPr>
                <w:b w:val="0"/>
                <w:sz w:val="18"/>
              </w:rPr>
              <w:t>M6 — Evidence path</w:t>
            </w:r>
          </w:p>
        </w:tc>
        <w:tc>
          <w:tcPr>
            <w:tcW w:type="dxa" w:w="2880"/>
            <w:vAlign w:val="top"/>
          </w:tcPr>
          <w:p>
            <w:pPr>
              <w:spacing w:after="0"/>
            </w:pPr>
            <w:r/>
            <w:r>
              <w:rPr>
                <w:b w:val="0"/>
                <w:sz w:val="18"/>
              </w:rPr>
              <w:t>One evidence item is generated, inspected, protected, exported, and verified.</w:t>
            </w:r>
          </w:p>
        </w:tc>
        <w:tc>
          <w:tcPr>
            <w:tcW w:type="dxa" w:w="2880"/>
            <w:vAlign w:val="top"/>
          </w:tcPr>
          <w:p>
            <w:pPr>
              <w:spacing w:after="0"/>
            </w:pPr>
            <w:r/>
            <w:r>
              <w:rPr>
                <w:b w:val="0"/>
                <w:sz w:val="18"/>
              </w:rPr>
              <w:t>Generation and export are separate; evidence remains immutable and external after saving.</w:t>
            </w:r>
          </w:p>
        </w:tc>
      </w:tr>
      <w:tr>
        <w:trPr>
          <w:cantSplit w:val="true"/>
          <w:cantSplit/>
        </w:trPr>
        <w:tc>
          <w:tcPr>
            <w:tcW w:type="dxa" w:w="2880"/>
            <w:vAlign w:val="top"/>
          </w:tcPr>
          <w:p>
            <w:pPr>
              <w:spacing w:after="0"/>
            </w:pPr>
            <w:r/>
            <w:r>
              <w:rPr>
                <w:b w:val="0"/>
                <w:sz w:val="18"/>
              </w:rPr>
              <w:t>M7 — Isolation and recovery</w:t>
            </w:r>
          </w:p>
        </w:tc>
        <w:tc>
          <w:tcPr>
            <w:tcW w:type="dxa" w:w="2880"/>
            <w:vAlign w:val="top"/>
          </w:tcPr>
          <w:p>
            <w:pPr>
              <w:spacing w:after="0"/>
            </w:pPr>
            <w:r/>
            <w:r>
              <w:rPr>
                <w:b w:val="0"/>
                <w:sz w:val="18"/>
              </w:rPr>
              <w:t>Concurrent sessions and restart recovery preserve scope and identity.</w:t>
            </w:r>
          </w:p>
        </w:tc>
        <w:tc>
          <w:tcPr>
            <w:tcW w:type="dxa" w:w="2880"/>
            <w:vAlign w:val="top"/>
          </w:tcPr>
          <w:p>
            <w:pPr>
              <w:spacing w:after="0"/>
            </w:pPr>
            <w:r/>
            <w:r>
              <w:rPr>
                <w:b w:val="0"/>
                <w:sz w:val="18"/>
              </w:rPr>
              <w:t>No state leakage; restored environment associations are re-evaluated rather than assumed current.</w:t>
            </w:r>
          </w:p>
        </w:tc>
      </w:tr>
      <w:tr>
        <w:trPr>
          <w:cantSplit w:val="true"/>
          <w:cantSplit/>
        </w:trPr>
        <w:tc>
          <w:tcPr>
            <w:tcW w:type="dxa" w:w="2880"/>
            <w:vAlign w:val="top"/>
          </w:tcPr>
          <w:p>
            <w:pPr>
              <w:spacing w:after="0"/>
            </w:pPr>
            <w:r/>
            <w:r>
              <w:rPr>
                <w:b w:val="0"/>
                <w:sz w:val="18"/>
              </w:rPr>
              <w:t>M8 — Reference release candidate</w:t>
            </w:r>
          </w:p>
        </w:tc>
        <w:tc>
          <w:tcPr>
            <w:tcW w:type="dxa" w:w="2880"/>
            <w:vAlign w:val="top"/>
          </w:tcPr>
          <w:p>
            <w:pPr>
              <w:spacing w:after="0"/>
            </w:pPr>
            <w:r/>
            <w:r>
              <w:rPr>
                <w:b w:val="0"/>
                <w:sz w:val="18"/>
              </w:rPr>
              <w:t>The end-to-end v0.1 pathway and limitations are documented and repeatably tested.</w:t>
            </w:r>
          </w:p>
        </w:tc>
        <w:tc>
          <w:tcPr>
            <w:tcW w:type="dxa" w:w="2880"/>
            <w:vAlign w:val="top"/>
          </w:tcPr>
          <w:p>
            <w:pPr>
              <w:spacing w:after="0"/>
            </w:pPr>
            <w:r/>
            <w:r>
              <w:rPr>
                <w:b w:val="0"/>
                <w:sz w:val="18"/>
              </w:rPr>
              <w:t>Architecture, specification traceability, and conformance disclosure are reviewable together.</w:t>
            </w:r>
          </w:p>
        </w:tc>
      </w:tr>
    </w:tbl>
    <w:p>
      <w:pPr>
        <w:pStyle w:val="Heading2"/>
        <w:keepNext/>
      </w:pPr>
      <w:r>
        <w:t>9.5 Architectural Invariants for Continuous Review</w:t>
      </w:r>
    </w:p>
    <w:p>
      <w:pPr>
        <w:spacing w:after="80" w:line="252" w:lineRule="auto"/>
      </w:pPr>
      <w:r>
        <w:t>During implementation, code reviews and milestone demonstrations should repeatedly ask whether the following architecture remains visible:</w:t>
      </w:r>
    </w:p>
    <w:p>
      <w:pPr>
        <w:pStyle w:val="ListBullet"/>
        <w:spacing w:after="40"/>
      </w:pPr>
      <w:r>
        <w:t>A publication is acquired and represented read-only; no write path reaches publication content.</w:t>
      </w:r>
    </w:p>
    <w:p>
      <w:pPr>
        <w:pStyle w:val="ListBullet"/>
        <w:spacing w:after="40"/>
      </w:pPr>
      <w:r>
        <w:t>One Active Operational Context belongs to one session and one active publication.</w:t>
      </w:r>
    </w:p>
    <w:p>
      <w:pPr>
        <w:pStyle w:val="ListBullet"/>
        <w:spacing w:after="40"/>
      </w:pPr>
      <w:r>
        <w:t>Publication Truth, PC3 Interpretation, Runtime Observation, and Execution Evidence remain distinguishable.</w:t>
      </w:r>
    </w:p>
    <w:p>
      <w:pPr>
        <w:pStyle w:val="ListBullet"/>
        <w:spacing w:after="40"/>
      </w:pPr>
      <w:r>
        <w:t>The Executable Realization Matrix remains a projection and does not become a second operational model.</w:t>
      </w:r>
    </w:p>
    <w:p>
      <w:pPr>
        <w:pStyle w:val="ListBullet"/>
        <w:spacing w:after="40"/>
      </w:pPr>
      <w:r>
        <w:t>Selection remains separate from exercise.</w:t>
      </w:r>
    </w:p>
    <w:p>
      <w:pPr>
        <w:pStyle w:val="ListBullet"/>
        <w:spacing w:after="40"/>
      </w:pPr>
      <w:r>
        <w:t>Each Exercise Attempt preserves the context applicable when it was created.</w:t>
      </w:r>
    </w:p>
    <w:p>
      <w:pPr>
        <w:pStyle w:val="ListBullet"/>
        <w:spacing w:after="40"/>
      </w:pPr>
      <w:r>
        <w:t>PC3 coordinates invocation but does not perform or silently alter the published computation.</w:t>
      </w:r>
    </w:p>
    <w:p>
      <w:pPr>
        <w:pStyle w:val="ListBullet"/>
        <w:spacing w:after="40"/>
      </w:pPr>
      <w:r>
        <w:t>The selected realization pathway is never bypassed and another realization is never silently substituted.</w:t>
      </w:r>
    </w:p>
    <w:p>
      <w:pPr>
        <w:pStyle w:val="ListBullet"/>
        <w:spacing w:after="40"/>
      </w:pPr>
      <w:r>
        <w:t>Execution Environment Coordination owns PC3-side associations; external providers retain infrastructure governance.</w:t>
      </w:r>
    </w:p>
    <w:p>
      <w:pPr>
        <w:pStyle w:val="ListBullet"/>
        <w:spacing w:after="40"/>
      </w:pPr>
      <w:r>
        <w:t>Runtime Observations remain source-aware, append-oriented, and correctly associated.</w:t>
      </w:r>
    </w:p>
    <w:p>
      <w:pPr>
        <w:pStyle w:val="ListBullet"/>
        <w:spacing w:after="40"/>
      </w:pPr>
      <w:r>
        <w:t>Execution Evidence is created only after explicit request, from one fixed attempt snapshot, and remains immutable.</w:t>
      </w:r>
    </w:p>
    <w:p>
      <w:pPr>
        <w:pStyle w:val="ListBullet"/>
        <w:spacing w:after="40"/>
      </w:pPr>
      <w:r>
        <w:t>Evidence composition, serialization, integrity, signing, verification, and export remain separate responsibilities.</w:t>
      </w:r>
    </w:p>
    <w:p>
      <w:pPr>
        <w:pStyle w:val="ListBullet"/>
        <w:spacing w:after="40"/>
      </w:pPr>
      <w:r>
        <w:t>Secrets and signing material remain outside ordinary domain records, observations, logs, and evidence.</w:t>
      </w:r>
    </w:p>
    <w:p>
      <w:pPr>
        <w:pStyle w:val="ListBullet"/>
        <w:spacing w:after="40"/>
      </w:pPr>
      <w:r>
        <w:t>Conformance information remains tied to the exact implementation and version and separate from exercise outcomes.</w:t>
      </w:r>
    </w:p>
    <w:p>
      <w:pPr>
        <w:spacing w:after="80" w:line="252" w:lineRule="auto"/>
      </w:pPr>
      <w:r>
        <w:t>These are blueprint review prompts. Their normative basis, where applicable, remains in the PC3 specification.</w:t>
      </w:r>
    </w:p>
    <w:p>
      <w:pPr>
        <w:pStyle w:val="Heading2"/>
        <w:keepNext/>
      </w:pPr>
      <w:r>
        <w:t>9.6 Testing Priorities</w:t>
      </w:r>
    </w:p>
    <w:p>
      <w:pPr>
        <w:spacing w:after="80" w:line="252" w:lineRule="auto"/>
      </w:pPr>
      <w:r>
        <w:t>Testing should first prove architectural boundaries, then broaden functional coverage.</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val="true"/>
          <w:tblHeader w:val="true"/>
          <w:cantSplit/>
        </w:trPr>
        <w:tc>
          <w:tcPr>
            <w:tcW w:type="dxa" w:w="2880"/>
            <w:vAlign w:val="top"/>
            <w:shd w:fill="D9E2F3"/>
          </w:tcPr>
          <w:p>
            <w:pPr>
              <w:spacing w:after="0"/>
            </w:pPr>
            <w:r/>
            <w:r>
              <w:rPr>
                <w:b/>
                <w:sz w:val="18"/>
              </w:rPr>
              <w:t>Priority</w:t>
            </w:r>
          </w:p>
        </w:tc>
        <w:tc>
          <w:tcPr>
            <w:tcW w:type="dxa" w:w="2880"/>
            <w:vAlign w:val="top"/>
            <w:shd w:fill="D9E2F3"/>
          </w:tcPr>
          <w:p>
            <w:pPr>
              <w:spacing w:after="0"/>
            </w:pPr>
            <w:r/>
            <w:r>
              <w:rPr>
                <w:b/>
                <w:sz w:val="18"/>
              </w:rPr>
              <w:t>What to prove first</w:t>
            </w:r>
          </w:p>
        </w:tc>
        <w:tc>
          <w:tcPr>
            <w:tcW w:type="dxa" w:w="2880"/>
            <w:vAlign w:val="top"/>
            <w:shd w:fill="D9E2F3"/>
          </w:tcPr>
          <w:p>
            <w:pPr>
              <w:spacing w:after="0"/>
            </w:pPr>
            <w:r/>
            <w:r>
              <w:rPr>
                <w:b/>
                <w:sz w:val="18"/>
              </w:rPr>
              <w:t>Representative checks</w:t>
            </w:r>
          </w:p>
        </w:tc>
      </w:tr>
      <w:tr>
        <w:trPr>
          <w:cantSplit w:val="true"/>
          <w:cantSplit/>
        </w:trPr>
        <w:tc>
          <w:tcPr>
            <w:tcW w:type="dxa" w:w="2880"/>
            <w:vAlign w:val="top"/>
          </w:tcPr>
          <w:p>
            <w:pPr>
              <w:spacing w:after="0"/>
            </w:pPr>
            <w:r/>
            <w:r>
              <w:rPr>
                <w:b w:val="0"/>
                <w:sz w:val="18"/>
              </w:rPr>
              <w:t>1 — Boundary safety</w:t>
            </w:r>
          </w:p>
        </w:tc>
        <w:tc>
          <w:tcPr>
            <w:tcW w:type="dxa" w:w="2880"/>
            <w:vAlign w:val="top"/>
          </w:tcPr>
          <w:p>
            <w:pPr>
              <w:spacing w:after="0"/>
            </w:pPr>
            <w:r/>
            <w:r>
              <w:rPr>
                <w:b w:val="0"/>
                <w:sz w:val="18"/>
              </w:rPr>
              <w:t>Publication immutability, session/publication isolation, no realization substitution</w:t>
            </w:r>
          </w:p>
        </w:tc>
        <w:tc>
          <w:tcPr>
            <w:tcW w:type="dxa" w:w="2880"/>
            <w:vAlign w:val="top"/>
          </w:tcPr>
          <w:p>
            <w:pPr>
              <w:spacing w:after="0"/>
            </w:pPr>
            <w:r/>
            <w:r>
              <w:rPr>
                <w:b w:val="0"/>
                <w:sz w:val="18"/>
              </w:rPr>
              <w:t>Read-only source contract; replacement isolation; unsupported pathway; no write-capable adapter</w:t>
            </w:r>
          </w:p>
        </w:tc>
      </w:tr>
      <w:tr>
        <w:trPr>
          <w:cantSplit w:val="true"/>
          <w:cantSplit/>
        </w:trPr>
        <w:tc>
          <w:tcPr>
            <w:tcW w:type="dxa" w:w="2880"/>
            <w:vAlign w:val="top"/>
          </w:tcPr>
          <w:p>
            <w:pPr>
              <w:spacing w:after="0"/>
            </w:pPr>
            <w:r/>
            <w:r>
              <w:rPr>
                <w:b w:val="0"/>
                <w:sz w:val="18"/>
              </w:rPr>
              <w:t>2 — Correlation</w:t>
            </w:r>
          </w:p>
        </w:tc>
        <w:tc>
          <w:tcPr>
            <w:tcW w:type="dxa" w:w="2880"/>
            <w:vAlign w:val="top"/>
          </w:tcPr>
          <w:p>
            <w:pPr>
              <w:spacing w:after="0"/>
            </w:pPr>
            <w:r/>
            <w:r>
              <w:rPr>
                <w:b w:val="0"/>
                <w:sz w:val="18"/>
              </w:rPr>
              <w:t>Every attempt, observation, environment response, and evidence item stays in scope</w:t>
            </w:r>
          </w:p>
        </w:tc>
        <w:tc>
          <w:tcPr>
            <w:tcW w:type="dxa" w:w="2880"/>
            <w:vAlign w:val="top"/>
          </w:tcPr>
          <w:p>
            <w:pPr>
              <w:spacing w:after="0"/>
            </w:pPr>
            <w:r/>
            <w:r>
              <w:rPr>
                <w:b w:val="0"/>
                <w:sz w:val="18"/>
              </w:rPr>
              <w:t>Late response; concurrent attempts; stale active context; restart correlation</w:t>
            </w:r>
          </w:p>
        </w:tc>
      </w:tr>
      <w:tr>
        <w:trPr>
          <w:cantSplit w:val="true"/>
          <w:cantSplit/>
        </w:trPr>
        <w:tc>
          <w:tcPr>
            <w:tcW w:type="dxa" w:w="2880"/>
            <w:vAlign w:val="top"/>
          </w:tcPr>
          <w:p>
            <w:pPr>
              <w:spacing w:after="0"/>
            </w:pPr>
            <w:r/>
            <w:r>
              <w:rPr>
                <w:b w:val="0"/>
                <w:sz w:val="18"/>
              </w:rPr>
              <w:t>3 — Externality</w:t>
            </w:r>
          </w:p>
        </w:tc>
        <w:tc>
          <w:tcPr>
            <w:tcW w:type="dxa" w:w="2880"/>
            <w:vAlign w:val="top"/>
          </w:tcPr>
          <w:p>
            <w:pPr>
              <w:spacing w:after="0"/>
            </w:pPr>
            <w:r/>
            <w:r>
              <w:rPr>
                <w:b w:val="0"/>
                <w:sz w:val="18"/>
              </w:rPr>
              <w:t>Environment and execution responsibilities remain outside PC3</w:t>
            </w:r>
          </w:p>
        </w:tc>
        <w:tc>
          <w:tcPr>
            <w:tcW w:type="dxa" w:w="2880"/>
            <w:vAlign w:val="top"/>
          </w:tcPr>
          <w:p>
            <w:pPr>
              <w:spacing w:after="0"/>
            </w:pPr>
            <w:r/>
            <w:r>
              <w:rPr>
                <w:b w:val="0"/>
                <w:sz w:val="18"/>
              </w:rPr>
              <w:t>Fake and real connector contracts; release request vs. observed outcome; credential isolation</w:t>
            </w:r>
          </w:p>
        </w:tc>
      </w:tr>
      <w:tr>
        <w:trPr>
          <w:cantSplit w:val="true"/>
          <w:cantSplit/>
        </w:trPr>
        <w:tc>
          <w:tcPr>
            <w:tcW w:type="dxa" w:w="2880"/>
            <w:vAlign w:val="top"/>
          </w:tcPr>
          <w:p>
            <w:pPr>
              <w:spacing w:after="0"/>
            </w:pPr>
            <w:r/>
            <w:r>
              <w:rPr>
                <w:b w:val="0"/>
                <w:sz w:val="18"/>
              </w:rPr>
              <w:t>4 — Evidence integrity</w:t>
            </w:r>
          </w:p>
        </w:tc>
        <w:tc>
          <w:tcPr>
            <w:tcW w:type="dxa" w:w="2880"/>
            <w:vAlign w:val="top"/>
          </w:tcPr>
          <w:p>
            <w:pPr>
              <w:spacing w:after="0"/>
            </w:pPr>
            <w:r/>
            <w:r>
              <w:rPr>
                <w:b w:val="0"/>
                <w:sz w:val="18"/>
              </w:rPr>
              <w:t>Evidence reflects one fixed attempt and remains stable</w:t>
            </w:r>
          </w:p>
        </w:tc>
        <w:tc>
          <w:tcPr>
            <w:tcW w:type="dxa" w:w="2880"/>
            <w:vAlign w:val="top"/>
          </w:tcPr>
          <w:p>
            <w:pPr>
              <w:spacing w:after="0"/>
            </w:pPr>
            <w:r/>
            <w:r>
              <w:rPr>
                <w:b w:val="0"/>
                <w:sz w:val="18"/>
              </w:rPr>
              <w:t>Later observation; repeated generation; export failure; integrity/origin separation</w:t>
            </w:r>
          </w:p>
        </w:tc>
      </w:tr>
      <w:tr>
        <w:trPr>
          <w:cantSplit w:val="true"/>
          <w:cantSplit/>
        </w:trPr>
        <w:tc>
          <w:tcPr>
            <w:tcW w:type="dxa" w:w="2880"/>
            <w:vAlign w:val="top"/>
          </w:tcPr>
          <w:p>
            <w:pPr>
              <w:spacing w:after="0"/>
            </w:pPr>
            <w:r/>
            <w:r>
              <w:rPr>
                <w:b w:val="0"/>
                <w:sz w:val="18"/>
              </w:rPr>
              <w:t>5 — Exceptional transparency</w:t>
            </w:r>
          </w:p>
        </w:tc>
        <w:tc>
          <w:tcPr>
            <w:tcW w:type="dxa" w:w="2880"/>
            <w:vAlign w:val="top"/>
          </w:tcPr>
          <w:p>
            <w:pPr>
              <w:spacing w:after="0"/>
            </w:pPr>
            <w:r/>
            <w:r>
              <w:rPr>
                <w:b w:val="0"/>
                <w:sz w:val="18"/>
              </w:rPr>
              <w:t>Blocked, failed, interrupted, timed-out, and indeterminate situations remain explainable</w:t>
            </w:r>
          </w:p>
        </w:tc>
        <w:tc>
          <w:tcPr>
            <w:tcW w:type="dxa" w:w="2880"/>
            <w:vAlign w:val="top"/>
          </w:tcPr>
          <w:p>
            <w:pPr>
              <w:spacing w:after="0"/>
            </w:pPr>
            <w:r/>
            <w:r>
              <w:rPr>
                <w:b w:val="0"/>
                <w:sz w:val="18"/>
              </w:rPr>
              <w:t>Provider outage; unsupported adapter; cancellation request; timeout; incomplete observations</w:t>
            </w:r>
          </w:p>
        </w:tc>
      </w:tr>
      <w:tr>
        <w:trPr>
          <w:cantSplit w:val="true"/>
          <w:cantSplit/>
        </w:trPr>
        <w:tc>
          <w:tcPr>
            <w:tcW w:type="dxa" w:w="2880"/>
            <w:vAlign w:val="top"/>
          </w:tcPr>
          <w:p>
            <w:pPr>
              <w:spacing w:after="0"/>
            </w:pPr>
            <w:r/>
            <w:r>
              <w:rPr>
                <w:b w:val="0"/>
                <w:sz w:val="18"/>
              </w:rPr>
              <w:t>6 — Broader coverage</w:t>
            </w:r>
          </w:p>
        </w:tc>
        <w:tc>
          <w:tcPr>
            <w:tcW w:type="dxa" w:w="2880"/>
            <w:vAlign w:val="top"/>
          </w:tcPr>
          <w:p>
            <w:pPr>
              <w:spacing w:after="0"/>
            </w:pPr>
            <w:r/>
            <w:r>
              <w:rPr>
                <w:b w:val="0"/>
                <w:sz w:val="18"/>
              </w:rPr>
              <w:t>Additional realizations, connectors, serializers, and production behavior</w:t>
            </w:r>
          </w:p>
        </w:tc>
        <w:tc>
          <w:tcPr>
            <w:tcW w:type="dxa" w:w="2880"/>
            <w:vAlign w:val="top"/>
          </w:tcPr>
          <w:p>
            <w:pPr>
              <w:spacing w:after="0"/>
            </w:pPr>
            <w:r/>
            <w:r>
              <w:rPr>
                <w:b w:val="0"/>
                <w:sz w:val="18"/>
              </w:rPr>
              <w:t>Only after the reference pathway and boundaries are stable</w:t>
            </w:r>
          </w:p>
        </w:tc>
      </w:tr>
    </w:tbl>
    <w:p>
      <w:pPr>
        <w:spacing w:after="80" w:line="252" w:lineRule="auto"/>
      </w:pPr>
      <w:r>
        <w:t>Use deterministic identifiers and clocks, strong fakes, connector and adapter contract tests, component tests around ownership boundaries, and a small number of end-to-end tests against the real reference path.</w:t>
      </w:r>
    </w:p>
    <w:p>
      <w:pPr>
        <w:pStyle w:val="Heading2"/>
        <w:keepNext/>
      </w:pPr>
      <w:r>
        <w:t>9.7 Common Implementation Mistakes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val="true"/>
          <w:tblHeader w:val="true"/>
          <w:cantSplit/>
        </w:trPr>
        <w:tc>
          <w:tcPr>
            <w:tcW w:type="dxa" w:w="2880"/>
            <w:vAlign w:val="top"/>
            <w:shd w:fill="D9E2F3"/>
          </w:tcPr>
          <w:p>
            <w:pPr>
              <w:spacing w:after="0"/>
            </w:pPr>
            <w:r/>
            <w:r>
              <w:rPr>
                <w:b/>
                <w:sz w:val="18"/>
              </w:rPr>
              <w:t>Mistake</w:t>
            </w:r>
          </w:p>
        </w:tc>
        <w:tc>
          <w:tcPr>
            <w:tcW w:type="dxa" w:w="2880"/>
            <w:vAlign w:val="top"/>
            <w:shd w:fill="D9E2F3"/>
          </w:tcPr>
          <w:p>
            <w:pPr>
              <w:spacing w:after="0"/>
            </w:pPr>
            <w:r/>
            <w:r>
              <w:rPr>
                <w:b/>
                <w:sz w:val="18"/>
              </w:rPr>
              <w:t>Architectural consequence</w:t>
            </w:r>
          </w:p>
        </w:tc>
        <w:tc>
          <w:tcPr>
            <w:tcW w:type="dxa" w:w="2880"/>
            <w:vAlign w:val="top"/>
            <w:shd w:fill="D9E2F3"/>
          </w:tcPr>
          <w:p>
            <w:pPr>
              <w:spacing w:after="0"/>
            </w:pPr>
            <w:r/>
            <w:r>
              <w:rPr>
                <w:b/>
                <w:sz w:val="18"/>
              </w:rPr>
              <w:t>Preferred correction</w:t>
            </w:r>
          </w:p>
        </w:tc>
      </w:tr>
      <w:tr>
        <w:trPr>
          <w:cantSplit w:val="true"/>
          <w:cantSplit/>
        </w:trPr>
        <w:tc>
          <w:tcPr>
            <w:tcW w:type="dxa" w:w="2880"/>
            <w:vAlign w:val="top"/>
          </w:tcPr>
          <w:p>
            <w:pPr>
              <w:spacing w:after="0"/>
            </w:pPr>
            <w:r/>
            <w:r>
              <w:rPr>
                <w:b w:val="0"/>
                <w:sz w:val="18"/>
              </w:rPr>
              <w:t>Treating the publication as a workspace</w:t>
            </w:r>
          </w:p>
        </w:tc>
        <w:tc>
          <w:tcPr>
            <w:tcW w:type="dxa" w:w="2880"/>
            <w:vAlign w:val="top"/>
          </w:tcPr>
          <w:p>
            <w:pPr>
              <w:spacing w:after="0"/>
            </w:pPr>
            <w:r/>
            <w:r>
              <w:rPr>
                <w:b w:val="0"/>
                <w:sz w:val="18"/>
              </w:rPr>
              <w:t>Publication Truth becomes mutable and runtime residue can leak into the publication.</w:t>
            </w:r>
          </w:p>
        </w:tc>
        <w:tc>
          <w:tcPr>
            <w:tcW w:type="dxa" w:w="2880"/>
            <w:vAlign w:val="top"/>
          </w:tcPr>
          <w:p>
            <w:pPr>
              <w:spacing w:after="0"/>
            </w:pPr>
            <w:r/>
            <w:r>
              <w:rPr>
                <w:b w:val="0"/>
                <w:sz w:val="18"/>
              </w:rPr>
              <w:t>Expose publication resources only through read-only source boundaries.</w:t>
            </w:r>
          </w:p>
        </w:tc>
      </w:tr>
      <w:tr>
        <w:trPr>
          <w:cantSplit w:val="true"/>
          <w:cantSplit/>
        </w:trPr>
        <w:tc>
          <w:tcPr>
            <w:tcW w:type="dxa" w:w="2880"/>
            <w:vAlign w:val="top"/>
          </w:tcPr>
          <w:p>
            <w:pPr>
              <w:spacing w:after="0"/>
            </w:pPr>
            <w:r/>
            <w:r>
              <w:rPr>
                <w:b w:val="0"/>
                <w:sz w:val="18"/>
              </w:rPr>
              <w:t>Putting provider SDK calls in presentation or engagement code</w:t>
            </w:r>
          </w:p>
        </w:tc>
        <w:tc>
          <w:tcPr>
            <w:tcW w:type="dxa" w:w="2880"/>
            <w:vAlign w:val="top"/>
          </w:tcPr>
          <w:p>
            <w:pPr>
              <w:spacing w:after="0"/>
            </w:pPr>
            <w:r/>
            <w:r>
              <w:rPr>
                <w:b w:val="0"/>
                <w:sz w:val="18"/>
              </w:rPr>
              <w:t>Environment governance and provider variation spread through the core.</w:t>
            </w:r>
          </w:p>
        </w:tc>
        <w:tc>
          <w:tcPr>
            <w:tcW w:type="dxa" w:w="2880"/>
            <w:vAlign w:val="top"/>
          </w:tcPr>
          <w:p>
            <w:pPr>
              <w:spacing w:after="0"/>
            </w:pPr>
            <w:r/>
            <w:r>
              <w:rPr>
                <w:b w:val="0"/>
                <w:sz w:val="18"/>
              </w:rPr>
              <w:t>Route provider interactions through Execution Environment Coordination and connectors.</w:t>
            </w:r>
          </w:p>
        </w:tc>
      </w:tr>
      <w:tr>
        <w:trPr>
          <w:cantSplit w:val="true"/>
          <w:cantSplit/>
        </w:trPr>
        <w:tc>
          <w:tcPr>
            <w:tcW w:type="dxa" w:w="2880"/>
            <w:vAlign w:val="top"/>
          </w:tcPr>
          <w:p>
            <w:pPr>
              <w:spacing w:after="0"/>
            </w:pPr>
            <w:r/>
            <w:r>
              <w:rPr>
                <w:b w:val="0"/>
                <w:sz w:val="18"/>
              </w:rPr>
              <w:t>Using the Matrix as mutable domain state</w:t>
            </w:r>
          </w:p>
        </w:tc>
        <w:tc>
          <w:tcPr>
            <w:tcW w:type="dxa" w:w="2880"/>
            <w:vAlign w:val="top"/>
          </w:tcPr>
          <w:p>
            <w:pPr>
              <w:spacing w:after="0"/>
            </w:pPr>
            <w:r/>
            <w:r>
              <w:rPr>
                <w:b w:val="0"/>
                <w:sz w:val="18"/>
              </w:rPr>
              <w:t>A view becomes an alternate source of publication meaning.</w:t>
            </w:r>
          </w:p>
        </w:tc>
        <w:tc>
          <w:tcPr>
            <w:tcW w:type="dxa" w:w="2880"/>
            <w:vAlign w:val="top"/>
          </w:tcPr>
          <w:p>
            <w:pPr>
              <w:spacing w:after="0"/>
            </w:pPr>
            <w:r/>
            <w:r>
              <w:rPr>
                <w:b w:val="0"/>
                <w:sz w:val="18"/>
              </w:rPr>
              <w:t>Rebuild the Matrix from the IOR and current operational context.</w:t>
            </w:r>
          </w:p>
        </w:tc>
      </w:tr>
      <w:tr>
        <w:trPr>
          <w:cantSplit w:val="true"/>
          <w:cantSplit/>
        </w:trPr>
        <w:tc>
          <w:tcPr>
            <w:tcW w:type="dxa" w:w="2880"/>
            <w:vAlign w:val="top"/>
          </w:tcPr>
          <w:p>
            <w:pPr>
              <w:spacing w:after="0"/>
            </w:pPr>
            <w:r/>
            <w:r>
              <w:rPr>
                <w:b w:val="0"/>
                <w:sz w:val="18"/>
              </w:rPr>
              <w:t>Using shared global active state</w:t>
            </w:r>
          </w:p>
        </w:tc>
        <w:tc>
          <w:tcPr>
            <w:tcW w:type="dxa" w:w="2880"/>
            <w:vAlign w:val="top"/>
          </w:tcPr>
          <w:p>
            <w:pPr>
              <w:spacing w:after="0"/>
            </w:pPr>
            <w:r/>
            <w:r>
              <w:rPr>
                <w:b w:val="0"/>
                <w:sz w:val="18"/>
              </w:rPr>
              <w:t>Sessions and publications can contaminate one another.</w:t>
            </w:r>
          </w:p>
        </w:tc>
        <w:tc>
          <w:tcPr>
            <w:tcW w:type="dxa" w:w="2880"/>
            <w:vAlign w:val="top"/>
          </w:tcPr>
          <w:p>
            <w:pPr>
              <w:spacing w:after="0"/>
            </w:pPr>
            <w:r/>
            <w:r>
              <w:rPr>
                <w:b w:val="0"/>
                <w:sz w:val="18"/>
              </w:rPr>
              <w:t>Require explicit session and active-context scope at state-changing boundaries.</w:t>
            </w:r>
          </w:p>
        </w:tc>
      </w:tr>
      <w:tr>
        <w:trPr>
          <w:cantSplit w:val="true"/>
          <w:cantSplit/>
        </w:trPr>
        <w:tc>
          <w:tcPr>
            <w:tcW w:type="dxa" w:w="2880"/>
            <w:vAlign w:val="top"/>
          </w:tcPr>
          <w:p>
            <w:pPr>
              <w:spacing w:after="0"/>
            </w:pPr>
            <w:r/>
            <w:r>
              <w:rPr>
                <w:b w:val="0"/>
                <w:sz w:val="18"/>
              </w:rPr>
              <w:t>Letting adapters repair or substitute realizations</w:t>
            </w:r>
          </w:p>
        </w:tc>
        <w:tc>
          <w:tcPr>
            <w:tcW w:type="dxa" w:w="2880"/>
            <w:vAlign w:val="top"/>
          </w:tcPr>
          <w:p>
            <w:pPr>
              <w:spacing w:after="0"/>
            </w:pPr>
            <w:r/>
            <w:r>
              <w:rPr>
                <w:b w:val="0"/>
                <w:sz w:val="18"/>
              </w:rPr>
              <w:t>The selected publication pathway is no longer faithfully exercised.</w:t>
            </w:r>
          </w:p>
        </w:tc>
        <w:tc>
          <w:tcPr>
            <w:tcW w:type="dxa" w:w="2880"/>
            <w:vAlign w:val="top"/>
          </w:tcPr>
          <w:p>
            <w:pPr>
              <w:spacing w:after="0"/>
            </w:pPr>
            <w:r/>
            <w:r>
              <w:rPr>
                <w:b w:val="0"/>
                <w:sz w:val="18"/>
              </w:rPr>
              <w:t>Report unsupported or failed conditions without changing the realization.</w:t>
            </w:r>
          </w:p>
        </w:tc>
      </w:tr>
      <w:tr>
        <w:trPr>
          <w:cantSplit w:val="true"/>
          <w:cantSplit/>
        </w:trPr>
        <w:tc>
          <w:tcPr>
            <w:tcW w:type="dxa" w:w="2880"/>
            <w:vAlign w:val="top"/>
          </w:tcPr>
          <w:p>
            <w:pPr>
              <w:spacing w:after="0"/>
            </w:pPr>
            <w:r/>
            <w:r>
              <w:rPr>
                <w:b w:val="0"/>
                <w:sz w:val="18"/>
              </w:rPr>
              <w:t>Using raw logs as Runtime Observations</w:t>
            </w:r>
          </w:p>
        </w:tc>
        <w:tc>
          <w:tcPr>
            <w:tcW w:type="dxa" w:w="2880"/>
            <w:vAlign w:val="top"/>
          </w:tcPr>
          <w:p>
            <w:pPr>
              <w:spacing w:after="0"/>
            </w:pPr>
            <w:r/>
            <w:r>
              <w:rPr>
                <w:b w:val="0"/>
                <w:sz w:val="18"/>
              </w:rPr>
              <w:t>Source, subject, and attempt meaning become unreliable.</w:t>
            </w:r>
          </w:p>
        </w:tc>
        <w:tc>
          <w:tcPr>
            <w:tcW w:type="dxa" w:w="2880"/>
            <w:vAlign w:val="top"/>
          </w:tcPr>
          <w:p>
            <w:pPr>
              <w:spacing w:after="0"/>
            </w:pPr>
            <w:r/>
            <w:r>
              <w:rPr>
                <w:b w:val="0"/>
                <w:sz w:val="18"/>
              </w:rPr>
              <w:t>Promote only material events through the observation boundary.</w:t>
            </w:r>
          </w:p>
        </w:tc>
      </w:tr>
      <w:tr>
        <w:trPr>
          <w:cantSplit w:val="true"/>
          <w:cantSplit/>
        </w:trPr>
        <w:tc>
          <w:tcPr>
            <w:tcW w:type="dxa" w:w="2880"/>
            <w:vAlign w:val="top"/>
          </w:tcPr>
          <w:p>
            <w:pPr>
              <w:spacing w:after="0"/>
            </w:pPr>
            <w:r/>
            <w:r>
              <w:rPr>
                <w:b w:val="0"/>
                <w:sz w:val="18"/>
              </w:rPr>
              <w:t>Generating evidence from current UI state</w:t>
            </w:r>
          </w:p>
        </w:tc>
        <w:tc>
          <w:tcPr>
            <w:tcW w:type="dxa" w:w="2880"/>
            <w:vAlign w:val="top"/>
          </w:tcPr>
          <w:p>
            <w:pPr>
              <w:spacing w:after="0"/>
            </w:pPr>
            <w:r/>
            <w:r>
              <w:rPr>
                <w:b w:val="0"/>
                <w:sz w:val="18"/>
              </w:rPr>
              <w:t>Evidence can capture the wrong attempt or later changes.</w:t>
            </w:r>
          </w:p>
        </w:tc>
        <w:tc>
          <w:tcPr>
            <w:tcW w:type="dxa" w:w="2880"/>
            <w:vAlign w:val="top"/>
          </w:tcPr>
          <w:p>
            <w:pPr>
              <w:spacing w:after="0"/>
            </w:pPr>
            <w:r/>
            <w:r>
              <w:rPr>
                <w:b w:val="0"/>
                <w:sz w:val="18"/>
              </w:rPr>
              <w:t>Generate from a fixed attempt-oriented snapshot.</w:t>
            </w:r>
          </w:p>
        </w:tc>
      </w:tr>
      <w:tr>
        <w:trPr>
          <w:cantSplit w:val="true"/>
          <w:cantSplit/>
        </w:trPr>
        <w:tc>
          <w:tcPr>
            <w:tcW w:type="dxa" w:w="2880"/>
            <w:vAlign w:val="top"/>
          </w:tcPr>
          <w:p>
            <w:pPr>
              <w:spacing w:after="0"/>
            </w:pPr>
            <w:r/>
            <w:r>
              <w:rPr>
                <w:b w:val="0"/>
                <w:sz w:val="18"/>
              </w:rPr>
              <w:t>Combining integrity and signing</w:t>
            </w:r>
          </w:p>
        </w:tc>
        <w:tc>
          <w:tcPr>
            <w:tcW w:type="dxa" w:w="2880"/>
            <w:vAlign w:val="top"/>
          </w:tcPr>
          <w:p>
            <w:pPr>
              <w:spacing w:after="0"/>
            </w:pPr>
            <w:r/>
            <w:r>
              <w:rPr>
                <w:b w:val="0"/>
                <w:sz w:val="18"/>
              </w:rPr>
              <w:t>A digest may be misrepresented as proof of origin.</w:t>
            </w:r>
          </w:p>
        </w:tc>
        <w:tc>
          <w:tcPr>
            <w:tcW w:type="dxa" w:w="2880"/>
            <w:vAlign w:val="top"/>
          </w:tcPr>
          <w:p>
            <w:pPr>
              <w:spacing w:after="0"/>
            </w:pPr>
            <w:r/>
            <w:r>
              <w:rPr>
                <w:b w:val="0"/>
                <w:sz w:val="18"/>
              </w:rPr>
              <w:t>Keep integrity protection and origin authentication separate.</w:t>
            </w:r>
          </w:p>
        </w:tc>
      </w:tr>
      <w:tr>
        <w:trPr>
          <w:cantSplit w:val="true"/>
          <w:cantSplit/>
        </w:trPr>
        <w:tc>
          <w:tcPr>
            <w:tcW w:type="dxa" w:w="2880"/>
            <w:vAlign w:val="top"/>
          </w:tcPr>
          <w:p>
            <w:pPr>
              <w:spacing w:after="0"/>
            </w:pPr>
            <w:r/>
            <w:r>
              <w:rPr>
                <w:b w:val="0"/>
                <w:sz w:val="18"/>
              </w:rPr>
              <w:t>Persisting provider control state as PC3 authority</w:t>
            </w:r>
          </w:p>
        </w:tc>
        <w:tc>
          <w:tcPr>
            <w:tcW w:type="dxa" w:w="2880"/>
            <w:vAlign w:val="top"/>
          </w:tcPr>
          <w:p>
            <w:pPr>
              <w:spacing w:after="0"/>
            </w:pPr>
            <w:r/>
            <w:r>
              <w:rPr>
                <w:b w:val="0"/>
                <w:sz w:val="18"/>
              </w:rPr>
              <w:t>Historical or cached state can be mistaken for current environment truth.</w:t>
            </w:r>
          </w:p>
        </w:tc>
        <w:tc>
          <w:tcPr>
            <w:tcW w:type="dxa" w:w="2880"/>
            <w:vAlign w:val="top"/>
          </w:tcPr>
          <w:p>
            <w:pPr>
              <w:spacing w:after="0"/>
            </w:pPr>
            <w:r/>
            <w:r>
              <w:rPr>
                <w:b w:val="0"/>
                <w:sz w:val="18"/>
              </w:rPr>
              <w:t>Retain PC3 associations and sourced observations; re-evaluate external state.</w:t>
            </w:r>
          </w:p>
        </w:tc>
      </w:tr>
      <w:tr>
        <w:trPr>
          <w:cantSplit w:val="true"/>
          <w:cantSplit/>
        </w:trPr>
        <w:tc>
          <w:tcPr>
            <w:tcW w:type="dxa" w:w="2880"/>
            <w:vAlign w:val="top"/>
          </w:tcPr>
          <w:p>
            <w:pPr>
              <w:spacing w:after="0"/>
            </w:pPr>
            <w:r/>
            <w:r>
              <w:rPr>
                <w:b w:val="0"/>
                <w:sz w:val="18"/>
              </w:rPr>
              <w:t>Prematurely distributing the modular monolith</w:t>
            </w:r>
          </w:p>
        </w:tc>
        <w:tc>
          <w:tcPr>
            <w:tcW w:type="dxa" w:w="2880"/>
            <w:vAlign w:val="top"/>
          </w:tcPr>
          <w:p>
            <w:pPr>
              <w:spacing w:after="0"/>
            </w:pPr>
            <w:r/>
            <w:r>
              <w:rPr>
                <w:b w:val="0"/>
                <w:sz w:val="18"/>
              </w:rPr>
              <w:t>Network and deployment complexity obscure unresolved ownership problems.</w:t>
            </w:r>
          </w:p>
        </w:tc>
        <w:tc>
          <w:tcPr>
            <w:tcW w:type="dxa" w:w="2880"/>
            <w:vAlign w:val="top"/>
          </w:tcPr>
          <w:p>
            <w:pPr>
              <w:spacing w:after="0"/>
            </w:pPr>
            <w:r/>
            <w:r>
              <w:rPr>
                <w:b w:val="0"/>
                <w:sz w:val="18"/>
              </w:rPr>
              <w:t>Separate processes only after logical boundaries are stable and tested.</w:t>
            </w:r>
          </w:p>
        </w:tc>
      </w:tr>
    </w:tbl>
    <w:p>
      <w:pPr>
        <w:pStyle w:val="Heading2"/>
        <w:keepNext/>
      </w:pPr>
      <w:r>
        <w:t>9.8 Implementation Decision Discipline</w:t>
      </w:r>
    </w:p>
    <w:p>
      <w:pPr>
        <w:spacing w:after="80" w:line="252" w:lineRule="auto"/>
      </w:pPr>
      <w:r>
        <w:t>Engineering decisions should be classified before they are documented or coded:</w:t>
      </w:r>
    </w:p>
    <w:p>
      <w:pPr>
        <w:pStyle w:val="ListBullet"/>
        <w:spacing w:after="40"/>
      </w:pPr>
      <w:r>
        <w:t>Specification question: what behavior or information is required? Resolve from the normative PC3 specification; do not answer it by extending the blueprint.</w:t>
      </w:r>
    </w:p>
    <w:p>
      <w:pPr>
        <w:pStyle w:val="ListBullet"/>
        <w:spacing w:after="40"/>
      </w:pPr>
      <w:r>
        <w:t>Architecture question: which component should own the responsibility and where should the boundary sit? Use this blueprint.</w:t>
      </w:r>
    </w:p>
    <w:p>
      <w:pPr>
        <w:pStyle w:val="ListBullet"/>
        <w:spacing w:after="40"/>
      </w:pPr>
      <w:r>
        <w:t>Technical-design question: which schema, protocol, framework, algorithm, database, or deployment pattern will this implementation use? Record it in implementation-specific design artifacts.</w:t>
      </w:r>
    </w:p>
    <w:p>
      <w:pPr>
        <w:pStyle w:val="ListBullet"/>
        <w:spacing w:after="40"/>
      </w:pPr>
      <w:r>
        <w:t>Product-design question: how should the browser experience present the behavior? Resolve separately without moving domain ownership into presentation.</w:t>
      </w:r>
    </w:p>
    <w:p>
      <w:pPr>
        <w:spacing w:after="80" w:line="252" w:lineRule="auto"/>
      </w:pPr>
      <w:r>
        <w:t>When an implementation issue appears to require a new PC3 concept, state, field, or rule, pause engineering work and determine whether the issue reveals a specification gap. The blueprint should not be used to fill such a gap implicitly.</w:t>
      </w:r>
    </w:p>
    <w:p>
      <w:pPr>
        <w:pStyle w:val="Heading2"/>
        <w:keepNext/>
      </w:pPr>
      <w:r>
        <w:t>9.9 Implementation Readiness Checklist</w:t>
      </w:r>
    </w:p>
    <w:p>
      <w:pPr>
        <w:spacing w:after="80" w:line="252" w:lineRule="auto"/>
      </w:pPr>
      <w:r>
        <w:t>A team is ready to begin the v0.1 build when it has:</w:t>
      </w:r>
    </w:p>
    <w:p>
      <w:pPr>
        <w:pStyle w:val="ListBullet"/>
        <w:spacing w:after="40"/>
      </w:pPr>
      <w:r>
        <w:t>The exact PC3 specification baseline and this blueprint available to all contributors.</w:t>
      </w:r>
    </w:p>
    <w:p>
      <w:pPr>
        <w:pStyle w:val="ListBullet"/>
        <w:spacing w:after="40"/>
      </w:pPr>
      <w:r>
        <w:t>A selected UKO and one declared executable realization pathway for the reference slice.</w:t>
      </w:r>
    </w:p>
    <w:p>
      <w:pPr>
        <w:pStyle w:val="ListBullet"/>
        <w:spacing w:after="40"/>
      </w:pPr>
      <w:r>
        <w:t>One planned external environment integration and a fake connector for testing.</w:t>
      </w:r>
    </w:p>
    <w:p>
      <w:pPr>
        <w:pStyle w:val="ListBullet"/>
        <w:spacing w:after="40"/>
      </w:pPr>
      <w:r>
        <w:t>Named owners for publication, operation, environment, observation, evidence, conformance, infrastructure, and testing modules.</w:t>
      </w:r>
    </w:p>
    <w:p>
      <w:pPr>
        <w:pStyle w:val="ListBullet"/>
        <w:spacing w:after="40"/>
      </w:pPr>
      <w:r>
        <w:t>A repository structure enforcing dependency direction and preventing publication-specific logic in the core.</w:t>
      </w:r>
    </w:p>
    <w:p>
      <w:pPr>
        <w:pStyle w:val="ListBullet"/>
        <w:spacing w:after="40"/>
      </w:pPr>
      <w:r>
        <w:t>A lightweight specification-to-component-to-test traceability method.</w:t>
      </w:r>
    </w:p>
    <w:p>
      <w:pPr>
        <w:pStyle w:val="ListBullet"/>
        <w:spacing w:after="40"/>
      </w:pPr>
      <w:r>
        <w:t>A place for implementation-specific technical decisions that is explicitly subordinate to the specification and blueprint.</w:t>
      </w:r>
    </w:p>
    <w:p>
      <w:pPr>
        <w:pStyle w:val="ListBullet"/>
        <w:spacing w:after="40"/>
      </w:pPr>
      <w:r>
        <w:t>A milestone review process centered on the architectural invariants above.</w:t>
      </w:r>
    </w:p>
    <w:p>
      <w:pPr>
        <w:pStyle w:val="Heading2"/>
        <w:keepNext/>
      </w:pPr>
      <w:r>
        <w:t>9.10 BP9 Boundary and Completion Review</w:t>
      </w:r>
    </w:p>
    <w:p>
      <w:pPr>
        <w:spacing w:after="80" w:line="252" w:lineRule="auto"/>
      </w:pPr>
      <w:r>
        <w:t>BP9 adds implementation readiness guidance only. It does not add components, information objects, interfaces, state machines, required milestones, conformance criteria, or behavioral obligations. The work packages, milestones, tests, invariants, and warnings are recommended engineering aids for the Architectural Reference Implementation.</w:t>
      </w:r>
    </w:p>
    <w:p>
      <w:pPr>
        <w:spacing w:after="80" w:line="252" w:lineRule="auto"/>
      </w:pPr>
      <w:r>
        <w:t>Blueprint Pass 9 makes the consolidated architecture directly usable for beginning software development while preserving the decisive boundary: the blueprint organizes implementation, and the PC3 specification governs PC3 behavior and information.</w:t>
      </w:r>
    </w:p>
    <w:p>
      <w:pPr>
        <w:pStyle w:val="Heading1"/>
        <w:keepNext/>
        <w:spacing w:before="240" w:after="100"/>
      </w:pPr>
      <w:r>
        <w:t>10. Deferred Implementation-Specific Technical Design</w:t>
      </w:r>
    </w:p>
    <w:p>
      <w:pPr>
        <w:spacing w:after="80" w:line="252" w:lineRule="auto"/>
      </w:pPr>
      <w:r>
        <w:t>The following details may be necessary for a particular implementation but are intentionally excluded from this generic blueprint:</w:t>
      </w:r>
    </w:p>
    <w:p>
      <w:pPr>
        <w:pStyle w:val="ListBullet"/>
        <w:spacing w:after="40"/>
      </w:pPr>
      <w:r>
        <w:t>Concrete classes, methods, endpoints, commands, queries, events, and payload schemas.</w:t>
      </w:r>
    </w:p>
    <w:p>
      <w:pPr>
        <w:pStyle w:val="ListBullet"/>
        <w:spacing w:after="40"/>
      </w:pPr>
      <w:r>
        <w:t>Database, document, graph, event-store, cache, browser-storage, and object-storage schemas.</w:t>
      </w:r>
    </w:p>
    <w:p>
      <w:pPr>
        <w:pStyle w:val="ListBullet"/>
        <w:spacing w:after="40"/>
      </w:pPr>
      <w:r>
        <w:t>Detailed IOR schema, realization-pathway graph, and Exercise Attempt state machine.</w:t>
      </w:r>
    </w:p>
    <w:p>
      <w:pPr>
        <w:pStyle w:val="ListBullet"/>
        <w:spacing w:after="40"/>
      </w:pPr>
      <w:r>
        <w:t>Canonical status, condition, environment, observation, and verification vocabularies.</w:t>
      </w:r>
    </w:p>
    <w:p>
      <w:pPr>
        <w:pStyle w:val="ListBullet"/>
        <w:spacing w:after="40"/>
      </w:pPr>
      <w:r>
        <w:t>Connector and adapter method inventories, retry schedules, timeout values, provider protocols, and deployment APIs.</w:t>
      </w:r>
    </w:p>
    <w:p>
      <w:pPr>
        <w:pStyle w:val="ListBullet"/>
        <w:spacing w:after="40"/>
      </w:pPr>
      <w:r>
        <w:t>Browser/server partitioning, transport protocols, deployment topology, queues, and distributed-coordination mechanisms.</w:t>
      </w:r>
    </w:p>
    <w:p>
      <w:pPr>
        <w:pStyle w:val="ListBullet"/>
        <w:spacing w:after="40"/>
      </w:pPr>
      <w:r>
        <w:t>Evidence media types, serialization profiles, package manifests, canonicalization procedures, and human-readable layouts.</w:t>
      </w:r>
    </w:p>
    <w:p>
      <w:pPr>
        <w:pStyle w:val="ListBullet"/>
        <w:spacing w:after="40"/>
      </w:pPr>
      <w:r>
        <w:t>Digest algorithms, signature formats, key management, signing identity, certificate infrastructure, trust anchors, and revocation policy.</w:t>
      </w:r>
    </w:p>
    <w:p>
      <w:pPr>
        <w:pStyle w:val="ListBullet"/>
        <w:spacing w:after="40"/>
      </w:pPr>
      <w:r>
        <w:t>Authentication, authorization, encryption, privacy, redaction, audit logging, and sensitive-data handling policy.</w:t>
      </w:r>
    </w:p>
    <w:p>
      <w:pPr>
        <w:pStyle w:val="ListBullet"/>
        <w:spacing w:after="40"/>
      </w:pPr>
      <w:r>
        <w:t>Retention periods, archival, backup, restoration, disaster recovery, deletion, legal hold, and synchronization procedures.</w:t>
      </w:r>
    </w:p>
    <w:p>
      <w:pPr>
        <w:pStyle w:val="ListBullet"/>
        <w:spacing w:after="40"/>
      </w:pPr>
      <w:r>
        <w:t>Detailed screen layouts and visual design.</w:t>
      </w:r>
    </w:p>
    <w:p>
      <w:pPr>
        <w:spacing w:after="80" w:line="252" w:lineRule="auto"/>
      </w:pPr>
      <w:r>
        <w:t>These artifacts remain subordinate to the PC3 specification and should not be presented as normative PC3 architecture.</w:t>
      </w:r>
    </w:p>
    <w:p>
      <w:pPr>
        <w:pStyle w:val="Heading1"/>
        <w:keepNext/>
        <w:spacing w:before="240" w:after="100"/>
      </w:pPr>
      <w:r>
        <w:t>11. Consolidated Architectural Decisions</w:t>
      </w:r>
    </w:p>
    <w:p>
      <w:pPr>
        <w:pStyle w:val="ListBullet"/>
        <w:spacing w:after="40"/>
      </w:pPr>
      <w:r>
        <w:t>Use the specification-derived functional capabilities as the stable logical backbone.</w:t>
      </w:r>
    </w:p>
    <w:p>
      <w:pPr>
        <w:pStyle w:val="ListBullet"/>
        <w:spacing w:after="40"/>
      </w:pPr>
      <w:r>
        <w:t>Begin with a modular monolith and explicit internal ports.</w:t>
      </w:r>
    </w:p>
    <w:p>
      <w:pPr>
        <w:pStyle w:val="ListBullet"/>
        <w:spacing w:after="40"/>
      </w:pPr>
      <w:r>
        <w:t>Keep publication acquisition read-only and separate from interpretation and IOR construction.</w:t>
      </w:r>
    </w:p>
    <w:p>
      <w:pPr>
        <w:pStyle w:val="ListBullet"/>
        <w:spacing w:after="40"/>
      </w:pPr>
      <w:r>
        <w:t>Use Active Operational Context as the publication-specific session boundary.</w:t>
      </w:r>
    </w:p>
    <w:p>
      <w:pPr>
        <w:pStyle w:val="ListBullet"/>
        <w:spacing w:after="40"/>
      </w:pPr>
      <w:r>
        <w:t>Use Exercise Attempt as the coordination aggregate for one requested exercise.</w:t>
      </w:r>
    </w:p>
    <w:p>
      <w:pPr>
        <w:pStyle w:val="ListBullet"/>
        <w:spacing w:after="40"/>
      </w:pPr>
      <w:r>
        <w:t>Treat the Executable Realization Matrix as a projection, not an authority.</w:t>
      </w:r>
    </w:p>
    <w:p>
      <w:pPr>
        <w:pStyle w:val="ListBullet"/>
        <w:spacing w:after="40"/>
      </w:pPr>
      <w:r>
        <w:t>Keep external environment governance outside PC3 and represent only PC3-side associations, requests, and observations.</w:t>
      </w:r>
    </w:p>
    <w:p>
      <w:pPr>
        <w:pStyle w:val="ListBullet"/>
        <w:spacing w:after="40"/>
      </w:pPr>
      <w:r>
        <w:t>Use adapters and connectors to isolate source-, realization-, invocation-, provider-, and representation-specific variation.</w:t>
      </w:r>
    </w:p>
    <w:p>
      <w:pPr>
        <w:pStyle w:val="ListBullet"/>
        <w:spacing w:after="40"/>
      </w:pPr>
      <w:r>
        <w:t>Use append-oriented Runtime Observation handling and fixed attempt snapshots for Execution Evidence.</w:t>
      </w:r>
    </w:p>
    <w:p>
      <w:pPr>
        <w:pStyle w:val="ListBullet"/>
        <w:spacing w:after="40"/>
      </w:pPr>
      <w:r>
        <w:t>Separate evidence composition, inspection, serialization, export, integrity, signing, and verification.</w:t>
      </w:r>
    </w:p>
    <w:p>
      <w:pPr>
        <w:pStyle w:val="ListBullet"/>
        <w:spacing w:after="40"/>
      </w:pPr>
      <w:r>
        <w:t>Keep exported evidence external to the publication and outside PC3 custody after saving.</w:t>
      </w:r>
    </w:p>
    <w:p>
      <w:pPr>
        <w:pStyle w:val="ListBullet"/>
        <w:spacing w:after="40"/>
      </w:pPr>
      <w:r>
        <w:t>Keep persistence subordinate to component ownership and retention separate from persistence.</w:t>
      </w:r>
    </w:p>
    <w:p>
      <w:pPr>
        <w:pStyle w:val="ListBullet"/>
        <w:spacing w:after="40"/>
      </w:pPr>
      <w:r>
        <w:t>Isolate secrets and signing material behind dedicated security facilities.</w:t>
      </w:r>
    </w:p>
    <w:p>
      <w:pPr>
        <w:pStyle w:val="ListBullet"/>
        <w:spacing w:after="40"/>
      </w:pPr>
      <w:r>
        <w:t>Restore coherent PC3-owned state after restart without assuming external runtime state.</w:t>
      </w:r>
    </w:p>
    <w:p>
      <w:pPr>
        <w:pStyle w:val="ListBullet"/>
        <w:spacing w:after="40"/>
      </w:pPr>
      <w:r>
        <w:t>Tie conformance information to the exact PC3 implementation and version.</w:t>
      </w:r>
    </w:p>
    <w:p>
      <w:pPr>
        <w:pStyle w:val="ListBullet"/>
        <w:spacing w:after="40"/>
      </w:pPr>
      <w:r>
        <w:t>Maintain lightweight specification-to-component-to-test traceability.</w:t>
      </w:r>
    </w:p>
    <w:p>
      <w:pPr>
        <w:pStyle w:val="Heading1"/>
        <w:keepNext/>
        <w:spacing w:before="240" w:after="100"/>
      </w:pPr>
      <w:r>
        <w:t>12. Release Status and Stewardship</w:t>
      </w:r>
    </w:p>
    <w:p>
      <w:pPr>
        <w:spacing w:after="80" w:line="252" w:lineRule="auto"/>
      </w:pPr>
      <w:r>
        <w:t>This document is the released first usable PC3 Architecture Blueprint v1.0. It is a stable, non-normative engineering companion to PC3.v1.0.Specification.Pass11.7.docx.</w:t>
      </w:r>
    </w:p>
    <w:p>
      <w:pPr>
        <w:pStyle w:val="Heading2"/>
        <w:keepNext/>
        <w:spacing w:before="160" w:after="60"/>
      </w:pPr>
      <w:r>
        <w:t>12.1 Release Basis</w:t>
      </w:r>
    </w:p>
    <w:p>
      <w:pPr>
        <w:pStyle w:val="ListBullet"/>
        <w:spacing w:after="40"/>
      </w:pPr>
      <w:r>
        <w:t>The architecture is complete enough to begin the PC3 Architectural Reference Implementation.</w:t>
      </w:r>
    </w:p>
    <w:p>
      <w:pPr>
        <w:pStyle w:val="ListBullet"/>
        <w:spacing w:after="40"/>
      </w:pPr>
      <w:r>
        <w:t>The blueprint remains dependent on the PC3 specification for all required behavior, information, constraints, and conformance.</w:t>
      </w:r>
    </w:p>
    <w:p>
      <w:pPr>
        <w:pStyle w:val="ListBullet"/>
        <w:spacing w:after="40"/>
      </w:pPr>
      <w:r>
        <w:t>The document is organized by architectural subject rather than by development-pass history.</w:t>
      </w:r>
    </w:p>
    <w:p>
      <w:pPr>
        <w:pStyle w:val="ListBullet"/>
        <w:spacing w:after="40"/>
      </w:pPr>
      <w:r>
        <w:t>Implementation-specific schemas, APIs, protocols, technologies, policies, and deployment choices remain outside the blueprint.</w:t>
      </w:r>
    </w:p>
    <w:p>
      <w:pPr>
        <w:pStyle w:val="ListBullet"/>
        <w:spacing w:after="40"/>
      </w:pPr>
      <w:r>
        <w:t>The final document has been reviewed for internal consistency, reader flow, terminology, duplication, and shadow-specification risk.</w:t>
      </w:r>
    </w:p>
    <w:p>
      <w:pPr>
        <w:pStyle w:val="Heading2"/>
        <w:keepNext/>
        <w:spacing w:before="160" w:after="60"/>
      </w:pPr>
      <w:r>
        <w:t>12.2 Revision Triggers</w:t>
      </w:r>
    </w:p>
    <w:p>
      <w:pPr>
        <w:spacing w:after="80" w:line="252" w:lineRule="auto"/>
      </w:pPr>
      <w:r>
        <w:t>The blueprint should not be revised merely to capture routine implementation detail. Revision is warranted only when implementation experience reveals a material architectural issue, a normative specification change requires architectural alignment, or a demonstrated alternative organization would preserve the specification more faithfully.</w:t>
      </w:r>
    </w:p>
    <w:p>
      <w:pPr>
        <w:pStyle w:val="Heading2"/>
        <w:keepNext/>
        <w:spacing w:before="160" w:after="60"/>
      </w:pPr>
      <w:r>
        <w:t>12.3 Change Discipline</w:t>
      </w:r>
    </w:p>
    <w:p>
      <w:pPr>
        <w:spacing w:after="80" w:line="252" w:lineRule="auto"/>
      </w:pPr>
      <w:r>
        <w:t>Future revisions should preserve the distinction among specification, architecture, technical design, and product design. A change that introduces a new required concept, information element, legal state, behavioral rule, or conformance condition belongs first in the normative specification. A change that selects a framework, schema, protocol, platform, or user-interface pattern belongs in implementation-specific design.</w:t>
      </w:r>
    </w:p>
    <w:p>
      <w:pPr>
        <w:pStyle w:val="Heading2"/>
        <w:keepNext/>
        <w:spacing w:before="160" w:after="60"/>
      </w:pPr>
      <w:r>
        <w:t>12.4 Release Completion Statement</w:t>
      </w:r>
    </w:p>
    <w:p>
      <w:pPr>
        <w:spacing w:after="80" w:line="252" w:lineRule="auto"/>
      </w:pPr>
      <w:r>
        <w:t>The PC3 Architecture Blueprint v1.0 is released for use in beginning the Architectural Reference Implementation. It provides a concise, implementation-oriented organization of responsibilities and boundaries without serving as a shadow specification. No normative PC3 requirement is created, changed, interpreted, or removed by this finishing pass.</w:t>
      </w:r>
    </w:p>
    <w:sectPr w:rsidR="00FC693F" w:rsidRPr="0006063C" w:rsidSect="00034616">
      <w:footerReference w:type="default" r:id="rId9"/>
      <w:head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PC3 Architecture Blueprint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PC3 Architecture Blueprint v1.0</dc:title>
  <dc:subject>Released non-normative implementation architecture</dc:subject>
  <dc:creator>python-docx</dc:creator>
  <cp:keywords>PC3, architecture blueprint, implementation architecture, published computational capability</cp:keywords>
  <dc:description>Final release based on PC3.v1.0.Specification.Pass11.7.docx and PC3_Architecture_Blueprint_v1.0_BP10(1).docx</dc:description>
  <cp:lastModifiedBy/>
  <cp:revision>1</cp:revision>
  <dcterms:created xsi:type="dcterms:W3CDTF">2013-12-23T23:15:00Z</dcterms:created>
  <dcterms:modified xsi:type="dcterms:W3CDTF">2013-12-23T23:15:00Z</dcterms:modified>
  <cp:category/>
</cp:coreProperties>
</file>