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jc w:val="center"/>
        <w:rPr>
          <w:b/>
        </w:rPr>
      </w:pPr>
      <w:r>
        <w:rPr>
          <w:rFonts w:hint="eastAsia"/>
          <w:b/>
          <w:sz w:val="28"/>
          <w:szCs w:val="32"/>
        </w:rPr>
        <w:t>商标</w:t>
      </w:r>
      <w:r>
        <w:rPr>
          <w:rFonts w:hint="eastAsia"/>
          <w:b/>
          <w:sz w:val="28"/>
          <w:szCs w:val="32"/>
          <w:lang w:val="en-US" w:eastAsia="zh-CN"/>
        </w:rPr>
        <w:t>业务</w:t>
      </w:r>
      <w:r>
        <w:rPr>
          <w:rFonts w:hint="eastAsia"/>
          <w:b/>
          <w:sz w:val="28"/>
          <w:szCs w:val="32"/>
        </w:rPr>
        <w:t>代理协议</w:t>
      </w:r>
    </w:p>
    <w:p>
      <w:pPr>
        <w:spacing w:line="320" w:lineRule="exact"/>
        <w:ind w:firstLine="422" w:firstLineChars="200"/>
        <w:jc w:val="left"/>
        <w:rPr>
          <w:rFonts w:hint="eastAsia" w:asciiTheme="minorEastAsia" w:hAnsiTheme="minorEastAsia" w:eastAsiaTheme="minorEastAsia" w:cstheme="minorEastAsia"/>
          <w:b/>
        </w:rPr>
      </w:pPr>
      <w:r>
        <w:rPr>
          <w:rFonts w:hint="eastAsia" w:asciiTheme="minorEastAsia" w:hAnsiTheme="minorEastAsia" w:eastAsiaTheme="minorEastAsia" w:cstheme="minorEastAsia"/>
          <w:b/>
          <w:lang w:val="en-US" w:eastAsia="zh-CN"/>
        </w:rPr>
        <w:t>委托方（甲方）</w:t>
      </w:r>
      <w:r>
        <w:rPr>
          <w:rFonts w:hint="eastAsia" w:asciiTheme="minorEastAsia" w:hAnsiTheme="minorEastAsia" w:eastAsiaTheme="minorEastAsia" w:cstheme="minorEastAsia"/>
          <w:b/>
        </w:rPr>
        <w:t>：</w:t>
      </w:r>
      <w:r>
        <w:rPr>
          <w:rFonts w:hint="eastAsia" w:asciiTheme="minorEastAsia" w:hAnsiTheme="minorEastAsia" w:eastAsiaTheme="minorEastAsia" w:cstheme="minorEastAsia"/>
          <w:color w:val="000000"/>
          <w:szCs w:val="21"/>
          <w:lang w:val="en-US" w:eastAsia="zh-CN"/>
        </w:rPr>
        <w:t>#jfGsName</w:t>
      </w:r>
    </w:p>
    <w:tbl>
      <w:tblPr>
        <w:tblStyle w:val="6"/>
        <w:tblW w:w="9000" w:type="dxa"/>
        <w:tblInd w:w="384" w:type="dxa"/>
        <w:shd w:val="clear" w:color="auto" w:fill="auto"/>
        <w:tblLayout w:type="fixed"/>
        <w:tblCellMar>
          <w:top w:w="0" w:type="dxa"/>
          <w:left w:w="0" w:type="dxa"/>
          <w:bottom w:w="0" w:type="dxa"/>
          <w:right w:w="0" w:type="dxa"/>
        </w:tblCellMar>
      </w:tblPr>
      <w:tblGrid>
        <w:gridCol w:w="1440"/>
        <w:gridCol w:w="3240"/>
        <w:gridCol w:w="1080"/>
        <w:gridCol w:w="3240"/>
      </w:tblGrid>
      <w:tr>
        <w:tblPrEx>
          <w:shd w:val="clear" w:color="auto" w:fill="auto"/>
          <w:tblCellMar>
            <w:top w:w="0" w:type="dxa"/>
            <w:left w:w="0" w:type="dxa"/>
            <w:bottom w:w="0" w:type="dxa"/>
            <w:right w:w="0" w:type="dxa"/>
          </w:tblCellMar>
        </w:tblPrEx>
        <w:trPr>
          <w:trHeight w:val="285"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执照代码</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电子邮箱</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color w:val="000000"/>
                <w:szCs w:val="21"/>
                <w:lang w:val="en-US" w:eastAsia="zh-CN"/>
              </w:rPr>
              <w:t>#jfName</w:t>
            </w:r>
          </w:p>
        </w:tc>
      </w:tr>
      <w:tr>
        <w:tblPrEx>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联系人姓名</w:t>
            </w:r>
          </w:p>
        </w:tc>
        <w:tc>
          <w:tcPr>
            <w:tcW w:w="32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2"/>
                <w:szCs w:val="22"/>
                <w:u w:val="none"/>
              </w:rPr>
            </w:pPr>
            <w:r>
              <w:rPr>
                <w:rFonts w:hint="eastAsia" w:asciiTheme="minorEastAsia" w:hAnsiTheme="minorEastAsia" w:eastAsiaTheme="minorEastAsia" w:cstheme="minorEastAsia"/>
                <w:color w:val="000000"/>
                <w:szCs w:val="21"/>
                <w:lang w:val="en-US" w:eastAsia="zh-CN"/>
              </w:rPr>
              <w:t>#jfName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联系电话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color w:val="000000"/>
                <w:szCs w:val="21"/>
                <w:lang w:val="en-US" w:eastAsia="zh-CN"/>
              </w:rPr>
              <w:t>#jfNum</w:t>
            </w:r>
          </w:p>
        </w:tc>
      </w:tr>
    </w:tbl>
    <w:p>
      <w:pPr>
        <w:spacing w:line="320" w:lineRule="exact"/>
        <w:ind w:firstLine="422" w:firstLineChars="200"/>
        <w:jc w:val="left"/>
        <w:rPr>
          <w:rFonts w:hint="default" w:asciiTheme="minorEastAsia" w:hAnsiTheme="minorEastAsia" w:eastAsiaTheme="minorEastAsia" w:cstheme="minorEastAsia"/>
          <w:b/>
          <w:lang w:val="en-US" w:eastAsia="zh-CN"/>
        </w:rPr>
      </w:pPr>
    </w:p>
    <w:p>
      <w:pPr>
        <w:spacing w:line="320" w:lineRule="exact"/>
        <w:ind w:firstLine="422" w:firstLineChars="200"/>
        <w:jc w:val="left"/>
        <w:rPr>
          <w:rFonts w:hint="eastAsia" w:asciiTheme="minorEastAsia" w:hAnsiTheme="minorEastAsia" w:eastAsiaTheme="minorEastAsia" w:cstheme="minorEastAsia"/>
          <w:b/>
          <w:lang w:val="en-US" w:eastAsia="zh-CN"/>
        </w:rPr>
      </w:pPr>
      <w:r>
        <w:rPr>
          <w:rFonts w:hint="eastAsia" w:asciiTheme="minorEastAsia" w:hAnsiTheme="minorEastAsia" w:eastAsiaTheme="minorEastAsia" w:cstheme="minorEastAsia"/>
          <w:b/>
          <w:lang w:val="en-US" w:eastAsia="zh-CN"/>
        </w:rPr>
        <w:t>受托方（乙方）：</w:t>
      </w:r>
      <w:r>
        <w:rPr>
          <w:rFonts w:hint="eastAsia" w:asciiTheme="minorEastAsia" w:hAnsiTheme="minorEastAsia" w:eastAsiaTheme="minorEastAsia" w:cstheme="minorEastAsia"/>
          <w:i w:val="0"/>
          <w:color w:val="000000"/>
          <w:sz w:val="21"/>
          <w:szCs w:val="21"/>
          <w:u w:val="none"/>
          <w:lang w:val="en-US" w:eastAsia="zh-CN"/>
        </w:rPr>
        <w:t>好智（天津）企业管理咨询有限责任公司</w:t>
      </w:r>
    </w:p>
    <w:tbl>
      <w:tblPr>
        <w:tblStyle w:val="6"/>
        <w:tblW w:w="9000" w:type="dxa"/>
        <w:tblInd w:w="384" w:type="dxa"/>
        <w:shd w:val="clear" w:color="auto" w:fill="auto"/>
        <w:tblLayout w:type="fixed"/>
        <w:tblCellMar>
          <w:top w:w="0" w:type="dxa"/>
          <w:left w:w="0" w:type="dxa"/>
          <w:bottom w:w="0" w:type="dxa"/>
          <w:right w:w="0" w:type="dxa"/>
        </w:tblCellMar>
      </w:tblPr>
      <w:tblGrid>
        <w:gridCol w:w="1440"/>
        <w:gridCol w:w="3240"/>
        <w:gridCol w:w="1080"/>
        <w:gridCol w:w="3240"/>
      </w:tblGrid>
      <w:tr>
        <w:tblPrEx>
          <w:shd w:val="clear" w:color="auto" w:fill="auto"/>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注册地址</w:t>
            </w:r>
          </w:p>
        </w:tc>
        <w:tc>
          <w:tcPr>
            <w:tcW w:w="7560"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r>
              <w:rPr>
                <w:rFonts w:hint="eastAsia"/>
                <w:sz w:val="21"/>
                <w:szCs w:val="21"/>
                <w:lang w:val="en-US" w:eastAsia="zh-CN"/>
              </w:rPr>
              <w:t>天津市滨海高新区华苑产业区华天道6号海泰大厦5F</w:t>
            </w:r>
          </w:p>
        </w:tc>
      </w:tr>
      <w:tr>
        <w:tblPrEx>
          <w:tblCellMar>
            <w:top w:w="0" w:type="dxa"/>
            <w:left w:w="0" w:type="dxa"/>
            <w:bottom w:w="0" w:type="dxa"/>
            <w:right w:w="0" w:type="dxa"/>
          </w:tblCellMar>
        </w:tblPrEx>
        <w:trPr>
          <w:trHeight w:val="285"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客服电话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both"/>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022-59267955</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客服Email</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both"/>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haozhizixun@163.com</w:t>
            </w:r>
          </w:p>
        </w:tc>
      </w:tr>
      <w:tr>
        <w:tblPrEx>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顾问姓名</w:t>
            </w:r>
          </w:p>
        </w:tc>
        <w:tc>
          <w:tcPr>
            <w:tcW w:w="32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2"/>
                <w:szCs w:val="22"/>
                <w:u w:val="none"/>
                <w:lang w:val="en-US" w:eastAsia="zh-CN"/>
              </w:rPr>
            </w:pPr>
            <w:r>
              <w:rPr>
                <w:rFonts w:hint="eastAsia" w:asciiTheme="minorEastAsia" w:hAnsiTheme="minorEastAsia" w:eastAsiaTheme="minorEastAsia" w:cstheme="minorEastAsia"/>
                <w:color w:val="000000"/>
                <w:sz w:val="22"/>
                <w:lang w:val="en-US" w:eastAsia="zh-CN"/>
              </w:rPr>
              <w:t>#gwName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联系电话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color w:val="000000"/>
                <w:szCs w:val="21"/>
                <w:lang w:val="en-US" w:eastAsia="zh-CN"/>
              </w:rPr>
              <w:t>#gwNum</w:t>
            </w:r>
          </w:p>
        </w:tc>
      </w:tr>
    </w:tbl>
    <w:p>
      <w:pPr>
        <w:keepNext w:val="0"/>
        <w:keepLines w:val="0"/>
        <w:pageBreakBefore w:val="0"/>
        <w:kinsoku/>
        <w:wordWrap/>
        <w:overflowPunct/>
        <w:topLinePunct w:val="0"/>
        <w:autoSpaceDE/>
        <w:autoSpaceDN/>
        <w:bidi w:val="0"/>
        <w:adjustRightInd/>
        <w:spacing w:line="360" w:lineRule="auto"/>
        <w:ind w:firstLine="840" w:firstLineChars="4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兹有甲方委托乙方提供商标代理服务，经双方协商一致，特订立下列约定共同遵守</w:t>
      </w:r>
      <w:r>
        <w:rPr>
          <w:rFonts w:hint="eastAsia" w:asciiTheme="minorEastAsia" w:hAnsiTheme="minorEastAsia" w:eastAsiaTheme="minorEastAsia" w:cstheme="minorEastAsia"/>
          <w:lang w:eastAsia="zh-CN"/>
        </w:rPr>
        <w:t>：</w:t>
      </w:r>
    </w:p>
    <w:p>
      <w:pPr>
        <w:keepNext w:val="0"/>
        <w:keepLines w:val="0"/>
        <w:pageBreakBefore w:val="0"/>
        <w:numPr>
          <w:ilvl w:val="0"/>
          <w:numId w:val="1"/>
        </w:numPr>
        <w:kinsoku/>
        <w:wordWrap/>
        <w:overflowPunct/>
        <w:topLinePunct w:val="0"/>
        <w:autoSpaceDE/>
        <w:autoSpaceDN/>
        <w:bidi w:val="0"/>
        <w:adjustRightInd/>
        <w:spacing w:line="360" w:lineRule="auto"/>
        <w:ind w:left="420" w:leftChars="0" w:firstLine="0" w:firstLineChars="0"/>
        <w:jc w:val="left"/>
        <w:rPr>
          <w:rFonts w:hint="eastAsia" w:asciiTheme="minorEastAsia" w:hAnsiTheme="minorEastAsia" w:eastAsiaTheme="minorEastAsia" w:cstheme="minorEastAsia"/>
          <w:u w:val="single"/>
        </w:rPr>
      </w:pPr>
      <w:r>
        <w:rPr>
          <w:rFonts w:hint="eastAsia" w:asciiTheme="minorEastAsia" w:hAnsiTheme="minorEastAsia" w:eastAsiaTheme="minorEastAsia" w:cstheme="minorEastAsia"/>
        </w:rPr>
        <w:t>甲方委托乙方代理下列服务事项：</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u w:val="single"/>
          <w:lang w:val="en-US" w:eastAsia="zh-CN"/>
        </w:rPr>
        <w:t xml:space="preserve">   </w:t>
      </w:r>
      <w:r>
        <w:rPr>
          <w:rFonts w:hint="eastAsia" w:asciiTheme="minorEastAsia" w:hAnsiTheme="minorEastAsia" w:eastAsiaTheme="minorEastAsia" w:cstheme="minorEastAsia"/>
          <w:color w:val="auto"/>
          <w:highlight w:val="none"/>
          <w:u w:val="single"/>
          <w:lang w:val="en-US" w:eastAsia="zh-CN"/>
        </w:rPr>
        <w:t>#Name</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u w:val="none"/>
        </w:rPr>
        <w:t xml:space="preserve"> </w:t>
      </w:r>
      <w:r>
        <w:rPr>
          <w:rFonts w:hint="eastAsia" w:asciiTheme="minorEastAsia" w:hAnsiTheme="minorEastAsia" w:eastAsiaTheme="minorEastAsia" w:cstheme="minorEastAsia"/>
          <w:u w:val="none"/>
          <w:lang w:eastAsia="zh-CN"/>
        </w:rPr>
        <w:t>，</w:t>
      </w:r>
      <w:r>
        <w:rPr>
          <w:rFonts w:hint="eastAsia" w:asciiTheme="minorEastAsia" w:hAnsiTheme="minorEastAsia" w:eastAsiaTheme="minorEastAsia" w:cstheme="minorEastAsia"/>
          <w:u w:val="none"/>
          <w:lang w:val="en-US" w:eastAsia="zh-CN"/>
        </w:rPr>
        <w:t>费用如下：</w:t>
      </w:r>
    </w:p>
    <w:tbl>
      <w:tblPr>
        <w:tblStyle w:val="6"/>
        <w:tblpPr w:leftFromText="180" w:rightFromText="180" w:vertAnchor="text" w:horzAnchor="page" w:tblpX="1546" w:tblpY="102"/>
        <w:tblOverlap w:val="never"/>
        <w:tblW w:w="92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44"/>
        <w:gridCol w:w="1830"/>
        <w:gridCol w:w="1230"/>
        <w:gridCol w:w="1278"/>
        <w:gridCol w:w="1242"/>
        <w:gridCol w:w="14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4" w:type="dxa"/>
            <w:vAlign w:val="center"/>
          </w:tcPr>
          <w:p>
            <w:pPr>
              <w:widowControl/>
              <w:spacing w:before="156" w:beforeLines="50" w:line="260" w:lineRule="exact"/>
              <w:jc w:val="center"/>
              <w:rPr>
                <w:rFonts w:ascii="宋体" w:hAnsi="宋体"/>
                <w:sz w:val="18"/>
                <w:szCs w:val="18"/>
              </w:rPr>
            </w:pPr>
            <w:r>
              <w:rPr>
                <w:rFonts w:hint="eastAsia" w:ascii="宋体" w:hAnsi="宋体"/>
                <w:sz w:val="18"/>
                <w:szCs w:val="18"/>
              </w:rPr>
              <w:t>商标名称</w:t>
            </w:r>
          </w:p>
        </w:tc>
        <w:tc>
          <w:tcPr>
            <w:tcW w:w="1830" w:type="dxa"/>
            <w:vAlign w:val="center"/>
          </w:tcPr>
          <w:p>
            <w:pPr>
              <w:widowControl/>
              <w:spacing w:before="156" w:beforeLines="50" w:line="260" w:lineRule="exact"/>
              <w:jc w:val="center"/>
              <w:rPr>
                <w:rFonts w:ascii="宋体" w:hAnsi="宋体"/>
                <w:sz w:val="18"/>
                <w:szCs w:val="18"/>
              </w:rPr>
            </w:pPr>
            <w:r>
              <w:rPr>
                <w:rFonts w:hint="eastAsia" w:ascii="宋体" w:hAnsi="宋体"/>
                <w:sz w:val="18"/>
                <w:szCs w:val="18"/>
              </w:rPr>
              <w:t>申请</w:t>
            </w:r>
            <w:r>
              <w:rPr>
                <w:rFonts w:hint="eastAsia" w:ascii="宋体" w:hAnsi="宋体"/>
                <w:sz w:val="18"/>
                <w:szCs w:val="18"/>
                <w:lang w:val="en-US" w:eastAsia="zh-CN"/>
              </w:rPr>
              <w:t>/</w:t>
            </w:r>
            <w:r>
              <w:rPr>
                <w:rFonts w:hint="eastAsia" w:ascii="宋体" w:hAnsi="宋体"/>
                <w:sz w:val="18"/>
                <w:szCs w:val="18"/>
              </w:rPr>
              <w:t>注册号</w:t>
            </w:r>
          </w:p>
        </w:tc>
        <w:tc>
          <w:tcPr>
            <w:tcW w:w="1230" w:type="dxa"/>
            <w:vAlign w:val="center"/>
          </w:tcPr>
          <w:p>
            <w:pPr>
              <w:widowControl/>
              <w:spacing w:before="156" w:beforeLines="50" w:line="260" w:lineRule="exact"/>
              <w:jc w:val="center"/>
              <w:rPr>
                <w:rFonts w:ascii="宋体" w:hAnsi="宋体"/>
                <w:sz w:val="18"/>
                <w:szCs w:val="18"/>
              </w:rPr>
            </w:pPr>
            <w:r>
              <w:rPr>
                <w:rFonts w:hint="eastAsia" w:ascii="宋体" w:hAnsi="宋体"/>
                <w:sz w:val="18"/>
                <w:szCs w:val="18"/>
              </w:rPr>
              <w:t>类别</w:t>
            </w:r>
          </w:p>
        </w:tc>
        <w:tc>
          <w:tcPr>
            <w:tcW w:w="1278" w:type="dxa"/>
            <w:vAlign w:val="center"/>
          </w:tcPr>
          <w:p>
            <w:pPr>
              <w:widowControl/>
              <w:spacing w:before="156" w:beforeLines="50" w:line="260" w:lineRule="exact"/>
              <w:jc w:val="center"/>
              <w:rPr>
                <w:rFonts w:ascii="宋体" w:hAnsi="宋体"/>
                <w:sz w:val="18"/>
                <w:szCs w:val="18"/>
              </w:rPr>
            </w:pPr>
            <w:r>
              <w:rPr>
                <w:rFonts w:hint="eastAsia" w:ascii="宋体" w:hAnsi="宋体"/>
                <w:sz w:val="18"/>
                <w:szCs w:val="18"/>
              </w:rPr>
              <w:t>代理费</w:t>
            </w:r>
          </w:p>
        </w:tc>
        <w:tc>
          <w:tcPr>
            <w:tcW w:w="1242" w:type="dxa"/>
            <w:vAlign w:val="center"/>
          </w:tcPr>
          <w:p>
            <w:pPr>
              <w:widowControl/>
              <w:spacing w:before="156" w:beforeLines="50" w:line="260" w:lineRule="exact"/>
              <w:jc w:val="center"/>
              <w:rPr>
                <w:rFonts w:ascii="宋体" w:hAnsi="宋体"/>
                <w:sz w:val="18"/>
                <w:szCs w:val="18"/>
              </w:rPr>
            </w:pPr>
            <w:r>
              <w:rPr>
                <w:rFonts w:hint="eastAsia" w:ascii="宋体" w:hAnsi="宋体"/>
                <w:sz w:val="18"/>
                <w:szCs w:val="18"/>
              </w:rPr>
              <w:t>官费</w:t>
            </w:r>
          </w:p>
        </w:tc>
        <w:tc>
          <w:tcPr>
            <w:tcW w:w="1430" w:type="dxa"/>
            <w:vAlign w:val="center"/>
          </w:tcPr>
          <w:p>
            <w:pPr>
              <w:widowControl/>
              <w:spacing w:before="156" w:beforeLines="50" w:line="260" w:lineRule="exact"/>
              <w:ind w:firstLine="90" w:firstLineChars="50"/>
              <w:jc w:val="center"/>
              <w:rPr>
                <w:rFonts w:hint="eastAsia" w:ascii="宋体" w:hAnsi="宋体" w:eastAsia="宋体"/>
                <w:sz w:val="18"/>
                <w:szCs w:val="18"/>
                <w:lang w:eastAsia="zh-CN"/>
              </w:rPr>
            </w:pPr>
            <w:r>
              <w:rPr>
                <w:rFonts w:hint="eastAsia" w:ascii="宋体" w:hAnsi="宋体"/>
                <w:sz w:val="18"/>
                <w:szCs w:val="18"/>
                <w:lang w:val="en-US" w:eastAsia="zh-CN"/>
              </w:rPr>
              <w:t>合计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4" w:type="dxa"/>
          </w:tcPr>
          <w:p>
            <w:pPr>
              <w:widowControl/>
              <w:spacing w:before="156" w:beforeLines="50" w:line="260" w:lineRule="exact"/>
              <w:jc w:val="center"/>
              <w:rPr>
                <w:rFonts w:hint="default" w:ascii="宋体" w:hAnsi="宋体" w:eastAsia="宋体"/>
                <w:sz w:val="18"/>
                <w:szCs w:val="18"/>
                <w:lang w:val="en-US" w:eastAsia="zh-CN"/>
              </w:rPr>
            </w:pPr>
            <w:r>
              <w:rPr>
                <w:rFonts w:hint="eastAsia" w:ascii="宋体" w:hAnsi="宋体"/>
                <w:sz w:val="18"/>
                <w:szCs w:val="18"/>
                <w:lang w:val="en-US" w:eastAsia="zh-CN"/>
              </w:rPr>
              <w:t>#</w:t>
            </w:r>
            <w:bookmarkStart w:id="1" w:name="_GoBack"/>
            <w:r>
              <w:rPr>
                <w:rFonts w:hint="eastAsia" w:ascii="宋体" w:hAnsi="宋体"/>
                <w:sz w:val="18"/>
                <w:szCs w:val="18"/>
                <w:lang w:val="en-US" w:eastAsia="zh-CN"/>
              </w:rPr>
              <w:t>abcName</w:t>
            </w:r>
            <w:bookmarkEnd w:id="1"/>
          </w:p>
        </w:tc>
        <w:tc>
          <w:tcPr>
            <w:tcW w:w="1830" w:type="dxa"/>
          </w:tcPr>
          <w:p>
            <w:pPr>
              <w:widowControl/>
              <w:spacing w:before="156" w:beforeLines="50" w:line="260" w:lineRule="exact"/>
              <w:jc w:val="center"/>
              <w:rPr>
                <w:rFonts w:hint="default" w:ascii="宋体" w:hAnsi="宋体" w:eastAsia="宋体"/>
                <w:sz w:val="18"/>
                <w:szCs w:val="18"/>
                <w:lang w:val="en-US" w:eastAsia="zh-CN"/>
              </w:rPr>
            </w:pPr>
            <w:r>
              <w:rPr>
                <w:rFonts w:hint="eastAsia" w:ascii="宋体" w:hAnsi="宋体"/>
                <w:sz w:val="18"/>
                <w:szCs w:val="18"/>
                <w:lang w:val="en-US" w:eastAsia="zh-CN"/>
              </w:rPr>
              <w:t>#sbNum</w:t>
            </w:r>
          </w:p>
        </w:tc>
        <w:tc>
          <w:tcPr>
            <w:tcW w:w="1230" w:type="dxa"/>
          </w:tcPr>
          <w:p>
            <w:pPr>
              <w:widowControl/>
              <w:spacing w:before="156" w:beforeLines="50" w:line="260" w:lineRule="exact"/>
              <w:jc w:val="center"/>
              <w:rPr>
                <w:rFonts w:hint="default" w:ascii="宋体" w:hAnsi="宋体" w:eastAsia="宋体"/>
                <w:sz w:val="18"/>
                <w:szCs w:val="18"/>
                <w:lang w:val="en-US" w:eastAsia="zh-CN"/>
              </w:rPr>
            </w:pPr>
            <w:r>
              <w:rPr>
                <w:rFonts w:hint="eastAsia" w:ascii="宋体" w:hAnsi="宋体"/>
                <w:sz w:val="18"/>
                <w:szCs w:val="18"/>
                <w:lang w:val="en-US" w:eastAsia="zh-CN"/>
              </w:rPr>
              <w:t>#lb</w:t>
            </w:r>
          </w:p>
        </w:tc>
        <w:tc>
          <w:tcPr>
            <w:tcW w:w="1278" w:type="dxa"/>
          </w:tcPr>
          <w:p>
            <w:pPr>
              <w:widowControl/>
              <w:spacing w:before="156" w:beforeLines="50" w:line="260" w:lineRule="exact"/>
              <w:jc w:val="both"/>
              <w:rPr>
                <w:rFonts w:hint="default" w:ascii="宋体" w:hAnsi="宋体" w:eastAsia="宋体"/>
                <w:sz w:val="18"/>
                <w:szCs w:val="18"/>
                <w:lang w:val="en-US" w:eastAsia="zh-CN"/>
              </w:rPr>
            </w:pPr>
            <w:r>
              <w:rPr>
                <w:rFonts w:hint="eastAsia" w:ascii="宋体" w:hAnsi="宋体"/>
                <w:sz w:val="18"/>
                <w:szCs w:val="18"/>
                <w:lang w:val="en-US" w:eastAsia="zh-CN"/>
              </w:rPr>
              <w:t xml:space="preserve"> </w:t>
            </w:r>
            <w:r>
              <w:rPr>
                <w:rFonts w:hint="eastAsia" w:ascii="宋体" w:hAnsi="宋体" w:cs="宋体"/>
                <w:color w:val="000000"/>
                <w:kern w:val="0"/>
                <w:sz w:val="18"/>
                <w:szCs w:val="18"/>
                <w:lang w:val="en-US" w:eastAsia="zh-CN"/>
              </w:rPr>
              <w:t>#dlPrice</w:t>
            </w:r>
            <w:r>
              <w:rPr>
                <w:rFonts w:hint="eastAsia" w:ascii="宋体" w:hAnsi="宋体" w:cs="宋体"/>
                <w:color w:val="000000"/>
                <w:kern w:val="0"/>
                <w:sz w:val="18"/>
                <w:szCs w:val="18"/>
              </w:rPr>
              <w:t>元</w:t>
            </w:r>
          </w:p>
        </w:tc>
        <w:tc>
          <w:tcPr>
            <w:tcW w:w="1242" w:type="dxa"/>
          </w:tcPr>
          <w:p>
            <w:pPr>
              <w:widowControl/>
              <w:spacing w:before="156" w:beforeLines="50" w:line="260" w:lineRule="exact"/>
              <w:jc w:val="center"/>
              <w:rPr>
                <w:rFonts w:hint="default" w:ascii="宋体" w:hAnsi="宋体" w:eastAsia="宋体"/>
                <w:sz w:val="18"/>
                <w:szCs w:val="18"/>
                <w:lang w:val="en-US" w:eastAsia="zh-CN"/>
              </w:rPr>
            </w:pPr>
            <w:bookmarkStart w:id="0" w:name="OLE_LINK1"/>
            <w:r>
              <w:rPr>
                <w:rFonts w:hint="eastAsia" w:ascii="宋体" w:hAnsi="宋体" w:cs="宋体"/>
                <w:color w:val="000000"/>
                <w:kern w:val="0"/>
                <w:sz w:val="18"/>
                <w:szCs w:val="18"/>
                <w:lang w:val="en-US" w:eastAsia="zh-CN"/>
              </w:rPr>
              <w:t>#gfPrice</w:t>
            </w:r>
            <w:r>
              <w:rPr>
                <w:rFonts w:hint="eastAsia" w:ascii="宋体" w:hAnsi="宋体" w:cs="宋体"/>
                <w:color w:val="000000"/>
                <w:kern w:val="0"/>
                <w:sz w:val="18"/>
                <w:szCs w:val="18"/>
              </w:rPr>
              <w:t>元</w:t>
            </w:r>
            <w:bookmarkEnd w:id="0"/>
          </w:p>
        </w:tc>
        <w:tc>
          <w:tcPr>
            <w:tcW w:w="1430" w:type="dxa"/>
          </w:tcPr>
          <w:p>
            <w:pPr>
              <w:widowControl/>
              <w:spacing w:before="156" w:beforeLines="50" w:line="260" w:lineRule="exact"/>
              <w:jc w:val="center"/>
              <w:rPr>
                <w:rFonts w:hint="default" w:ascii="宋体" w:hAnsi="宋体" w:eastAsia="宋体"/>
                <w:sz w:val="18"/>
                <w:szCs w:val="18"/>
                <w:lang w:val="en-US" w:eastAsia="zh-CN"/>
              </w:rPr>
            </w:pPr>
            <w:r>
              <w:rPr>
                <w:rFonts w:hint="eastAsia" w:ascii="宋体" w:hAnsi="宋体" w:eastAsia="宋体" w:cs="宋体"/>
                <w:i w:val="0"/>
                <w:color w:val="000000"/>
                <w:kern w:val="0"/>
                <w:sz w:val="18"/>
                <w:szCs w:val="18"/>
                <w:u w:val="none"/>
                <w:lang w:val="en-US" w:eastAsia="zh-CN" w:bidi="ar"/>
              </w:rPr>
              <w:t xml:space="preserve"> </w:t>
            </w:r>
            <w:r>
              <w:rPr>
                <w:rFonts w:hint="eastAsia" w:ascii="宋体" w:hAnsi="宋体" w:cs="宋体"/>
                <w:color w:val="000000"/>
                <w:kern w:val="0"/>
                <w:sz w:val="18"/>
                <w:szCs w:val="18"/>
                <w:lang w:val="en-US" w:eastAsia="zh-CN"/>
              </w:rPr>
              <w:t>#zjPrice</w:t>
            </w:r>
            <w:r>
              <w:rPr>
                <w:rFonts w:hint="eastAsia" w:ascii="宋体" w:hAnsi="宋体" w:eastAsia="宋体" w:cs="宋体"/>
                <w:i w:val="0"/>
                <w:color w:val="000000"/>
                <w:kern w:val="0"/>
                <w:sz w:val="18"/>
                <w:szCs w:val="18"/>
                <w:u w:val="none"/>
                <w:lang w:val="en-US" w:eastAsia="zh-CN" w:bidi="ar"/>
              </w:rPr>
              <w:t>元</w:t>
            </w:r>
          </w:p>
        </w:tc>
      </w:tr>
    </w:tbl>
    <w:p>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left="420" w:lef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本协议签订之日起</w:t>
      </w:r>
      <w:r>
        <w:rPr>
          <w:rFonts w:hint="eastAsia" w:asciiTheme="minorEastAsia" w:hAnsiTheme="minorEastAsia" w:eastAsiaTheme="minorEastAsia" w:cstheme="minorEastAsia"/>
          <w:sz w:val="21"/>
          <w:szCs w:val="21"/>
          <w:u w:val="single"/>
          <w:lang w:val="en-US" w:eastAsia="zh-CN"/>
        </w:rPr>
        <w:t xml:space="preserve"> 3 </w:t>
      </w:r>
      <w:r>
        <w:rPr>
          <w:rFonts w:hint="eastAsia" w:asciiTheme="minorEastAsia" w:hAnsiTheme="minorEastAsia" w:eastAsiaTheme="minorEastAsia" w:cstheme="minorEastAsia"/>
          <w:sz w:val="21"/>
          <w:szCs w:val="21"/>
          <w:lang w:val="en-US" w:eastAsia="zh-CN"/>
        </w:rPr>
        <w:t>日内甲方向乙方指定账户（以本协议所提供的账号或乙方微信二维码为准，其他付款途径导致的风险乙方不承担）一次性支付费及官费合计人民币￥</w:t>
      </w:r>
      <w:r>
        <w:rPr>
          <w:rFonts w:hint="eastAsia" w:asciiTheme="minorEastAsia" w:hAnsiTheme="minorEastAsia" w:eastAsiaTheme="minorEastAsia" w:cstheme="minorEastAsia"/>
          <w:sz w:val="21"/>
          <w:szCs w:val="21"/>
          <w:u w:val="single"/>
          <w:lang w:val="en-US" w:eastAsia="zh-CN"/>
        </w:rPr>
        <w:t xml:space="preserve"> </w:t>
      </w:r>
      <w:r>
        <w:rPr>
          <w:rFonts w:hint="eastAsia" w:asciiTheme="minorEastAsia" w:hAnsiTheme="minorEastAsia" w:eastAsiaTheme="minorEastAsia" w:cstheme="minorEastAsia"/>
          <w:color w:val="auto"/>
          <w:u w:val="single"/>
        </w:rPr>
        <w:t xml:space="preserve"> </w:t>
      </w:r>
      <w:r>
        <w:rPr>
          <w:rFonts w:hint="eastAsia" w:asciiTheme="minorEastAsia" w:hAnsiTheme="minorEastAsia" w:eastAsiaTheme="minorEastAsia" w:cstheme="minorEastAsia"/>
          <w:u w:val="single"/>
          <w:lang w:val="en-US" w:eastAsia="zh-CN"/>
        </w:rPr>
        <w:t>#zjPrice</w:t>
      </w:r>
      <w:r>
        <w:rPr>
          <w:rFonts w:hint="eastAsia" w:asciiTheme="minorEastAsia" w:hAnsiTheme="minorEastAsia" w:eastAsiaTheme="minorEastAsia" w:cstheme="minorEastAsia"/>
          <w:color w:val="auto"/>
          <w:u w:val="single"/>
          <w:lang w:val="en-US" w:eastAsia="zh-CN"/>
        </w:rPr>
        <w:t xml:space="preserve"> </w:t>
      </w:r>
      <w:r>
        <w:rPr>
          <w:rFonts w:hint="eastAsia" w:asciiTheme="minorEastAsia" w:hAnsiTheme="minorEastAsia" w:eastAsiaTheme="minorEastAsia" w:cstheme="minorEastAsia"/>
          <w:sz w:val="21"/>
          <w:szCs w:val="21"/>
          <w:u w:val="single"/>
          <w:lang w:val="en-US" w:eastAsia="zh-CN"/>
        </w:rPr>
        <w:t xml:space="preserve"> </w:t>
      </w:r>
      <w:r>
        <w:rPr>
          <w:rFonts w:hint="eastAsia" w:asciiTheme="minorEastAsia" w:hAnsiTheme="minorEastAsia" w:eastAsiaTheme="minorEastAsia" w:cstheme="minorEastAsia"/>
          <w:sz w:val="21"/>
          <w:szCs w:val="21"/>
          <w:lang w:val="en-US" w:eastAsia="zh-CN"/>
        </w:rPr>
        <w:t>元，大写人民币</w:t>
      </w:r>
      <w:r>
        <w:rPr>
          <w:rFonts w:hint="eastAsia" w:asciiTheme="minorEastAsia" w:hAnsiTheme="minorEastAsia" w:eastAsiaTheme="minorEastAsia" w:cstheme="minorEastAsia"/>
          <w:sz w:val="21"/>
          <w:szCs w:val="21"/>
          <w:u w:val="single"/>
          <w:lang w:val="en-US" w:eastAsia="zh-CN"/>
        </w:rPr>
        <w:t xml:space="preserve">    </w:t>
      </w:r>
      <w:r>
        <w:rPr>
          <w:rFonts w:hint="eastAsia" w:asciiTheme="minorEastAsia" w:hAnsiTheme="minorEastAsia" w:eastAsiaTheme="minorEastAsia" w:cstheme="minorEastAsia"/>
          <w:u w:val="single"/>
          <w:lang w:val="en-US" w:eastAsia="zh-CN"/>
        </w:rPr>
        <w:t xml:space="preserve">#dxZjPrice   </w:t>
      </w:r>
      <w:r>
        <w:rPr>
          <w:rFonts w:hint="eastAsia" w:asciiTheme="minorEastAsia" w:hAnsiTheme="minorEastAsia" w:eastAsiaTheme="minorEastAsia" w:cstheme="minorEastAsia"/>
          <w:sz w:val="21"/>
          <w:szCs w:val="21"/>
          <w:lang w:val="en-US" w:eastAsia="zh-CN"/>
        </w:rPr>
        <w:t>元整，乙方收到上述款项后启动服务。因甲方付款、资料提交等延误导致的责任由甲方承担。</w:t>
      </w:r>
    </w:p>
    <w:p>
      <w:pPr>
        <w:keepNext w:val="0"/>
        <w:keepLines w:val="0"/>
        <w:pageBreakBefore w:val="0"/>
        <w:widowControl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收款单位：</w:t>
      </w:r>
      <w:r>
        <w:rPr>
          <w:rFonts w:hint="eastAsia" w:asciiTheme="minorEastAsia" w:hAnsiTheme="minorEastAsia" w:eastAsiaTheme="minorEastAsia" w:cstheme="minorEastAsia"/>
          <w:sz w:val="21"/>
          <w:szCs w:val="21"/>
          <w:u w:val="single"/>
          <w:lang w:val="en-US" w:eastAsia="zh-CN"/>
        </w:rPr>
        <w:t xml:space="preserve">  好智（天津）企业管理咨询有限责任公司</w:t>
      </w: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开 户 行：</w:t>
      </w:r>
      <w:r>
        <w:rPr>
          <w:rFonts w:hint="eastAsia" w:asciiTheme="minorEastAsia" w:hAnsiTheme="minorEastAsia" w:eastAsiaTheme="minorEastAsia" w:cstheme="minorEastAsia"/>
          <w:sz w:val="21"/>
          <w:szCs w:val="21"/>
          <w:u w:val="single"/>
          <w:lang w:val="en-US" w:eastAsia="zh-CN"/>
        </w:rPr>
        <w:t xml:space="preserve">  中国工商银行股份有限公司天津新海支行</w:t>
      </w: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对公账号：</w:t>
      </w:r>
      <w:r>
        <w:rPr>
          <w:rFonts w:hint="eastAsia" w:asciiTheme="minorEastAsia" w:hAnsiTheme="minorEastAsia" w:eastAsiaTheme="minorEastAsia" w:cstheme="minorEastAsia"/>
          <w:sz w:val="21"/>
          <w:szCs w:val="21"/>
          <w:u w:val="single"/>
          <w:lang w:val="en-US" w:eastAsia="zh-CN"/>
        </w:rPr>
        <w:t xml:space="preserve">  0302 0736 0910 0064 031             </w:t>
      </w: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pacing w:line="360" w:lineRule="auto"/>
        <w:ind w:left="420"/>
        <w:textAlignment w:val="auto"/>
        <w:rPr>
          <w:rFonts w:ascii="宋体" w:hAnsi="宋体"/>
        </w:rPr>
      </w:pPr>
      <w:r>
        <w:rPr>
          <w:rFonts w:hint="eastAsia" w:ascii="宋体" w:hAnsi="宋体"/>
        </w:rPr>
        <w:t>第</w:t>
      </w:r>
      <w:r>
        <w:rPr>
          <w:rFonts w:hint="eastAsia" w:ascii="宋体" w:hAnsi="宋体"/>
          <w:lang w:val="en-US" w:eastAsia="zh-CN"/>
        </w:rPr>
        <w:t>三</w:t>
      </w:r>
      <w:r>
        <w:rPr>
          <w:rFonts w:hint="eastAsia" w:ascii="宋体" w:hAnsi="宋体"/>
        </w:rPr>
        <w:t>条  双方的义务</w:t>
      </w:r>
    </w:p>
    <w:p>
      <w:pPr>
        <w:keepNext w:val="0"/>
        <w:keepLines w:val="0"/>
        <w:pageBreakBefore w:val="0"/>
        <w:widowControl w:val="0"/>
        <w:kinsoku/>
        <w:wordWrap/>
        <w:overflowPunct/>
        <w:topLinePunct w:val="0"/>
        <w:autoSpaceDE/>
        <w:autoSpaceDN/>
        <w:bidi w:val="0"/>
        <w:adjustRightInd/>
        <w:spacing w:line="360" w:lineRule="auto"/>
        <w:ind w:firstLine="420" w:firstLineChars="200"/>
        <w:textAlignment w:val="auto"/>
        <w:rPr>
          <w:rFonts w:hint="eastAsia" w:ascii="宋体" w:hAnsi="宋体"/>
        </w:rPr>
      </w:pPr>
      <w:r>
        <w:rPr>
          <w:rFonts w:hint="eastAsia" w:ascii="宋体" w:hAnsi="宋体"/>
          <w:lang w:val="en-US" w:eastAsia="zh-CN"/>
        </w:rPr>
        <w:t>1</w:t>
      </w:r>
      <w:r>
        <w:rPr>
          <w:rFonts w:hint="eastAsia" w:ascii="宋体" w:hAnsi="宋体"/>
        </w:rPr>
        <w:t>、</w:t>
      </w:r>
      <w:r>
        <w:rPr>
          <w:rFonts w:hint="eastAsia" w:ascii="宋体" w:hAnsi="宋体"/>
          <w:lang w:val="en-US" w:eastAsia="zh-CN"/>
        </w:rPr>
        <w:t>乙方</w:t>
      </w:r>
      <w:r>
        <w:rPr>
          <w:rFonts w:hint="eastAsia" w:ascii="宋体" w:hAnsi="宋体"/>
        </w:rPr>
        <w:t>维护甲方的合法权益，保护甲方委托材料的完整性，</w:t>
      </w:r>
      <w:r>
        <w:rPr>
          <w:rFonts w:hint="eastAsia" w:ascii="宋体" w:hAnsi="宋体"/>
          <w:lang w:val="en-US" w:eastAsia="zh-CN"/>
        </w:rPr>
        <w:t>对</w:t>
      </w:r>
      <w:r>
        <w:rPr>
          <w:rFonts w:hint="eastAsia" w:ascii="宋体" w:hAnsi="宋体"/>
        </w:rPr>
        <w:t>甲方提供的资料、数据</w:t>
      </w:r>
      <w:r>
        <w:rPr>
          <w:rFonts w:hint="eastAsia" w:ascii="宋体" w:hAnsi="宋体"/>
          <w:lang w:val="en-US" w:eastAsia="zh-CN"/>
        </w:rPr>
        <w:t>负有保密义务</w:t>
      </w:r>
      <w:r>
        <w:rPr>
          <w:rFonts w:hint="eastAsia" w:ascii="宋体" w:hAnsi="宋体"/>
        </w:rPr>
        <w:t>。</w:t>
      </w:r>
    </w:p>
    <w:p>
      <w:pPr>
        <w:keepNext w:val="0"/>
        <w:keepLines w:val="0"/>
        <w:pageBreakBefore w:val="0"/>
        <w:widowControl w:val="0"/>
        <w:tabs>
          <w:tab w:val="left" w:pos="621"/>
        </w:tabs>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2、乙方收到本合同约定款项及全部报送材料之日起，需在法律期限内将相关业务报送国家指定审查部门。</w:t>
      </w:r>
    </w:p>
    <w:p>
      <w:pPr>
        <w:keepNext w:val="0"/>
        <w:keepLines w:val="0"/>
        <w:pageBreakBefore w:val="0"/>
        <w:widowControl w:val="0"/>
        <w:tabs>
          <w:tab w:val="left" w:pos="621"/>
        </w:tabs>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rPr>
      </w:pPr>
      <w:r>
        <w:rPr>
          <w:rFonts w:hint="eastAsia" w:ascii="宋体" w:hAnsi="宋体"/>
          <w:lang w:val="en-US" w:eastAsia="zh-CN"/>
        </w:rPr>
        <w:t>3</w:t>
      </w:r>
      <w:r>
        <w:rPr>
          <w:rFonts w:hint="eastAsia" w:ascii="宋体" w:hAnsi="宋体"/>
        </w:rPr>
        <w:t>、乙方应在办理商标相关事项过程中，对由国家局下发的法律文件或其它相关文件，及时送达甲方。</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、乙方服务期限至国家工商行政管理总局商标局或商标评审委员会</w:t>
      </w:r>
      <w:r>
        <w:rPr>
          <w:rFonts w:hint="eastAsia" w:asciiTheme="minorEastAsia" w:hAnsiTheme="minorEastAsia" w:eastAsiaTheme="minorEastAsia" w:cstheme="minorEastAsia"/>
          <w:color w:val="000000"/>
          <w:sz w:val="21"/>
          <w:szCs w:val="21"/>
        </w:rPr>
        <w:t>下达代理事项裁定文书之日止</w:t>
      </w:r>
      <w:r>
        <w:rPr>
          <w:rFonts w:hint="eastAsia" w:asciiTheme="minorEastAsia" w:hAnsiTheme="minorEastAsia" w:eastAsiaTheme="minorEastAsia" w:cstheme="minorEastAsia"/>
          <w:sz w:val="21"/>
          <w:szCs w:val="21"/>
        </w:rPr>
        <w:t>，如甲方需要乙方继续代理其他事项，双方另行签订委托合同，否则乙方不具有必然义务。</w:t>
      </w:r>
    </w:p>
    <w:p>
      <w:pPr>
        <w:keepNext w:val="0"/>
        <w:keepLines w:val="0"/>
        <w:pageBreakBefore w:val="0"/>
        <w:widowControl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乙方所有通知都将以电子邮件形式发送至“甲方联系人”的Email</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甲方若有变更，如企业变更、联系人变更、电话变更等须及时</w:t>
      </w:r>
      <w:r>
        <w:rPr>
          <w:rFonts w:hint="eastAsia" w:asciiTheme="minorEastAsia" w:hAnsiTheme="minorEastAsia" w:eastAsiaTheme="minorEastAsia" w:cstheme="minorEastAsia"/>
          <w:sz w:val="21"/>
          <w:szCs w:val="21"/>
          <w:lang w:val="en-US" w:eastAsia="zh-CN"/>
        </w:rPr>
        <w:t>书面</w:t>
      </w:r>
      <w:r>
        <w:rPr>
          <w:rFonts w:hint="eastAsia" w:asciiTheme="minorEastAsia" w:hAnsiTheme="minorEastAsia" w:eastAsiaTheme="minorEastAsia" w:cstheme="minorEastAsia"/>
          <w:sz w:val="21"/>
          <w:szCs w:val="21"/>
        </w:rPr>
        <w:t>通知乙方，办理变更手续</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否则由此产生的</w:t>
      </w:r>
      <w:r>
        <w:rPr>
          <w:rFonts w:hint="eastAsia" w:asciiTheme="minorEastAsia" w:hAnsiTheme="minorEastAsia" w:eastAsiaTheme="minorEastAsia" w:cstheme="minorEastAsia"/>
          <w:sz w:val="21"/>
          <w:szCs w:val="21"/>
          <w:lang w:val="en-US" w:eastAsia="zh-CN"/>
        </w:rPr>
        <w:t>责任</w:t>
      </w:r>
      <w:r>
        <w:rPr>
          <w:rFonts w:hint="eastAsia" w:asciiTheme="minorEastAsia" w:hAnsiTheme="minorEastAsia" w:eastAsiaTheme="minorEastAsia" w:cstheme="minorEastAsia"/>
          <w:sz w:val="21"/>
          <w:szCs w:val="21"/>
        </w:rPr>
        <w:t>由甲方承担。</w:t>
      </w:r>
    </w:p>
    <w:p>
      <w:pPr>
        <w:keepNext w:val="0"/>
        <w:keepLines w:val="0"/>
        <w:pageBreakBefore w:val="0"/>
        <w:widowControl w:val="0"/>
        <w:kinsoku/>
        <w:wordWrap/>
        <w:overflowPunct/>
        <w:topLinePunct w:val="0"/>
        <w:autoSpaceDE/>
        <w:autoSpaceDN/>
        <w:bidi w:val="0"/>
        <w:adjustRightInd/>
        <w:snapToGrid w:val="0"/>
        <w:spacing w:line="360" w:lineRule="auto"/>
        <w:ind w:left="420" w:leftChars="200" w:firstLine="0" w:firstLineChars="0"/>
        <w:textAlignment w:val="auto"/>
        <w:rPr>
          <w:rFonts w:hint="eastAsia" w:ascii="宋体" w:hAnsi="宋体"/>
        </w:rPr>
      </w:pPr>
      <w:r>
        <w:rPr>
          <w:rFonts w:hint="eastAsia" w:asciiTheme="minorEastAsia" w:hAnsiTheme="minorEastAsia" w:eastAsiaTheme="minorEastAsia" w:cstheme="minorEastAsia"/>
          <w:sz w:val="21"/>
          <w:szCs w:val="21"/>
          <w:lang w:val="en-US" w:eastAsia="zh-CN"/>
        </w:rPr>
        <w:t>6、</w:t>
      </w:r>
      <w:r>
        <w:rPr>
          <w:rFonts w:hint="eastAsia" w:ascii="宋体" w:hAnsi="宋体"/>
        </w:rPr>
        <w:t>甲方对提供办理商标相关业务所需的文件、证件、资料，做到真实、有效、合法、准确</w:t>
      </w:r>
      <w:r>
        <w:rPr>
          <w:rFonts w:hint="eastAsia" w:ascii="宋体" w:hAnsi="宋体"/>
          <w:lang w:eastAsia="zh-CN"/>
        </w:rPr>
        <w:t>；</w:t>
      </w:r>
      <w:r>
        <w:rPr>
          <w:rFonts w:hint="eastAsia" w:ascii="宋体" w:hAnsi="宋体"/>
        </w:rPr>
        <w:t>甲方在具体业务报送文件上的盖章视为甲方对报送文件所有内容的最终确认。</w:t>
      </w:r>
      <w:r>
        <w:rPr>
          <w:rFonts w:hint="eastAsia" w:ascii="宋体" w:hAnsi="宋体"/>
          <w:lang w:val="en-US" w:eastAsia="zh-CN"/>
        </w:rPr>
        <w:t>甲方需</w:t>
      </w:r>
      <w:r>
        <w:rPr>
          <w:rFonts w:hint="eastAsia" w:ascii="宋体" w:hAnsi="宋体"/>
        </w:rPr>
        <w:t>依法承担在生产经营中涉及的商标权利纠纷的法律责任</w:t>
      </w:r>
    </w:p>
    <w:p>
      <w:pPr>
        <w:keepNext w:val="0"/>
        <w:keepLines w:val="0"/>
        <w:pageBreakBefore w:val="0"/>
        <w:widowControl w:val="0"/>
        <w:kinsoku/>
        <w:wordWrap/>
        <w:overflowPunct/>
        <w:topLinePunct w:val="0"/>
        <w:autoSpaceDE/>
        <w:autoSpaceDN/>
        <w:bidi w:val="0"/>
        <w:adjustRightInd/>
        <w:snapToGrid w:val="0"/>
        <w:spacing w:line="360" w:lineRule="auto"/>
        <w:ind w:left="420" w:leftChars="200" w:firstLine="0" w:firstLineChars="0"/>
        <w:textAlignment w:val="auto"/>
        <w:rPr>
          <w:rFonts w:hint="eastAsia" w:ascii="宋体" w:hAnsi="宋体"/>
        </w:rPr>
      </w:pPr>
      <w:r>
        <w:rPr>
          <w:rFonts w:hint="eastAsia" w:ascii="宋体" w:hAnsi="宋体"/>
          <w:lang w:val="en-US" w:eastAsia="zh-CN"/>
        </w:rPr>
        <w:t>7</w:t>
      </w:r>
      <w:r>
        <w:rPr>
          <w:rFonts w:hint="eastAsia" w:ascii="宋体" w:hAnsi="宋体"/>
        </w:rPr>
        <w:t>、如甲方提供的材料不符合本条款</w:t>
      </w:r>
      <w:r>
        <w:rPr>
          <w:rFonts w:hint="eastAsia" w:ascii="宋体" w:hAnsi="宋体"/>
          <w:lang w:val="en-US" w:eastAsia="zh-CN"/>
        </w:rPr>
        <w:t>第三条第6款</w:t>
      </w:r>
      <w:r>
        <w:rPr>
          <w:rFonts w:hint="eastAsia" w:ascii="宋体" w:hAnsi="宋体"/>
        </w:rPr>
        <w:t>要求</w:t>
      </w:r>
      <w:r>
        <w:rPr>
          <w:rFonts w:hint="eastAsia" w:ascii="宋体" w:hAnsi="宋体"/>
          <w:lang w:val="en-US" w:eastAsia="zh-CN"/>
        </w:rPr>
        <w:t>的</w:t>
      </w:r>
      <w:r>
        <w:rPr>
          <w:rFonts w:hint="eastAsia" w:ascii="宋体" w:hAnsi="宋体"/>
        </w:rPr>
        <w:t>，乙方有权利终止办理甲方委托的业务，所收费用不予退还。</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8、甲方如有需要乙方邮寄纸质文件的，乙方负责给甲方邮寄，邮寄费用为到付由甲方支付。</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第四条  合同签订方式</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1、本协议为电子合同，通过乙方网站以电子协议文本的方式签订。</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2、本协议的服务总价格是根据甲方确认提交的订单生成，甲方完全理解并认可本协议的所有条款，甲方点击确认且按协议付款后，乙方在2个工作日内做线上审核。</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3、乙方审核确认后本协议生效，无需甲方签字或盖章即对甲乙双方产生法律约束力。本协议可在好智平台下载，甲乙双方各执壹份，具有同等法律效力。</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4、甲方自行保管的所有与本协议有关的书面文件或电子信息与乙方网站保管的文件或信息内容不一致而导致争议时，均以乙方网站保管的文件或信息为准。</w:t>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宋体" w:hAnsi="宋体"/>
          <w:highlight w:val="none"/>
        </w:rPr>
      </w:pPr>
      <w:r>
        <w:rPr>
          <w:rFonts w:hint="eastAsia" w:asciiTheme="minorEastAsia" w:hAnsiTheme="minorEastAsia" w:eastAsiaTheme="minorEastAsia" w:cstheme="minorEastAsia"/>
          <w:sz w:val="21"/>
          <w:szCs w:val="21"/>
          <w:highlight w:val="none"/>
          <w:lang w:val="en-US" w:eastAsia="zh-CN"/>
        </w:rPr>
        <w:t xml:space="preserve">第五条  </w:t>
      </w:r>
      <w:r>
        <w:rPr>
          <w:rFonts w:hint="eastAsia" w:ascii="宋体" w:hAnsi="宋体"/>
          <w:highlight w:val="none"/>
        </w:rPr>
        <w:t xml:space="preserve"> 附则</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宋体" w:hAnsi="宋体"/>
        </w:rPr>
      </w:pPr>
      <w:r>
        <w:rPr>
          <w:rFonts w:hint="eastAsia" w:ascii="宋体" w:hAnsi="宋体"/>
          <w:highlight w:val="none"/>
          <w:lang w:val="en-US" w:eastAsia="zh-CN"/>
        </w:rPr>
        <w:t>1、</w:t>
      </w:r>
      <w:r>
        <w:rPr>
          <w:rFonts w:hint="eastAsia" w:ascii="宋体" w:hAnsi="宋体"/>
        </w:rPr>
        <w:t>由于出现不可预见或国家政策、法规等变动的情况，影响委托业务的如期完成，甲方或乙方可要求变更合同条款，但应及时通知对方协商解决。</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宋体" w:hAnsi="宋体"/>
        </w:rPr>
      </w:pPr>
      <w:r>
        <w:rPr>
          <w:rFonts w:hint="eastAsia" w:ascii="宋体" w:hAnsi="宋体"/>
          <w:lang w:val="en-US" w:eastAsia="zh-CN"/>
        </w:rPr>
        <w:t>2</w:t>
      </w:r>
      <w:r>
        <w:rPr>
          <w:rFonts w:hint="eastAsia" w:ascii="宋体" w:hAnsi="宋体"/>
        </w:rPr>
        <w:t>、本协议中代理事项之相关文件一经报送，无论最终是否被核准通过，</w:t>
      </w:r>
      <w:r>
        <w:rPr>
          <w:rFonts w:hint="eastAsia" w:ascii="宋体" w:hAnsi="宋体"/>
          <w:lang w:val="en-US" w:eastAsia="zh-CN"/>
        </w:rPr>
        <w:t>已付</w:t>
      </w:r>
      <w:r>
        <w:rPr>
          <w:rFonts w:hint="eastAsia" w:ascii="宋体" w:hAnsi="宋体"/>
        </w:rPr>
        <w:t>费用不予退还。</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ascii="宋体" w:hAnsi="宋体"/>
        </w:rPr>
      </w:pPr>
      <w:r>
        <w:rPr>
          <w:rFonts w:hint="eastAsia" w:asciiTheme="minorEastAsia" w:hAnsiTheme="minorEastAsia" w:eastAsiaTheme="minorEastAsia" w:cstheme="minorEastAsia"/>
          <w:u w:val="single"/>
          <w:lang w:val="en-US" w:eastAsia="zh-CN"/>
        </w:rPr>
        <w:drawing>
          <wp:anchor distT="0" distB="0" distL="114300" distR="114300" simplePos="0" relativeHeight="251658240" behindDoc="1" locked="0" layoutInCell="1" allowOverlap="1">
            <wp:simplePos x="0" y="0"/>
            <wp:positionH relativeFrom="column">
              <wp:posOffset>4600575</wp:posOffset>
            </wp:positionH>
            <wp:positionV relativeFrom="paragraph">
              <wp:posOffset>117475</wp:posOffset>
            </wp:positionV>
            <wp:extent cx="1252855" cy="1242695"/>
            <wp:effectExtent l="0" t="0" r="4445" b="14605"/>
            <wp:wrapNone/>
            <wp:docPr id="3" name="图片 3" descr="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章"/>
                    <pic:cNvPicPr>
                      <a:picLocks noChangeAspect="1"/>
                    </pic:cNvPicPr>
                  </pic:nvPicPr>
                  <pic:blipFill>
                    <a:blip r:embed="rId6"/>
                    <a:stretch>
                      <a:fillRect/>
                    </a:stretch>
                  </pic:blipFill>
                  <pic:spPr>
                    <a:xfrm>
                      <a:off x="0" y="0"/>
                      <a:ext cx="1252855" cy="1242695"/>
                    </a:xfrm>
                    <a:prstGeom prst="rect">
                      <a:avLst/>
                    </a:prstGeom>
                  </pic:spPr>
                </pic:pic>
              </a:graphicData>
            </a:graphic>
          </wp:anchor>
        </w:drawing>
      </w:r>
      <w:r>
        <w:rPr>
          <w:rFonts w:hint="eastAsia" w:ascii="宋体" w:hAnsi="宋体"/>
          <w:lang w:val="en-US" w:eastAsia="zh-CN"/>
        </w:rPr>
        <w:t>3、</w:t>
      </w:r>
      <w:r>
        <w:rPr>
          <w:rFonts w:hint="eastAsia" w:ascii="宋体" w:hAnsi="宋体"/>
        </w:rPr>
        <w:t>本协议在履行过程中发生的争议，双方协商解决</w:t>
      </w:r>
      <w:r>
        <w:rPr>
          <w:rFonts w:hint="eastAsia" w:ascii="宋体" w:hAnsi="宋体"/>
          <w:lang w:eastAsia="zh-CN"/>
        </w:rPr>
        <w:t>；</w:t>
      </w:r>
      <w:r>
        <w:rPr>
          <w:rFonts w:hint="eastAsia" w:ascii="宋体" w:hAnsi="宋体"/>
        </w:rPr>
        <w:t>协商不成</w:t>
      </w:r>
      <w:r>
        <w:rPr>
          <w:rFonts w:hint="eastAsia" w:ascii="宋体" w:hAnsi="宋体"/>
          <w:lang w:val="en-US" w:eastAsia="zh-CN"/>
        </w:rPr>
        <w:t>的</w:t>
      </w:r>
      <w:r>
        <w:rPr>
          <w:rFonts w:hint="eastAsia" w:ascii="宋体" w:hAnsi="宋体"/>
        </w:rPr>
        <w:t xml:space="preserve">按相关法律规定处理。 </w:t>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b w:val="0"/>
          <w:bCs/>
          <w:lang w:val="en-US" w:eastAsia="zh-CN"/>
        </w:rPr>
      </w:pPr>
      <w:r>
        <w:rPr>
          <w:rFonts w:hint="eastAsia" w:asciiTheme="minorEastAsia" w:hAnsiTheme="minorEastAsia" w:eastAsiaTheme="minorEastAsia" w:cstheme="minorEastAsia"/>
          <w:sz w:val="21"/>
          <w:szCs w:val="21"/>
          <w:lang w:val="en-US" w:eastAsia="zh-CN"/>
        </w:rPr>
        <w:t>甲方（签章）：                                  乙方（签章）：</w:t>
      </w:r>
      <w:r>
        <w:rPr>
          <w:rFonts w:hint="eastAsia" w:asciiTheme="minorEastAsia" w:hAnsiTheme="minorEastAsia" w:eastAsiaTheme="minorEastAsia" w:cstheme="minorEastAsia"/>
          <w:b w:val="0"/>
          <w:bCs/>
          <w:lang w:val="en-US" w:eastAsia="zh-CN"/>
        </w:rPr>
        <w:t>好智（天津）企业管理咨询</w:t>
      </w:r>
    </w:p>
    <w:p>
      <w:pPr>
        <w:keepNext w:val="0"/>
        <w:keepLines w:val="0"/>
        <w:pageBreakBefore w:val="0"/>
        <w:kinsoku/>
        <w:wordWrap/>
        <w:overflowPunct/>
        <w:topLinePunct w:val="0"/>
        <w:autoSpaceDE/>
        <w:autoSpaceDN/>
        <w:bidi w:val="0"/>
        <w:adjustRightInd/>
        <w:snapToGrid w:val="0"/>
        <w:spacing w:line="360" w:lineRule="auto"/>
        <w:ind w:left="0" w:leftChars="0" w:firstLine="6938" w:firstLineChars="3304"/>
        <w:textAlignment w:val="auto"/>
        <w:rPr>
          <w:rFonts w:hint="eastAsia" w:ascii="宋体" w:hAnsi="宋体"/>
          <w:lang w:val="en-US" w:eastAsia="zh-CN"/>
        </w:rPr>
      </w:pPr>
      <w:r>
        <w:rPr>
          <w:rFonts w:hint="eastAsia" w:asciiTheme="minorEastAsia" w:hAnsiTheme="minorEastAsia" w:eastAsiaTheme="minorEastAsia" w:cstheme="minorEastAsia"/>
          <w:b w:val="0"/>
          <w:bCs/>
          <w:lang w:val="en-US" w:eastAsia="zh-CN"/>
        </w:rPr>
        <w:t>有限责任公司</w:t>
      </w:r>
    </w:p>
    <w:p>
      <w:pPr>
        <w:widowControl/>
        <w:spacing w:beforeLines="50" w:line="260" w:lineRule="exact"/>
        <w:ind w:firstLine="420" w:firstLineChars="200"/>
        <w:rPr>
          <w:rFonts w:hint="default" w:ascii="宋体" w:hAnsi="宋体"/>
          <w:lang w:val="en-US" w:eastAsia="zh-CN"/>
        </w:rPr>
      </w:pPr>
      <w:r>
        <w:rPr>
          <w:rFonts w:hint="eastAsia" w:ascii="宋体" w:hAnsi="宋体"/>
          <w:lang w:val="en-US" w:eastAsia="zh-CN"/>
        </w:rPr>
        <w:t>授权代表：                                       授权代表：</w:t>
      </w: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default" w:ascii="宋体" w:hAnsi="宋体"/>
          <w:lang w:val="en-US" w:eastAsia="zh-CN"/>
        </w:rPr>
      </w:pPr>
      <w:r>
        <w:rPr>
          <w:rFonts w:hint="eastAsia" w:ascii="宋体" w:hAnsi="宋体"/>
          <w:lang w:val="en-US" w:eastAsia="zh-CN"/>
        </w:rPr>
        <w:t>签约日期：                                       签约日期：#stime</w:t>
      </w: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sectPr>
      <w:headerReference r:id="rId3" w:type="default"/>
      <w:footerReference r:id="rId4" w:type="default"/>
      <w:pgSz w:w="11906" w:h="16838"/>
      <w:pgMar w:top="1440" w:right="1080" w:bottom="1440" w:left="1080" w:header="651" w:footer="663"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Fira Code Retin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posOffset>2776220</wp:posOffset>
              </wp:positionH>
              <wp:positionV relativeFrom="paragraph">
                <wp:posOffset>9525</wp:posOffset>
              </wp:positionV>
              <wp:extent cx="116903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16903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8.6pt;margin-top:0.75pt;height:144pt;width:92.05pt;mso-position-horizontal-relative:margin;z-index:251658240;mso-width-relative:page;mso-height-relative:page;" filled="f" stroked="f" coordsize="21600,21600" o:gfxdata="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i8Onm2AAAAAkB&#10;AAAPAAAAAAAAAAEAIAAAACIAAABkcnMvZG93bnJldi54bWxQSwECFAAUAAAACACHTuJAIOSgCBsC&#10;AAAVBAAADgAAAAAAAAABACAAAAAnAQAAZHJzL2Uyb0RvYy54bWxQSwUGAAAAAAYABgBZAQAAtAUA&#10;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2" w:firstLineChars="200"/>
      <w:jc w:val="left"/>
      <w:rPr>
        <w:sz w:val="15"/>
        <w:szCs w:val="15"/>
      </w:rPr>
    </w:pPr>
    <w:r>
      <w:rPr>
        <w:rFonts w:hint="eastAsia"/>
        <w:b/>
        <w:sz w:val="21"/>
        <w:szCs w:val="21"/>
        <w:lang w:val="en-US" w:eastAsia="zh-CN"/>
      </w:rPr>
      <w:t>天津好智·专注知产 服务创新</w:t>
    </w:r>
    <w:r>
      <w:rPr>
        <w:rFonts w:hint="eastAsia"/>
        <w:b/>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F1D79"/>
    <w:multiLevelType w:val="multilevel"/>
    <w:tmpl w:val="57AF1D79"/>
    <w:lvl w:ilvl="0" w:tentative="0">
      <w:start w:val="1"/>
      <w:numFmt w:val="japaneseCounting"/>
      <w:lvlText w:val="第%1条"/>
      <w:lvlJc w:val="left"/>
      <w:pPr>
        <w:ind w:left="1245" w:hanging="825"/>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7AB"/>
    <w:rsid w:val="00000189"/>
    <w:rsid w:val="000C112B"/>
    <w:rsid w:val="00123B6D"/>
    <w:rsid w:val="00130F1F"/>
    <w:rsid w:val="0013676A"/>
    <w:rsid w:val="001417AB"/>
    <w:rsid w:val="00153A28"/>
    <w:rsid w:val="00165939"/>
    <w:rsid w:val="00194759"/>
    <w:rsid w:val="001A583C"/>
    <w:rsid w:val="001B5899"/>
    <w:rsid w:val="001C1B45"/>
    <w:rsid w:val="0034794C"/>
    <w:rsid w:val="003B6FE7"/>
    <w:rsid w:val="003F198D"/>
    <w:rsid w:val="003F1D52"/>
    <w:rsid w:val="0042026B"/>
    <w:rsid w:val="0042281E"/>
    <w:rsid w:val="00431222"/>
    <w:rsid w:val="00441C6C"/>
    <w:rsid w:val="00454C35"/>
    <w:rsid w:val="00457693"/>
    <w:rsid w:val="00495D72"/>
    <w:rsid w:val="004B3330"/>
    <w:rsid w:val="004D0B8F"/>
    <w:rsid w:val="004D1D78"/>
    <w:rsid w:val="004D2CB8"/>
    <w:rsid w:val="004D4891"/>
    <w:rsid w:val="004D5DC4"/>
    <w:rsid w:val="005217EA"/>
    <w:rsid w:val="005516B2"/>
    <w:rsid w:val="005A2F23"/>
    <w:rsid w:val="005E3943"/>
    <w:rsid w:val="00707085"/>
    <w:rsid w:val="00716A91"/>
    <w:rsid w:val="007365D0"/>
    <w:rsid w:val="00787DF8"/>
    <w:rsid w:val="007D738A"/>
    <w:rsid w:val="00822D76"/>
    <w:rsid w:val="008661B2"/>
    <w:rsid w:val="008E1EE6"/>
    <w:rsid w:val="008E229F"/>
    <w:rsid w:val="008F5BBE"/>
    <w:rsid w:val="0094058E"/>
    <w:rsid w:val="00997B29"/>
    <w:rsid w:val="009A030D"/>
    <w:rsid w:val="009C3A70"/>
    <w:rsid w:val="00A43FC9"/>
    <w:rsid w:val="00A55ADD"/>
    <w:rsid w:val="00A74713"/>
    <w:rsid w:val="00A83F41"/>
    <w:rsid w:val="00A86051"/>
    <w:rsid w:val="00B22FBA"/>
    <w:rsid w:val="00B92391"/>
    <w:rsid w:val="00B93C83"/>
    <w:rsid w:val="00C21F5D"/>
    <w:rsid w:val="00C9053F"/>
    <w:rsid w:val="00CB7FD7"/>
    <w:rsid w:val="00CF13BF"/>
    <w:rsid w:val="00CF1BDF"/>
    <w:rsid w:val="00CF7A6F"/>
    <w:rsid w:val="00D64693"/>
    <w:rsid w:val="00D8244A"/>
    <w:rsid w:val="00DB295C"/>
    <w:rsid w:val="00DB4F83"/>
    <w:rsid w:val="00DE5B7E"/>
    <w:rsid w:val="00E61530"/>
    <w:rsid w:val="00E90123"/>
    <w:rsid w:val="00ED6290"/>
    <w:rsid w:val="00EE05C2"/>
    <w:rsid w:val="00EE0C15"/>
    <w:rsid w:val="00F54D76"/>
    <w:rsid w:val="00F60631"/>
    <w:rsid w:val="00F93C5C"/>
    <w:rsid w:val="017A771A"/>
    <w:rsid w:val="0398361F"/>
    <w:rsid w:val="06855FF4"/>
    <w:rsid w:val="0848338A"/>
    <w:rsid w:val="09DD038B"/>
    <w:rsid w:val="0C98065A"/>
    <w:rsid w:val="0CFF0505"/>
    <w:rsid w:val="0D4924BC"/>
    <w:rsid w:val="0DEE2A03"/>
    <w:rsid w:val="0F01597D"/>
    <w:rsid w:val="0F2002FF"/>
    <w:rsid w:val="0F5463E3"/>
    <w:rsid w:val="103E1808"/>
    <w:rsid w:val="10A812E8"/>
    <w:rsid w:val="110B64DB"/>
    <w:rsid w:val="14440203"/>
    <w:rsid w:val="1E7A26EA"/>
    <w:rsid w:val="1EA53AC8"/>
    <w:rsid w:val="1ED17AF4"/>
    <w:rsid w:val="1F823E27"/>
    <w:rsid w:val="20096ABC"/>
    <w:rsid w:val="2285759C"/>
    <w:rsid w:val="228D51F3"/>
    <w:rsid w:val="262772FF"/>
    <w:rsid w:val="26F60CF5"/>
    <w:rsid w:val="27897DFE"/>
    <w:rsid w:val="27FB0209"/>
    <w:rsid w:val="2B7E2E62"/>
    <w:rsid w:val="2BE07447"/>
    <w:rsid w:val="2DC63B6E"/>
    <w:rsid w:val="31B309A6"/>
    <w:rsid w:val="32664DDA"/>
    <w:rsid w:val="34C016CF"/>
    <w:rsid w:val="360370E4"/>
    <w:rsid w:val="36423AF2"/>
    <w:rsid w:val="38680A1C"/>
    <w:rsid w:val="3D2A4669"/>
    <w:rsid w:val="410E61DE"/>
    <w:rsid w:val="420E1D3E"/>
    <w:rsid w:val="43727138"/>
    <w:rsid w:val="43C254F9"/>
    <w:rsid w:val="46E11A6D"/>
    <w:rsid w:val="47C67B6F"/>
    <w:rsid w:val="52E963AF"/>
    <w:rsid w:val="566473A0"/>
    <w:rsid w:val="56E332B6"/>
    <w:rsid w:val="57813FD9"/>
    <w:rsid w:val="58ED040C"/>
    <w:rsid w:val="5AC9000C"/>
    <w:rsid w:val="69881279"/>
    <w:rsid w:val="6AB60E2A"/>
    <w:rsid w:val="6C8F2CB7"/>
    <w:rsid w:val="6E541152"/>
    <w:rsid w:val="6F5D3C83"/>
    <w:rsid w:val="70DB378D"/>
    <w:rsid w:val="7161333D"/>
    <w:rsid w:val="718C403C"/>
    <w:rsid w:val="721B3439"/>
    <w:rsid w:val="77816E3F"/>
    <w:rsid w:val="79620DD4"/>
    <w:rsid w:val="7AA106B3"/>
    <w:rsid w:val="7CDE71EF"/>
    <w:rsid w:val="7E5C569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Balloon Text"/>
    <w:basedOn w:val="1"/>
    <w:link w:val="11"/>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9">
    <w:name w:val="annotation reference"/>
    <w:basedOn w:val="8"/>
    <w:unhideWhenUsed/>
    <w:qFormat/>
    <w:uiPriority w:val="99"/>
    <w:rPr>
      <w:sz w:val="21"/>
      <w:szCs w:val="21"/>
    </w:rPr>
  </w:style>
  <w:style w:type="character" w:customStyle="1" w:styleId="10">
    <w:name w:val="页脚 Char"/>
    <w:link w:val="4"/>
    <w:qFormat/>
    <w:uiPriority w:val="99"/>
    <w:rPr>
      <w:sz w:val="18"/>
      <w:szCs w:val="18"/>
    </w:rPr>
  </w:style>
  <w:style w:type="character" w:customStyle="1" w:styleId="11">
    <w:name w:val="批注框文本 Char"/>
    <w:link w:val="3"/>
    <w:semiHidden/>
    <w:qFormat/>
    <w:uiPriority w:val="99"/>
    <w:rPr>
      <w:sz w:val="18"/>
      <w:szCs w:val="18"/>
    </w:rPr>
  </w:style>
  <w:style w:type="character" w:customStyle="1" w:styleId="12">
    <w:name w:val="页眉 Char"/>
    <w:link w:val="5"/>
    <w:qFormat/>
    <w:uiPriority w:val="0"/>
    <w:rPr>
      <w:sz w:val="18"/>
      <w:szCs w:val="18"/>
    </w:rPr>
  </w:style>
  <w:style w:type="paragraph" w:customStyle="1" w:styleId="13">
    <w:name w:val="_Style 2"/>
    <w:basedOn w:val="1"/>
    <w:qFormat/>
    <w:uiPriority w:val="0"/>
    <w:pPr>
      <w:ind w:firstLine="420" w:firstLineChars="200"/>
    </w:pPr>
  </w:style>
  <w:style w:type="paragraph" w:customStyle="1" w:styleId="14">
    <w:name w:val="列出段落1"/>
    <w:basedOn w:val="1"/>
    <w:qFormat/>
    <w:uiPriority w:val="0"/>
    <w:pPr>
      <w:spacing w:line="520" w:lineRule="exact"/>
      <w:ind w:firstLine="420" w:firstLineChars="200"/>
      <w:jc w:val="left"/>
    </w:pPr>
    <w:rPr>
      <w:sz w:val="24"/>
      <w:szCs w:val="21"/>
    </w:rPr>
  </w:style>
  <w:style w:type="paragraph" w:styleId="1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314</Words>
  <Characters>1796</Characters>
  <Lines>14</Lines>
  <Paragraphs>4</Paragraphs>
  <TotalTime>6</TotalTime>
  <ScaleCrop>false</ScaleCrop>
  <LinksUpToDate>false</LinksUpToDate>
  <CharactersWithSpaces>2106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2018-03-01T08:03:00Z</dcterms:created>
  <dc:creator>lenovo</dc:creator>
  <cp:lastModifiedBy>Administrator</cp:lastModifiedBy>
  <dcterms:modified xsi:type="dcterms:W3CDTF">2020-01-13T06:42:19Z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