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rFonts w:hint="eastAsia"/>
          <w:b/>
          <w:sz w:val="28"/>
          <w:szCs w:val="32"/>
        </w:rPr>
      </w:pPr>
      <w:r>
        <w:rPr>
          <w:rFonts w:hint="eastAsia"/>
          <w:b/>
          <w:sz w:val="28"/>
          <w:szCs w:val="32"/>
        </w:rPr>
        <w:t>商标代理协议</w:t>
      </w:r>
    </w:p>
    <w:p>
      <w:pPr>
        <w:spacing w:line="320" w:lineRule="exact"/>
        <w:jc w:val="both"/>
        <w:rPr>
          <w:rFonts w:hint="eastAsia"/>
          <w:b/>
          <w:sz w:val="28"/>
          <w:szCs w:val="32"/>
        </w:rPr>
      </w:pPr>
    </w:p>
    <w:p>
      <w:pPr>
        <w:spacing w:line="320" w:lineRule="exact"/>
        <w:ind w:firstLine="422" w:firstLineChars="200"/>
        <w:jc w:val="left"/>
        <w:rPr>
          <w:rFonts w:hint="default"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委托方（甲方）：</w:t>
      </w:r>
      <w:r>
        <w:rPr>
          <w:rFonts w:hint="eastAsia" w:asciiTheme="minorEastAsia" w:hAnsiTheme="minorEastAsia" w:eastAsiaTheme="minorEastAsia" w:cstheme="minorEastAsia"/>
          <w:b/>
          <w:lang w:val="en-US" w:eastAsia="zh-CN"/>
        </w:rPr>
        <w:t>#jfGsName</w:t>
      </w:r>
    </w:p>
    <w:tbl>
      <w:tblPr>
        <w:tblStyle w:val="7"/>
        <w:tblW w:w="9000" w:type="dxa"/>
        <w:tblInd w:w="399" w:type="dxa"/>
        <w:tblLayout w:type="fixed"/>
        <w:tblCellMar>
          <w:top w:w="0" w:type="dxa"/>
          <w:left w:w="0" w:type="dxa"/>
          <w:bottom w:w="0" w:type="dxa"/>
          <w:right w:w="0" w:type="dxa"/>
        </w:tblCellMar>
      </w:tblPr>
      <w:tblGrid>
        <w:gridCol w:w="1440"/>
        <w:gridCol w:w="1080"/>
        <w:gridCol w:w="2160"/>
        <w:gridCol w:w="1080"/>
        <w:gridCol w:w="3240"/>
      </w:tblGrid>
      <w:tr>
        <w:tblPrEx>
          <w:tblCellMar>
            <w:top w:w="0" w:type="dxa"/>
            <w:left w:w="0" w:type="dxa"/>
            <w:bottom w:w="0" w:type="dxa"/>
            <w:right w:w="0" w:type="dxa"/>
          </w:tblCellMar>
        </w:tblPrEx>
        <w:trPr>
          <w:trHeight w:val="315" w:hRule="atLeast"/>
        </w:trPr>
        <w:tc>
          <w:tcPr>
            <w:tcW w:w="144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甲方联系人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姓名</w:t>
            </w:r>
          </w:p>
        </w:tc>
        <w:tc>
          <w:tcPr>
            <w:tcW w:w="2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Theme="minorEastAsia" w:hAnsiTheme="minorEastAsia" w:eastAsiaTheme="minorEastAsia" w:cstheme="minorEastAsia"/>
                <w:color w:val="000000"/>
                <w:szCs w:val="21"/>
                <w:lang w:val="en-US" w:eastAsia="zh-CN"/>
              </w:rPr>
            </w:pPr>
            <w:r>
              <w:rPr>
                <w:rFonts w:hint="eastAsia" w:asciiTheme="minorEastAsia" w:hAnsiTheme="minorEastAsia" w:eastAsiaTheme="minorEastAsia" w:cstheme="minorEastAsia"/>
                <w:color w:val="000000"/>
                <w:szCs w:val="21"/>
                <w:lang w:val="en-US" w:eastAsia="zh-CN"/>
              </w:rPr>
              <w:t>#jfName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color w:val="000000"/>
                <w:szCs w:val="21"/>
                <w:lang w:val="en-US" w:eastAsia="zh-CN"/>
              </w:rPr>
            </w:pPr>
            <w:r>
              <w:rPr>
                <w:rFonts w:hint="eastAsia" w:asciiTheme="minorEastAsia" w:hAnsiTheme="minorEastAsia" w:eastAsiaTheme="minorEastAsia" w:cstheme="minorEastAsia"/>
                <w:color w:val="000000"/>
                <w:szCs w:val="21"/>
                <w:lang w:val="en-US" w:eastAsia="zh-CN"/>
              </w:rPr>
              <w:t>#jfEmail</w:t>
            </w:r>
          </w:p>
        </w:tc>
      </w:tr>
      <w:tr>
        <w:tblPrEx>
          <w:tblCellMar>
            <w:top w:w="0" w:type="dxa"/>
            <w:left w:w="0" w:type="dxa"/>
            <w:bottom w:w="0" w:type="dxa"/>
            <w:right w:w="0" w:type="dxa"/>
          </w:tblCellMar>
        </w:tblPrEx>
        <w:trPr>
          <w:trHeight w:val="270" w:hRule="atLeast"/>
        </w:trPr>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Cs w:val="21"/>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电话</w:t>
            </w:r>
          </w:p>
        </w:tc>
        <w:tc>
          <w:tcPr>
            <w:tcW w:w="216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color w:val="000000"/>
                <w:szCs w:val="21"/>
                <w:lang w:val="en-US" w:eastAsia="zh-CN"/>
              </w:rPr>
            </w:pPr>
            <w:r>
              <w:rPr>
                <w:rFonts w:hint="eastAsia" w:asciiTheme="minorEastAsia" w:hAnsiTheme="minorEastAsia" w:eastAsiaTheme="minorEastAsia" w:cstheme="minorEastAsia"/>
                <w:color w:val="000000"/>
                <w:szCs w:val="21"/>
                <w:lang w:val="en-US" w:eastAsia="zh-CN"/>
              </w:rPr>
              <w:t>#jfNum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信用代码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color w:val="000000"/>
                <w:szCs w:val="21"/>
                <w:lang w:val="en-US" w:eastAsia="zh-CN"/>
              </w:rPr>
            </w:pPr>
            <w:r>
              <w:rPr>
                <w:rFonts w:hint="eastAsia" w:asciiTheme="minorEastAsia" w:hAnsiTheme="minorEastAsia" w:eastAsiaTheme="minorEastAsia" w:cstheme="minorEastAsia"/>
                <w:color w:val="000000"/>
                <w:szCs w:val="21"/>
                <w:lang w:val="en-US" w:eastAsia="zh-CN"/>
              </w:rPr>
              <w:t>#jfXxdm</w:t>
            </w:r>
          </w:p>
        </w:tc>
      </w:tr>
    </w:tbl>
    <w:p>
      <w:pPr>
        <w:spacing w:line="320" w:lineRule="exact"/>
        <w:ind w:firstLine="422" w:firstLineChars="200"/>
        <w:jc w:val="left"/>
        <w:rPr>
          <w:rFonts w:asciiTheme="minorEastAsia" w:hAnsiTheme="minorEastAsia" w:eastAsiaTheme="minorEastAsia" w:cstheme="minorEastAsia"/>
          <w:b/>
        </w:rPr>
      </w:pPr>
      <w:r>
        <w:rPr>
          <w:rFonts w:hint="eastAsia" w:asciiTheme="minorEastAsia" w:hAnsiTheme="minorEastAsia" w:eastAsiaTheme="minorEastAsia" w:cstheme="minorEastAsia"/>
          <w:b/>
        </w:rPr>
        <w:t>受托方（乙方）：</w:t>
      </w:r>
      <w:r>
        <w:rPr>
          <w:rFonts w:hint="eastAsia" w:asciiTheme="minorEastAsia" w:hAnsiTheme="minorEastAsia" w:eastAsiaTheme="minorEastAsia" w:cstheme="minorEastAsia"/>
          <w:color w:val="000000"/>
          <w:szCs w:val="21"/>
        </w:rPr>
        <w:t>好智（天津）企业管理咨询有限责任公司</w:t>
      </w:r>
    </w:p>
    <w:tbl>
      <w:tblPr>
        <w:tblStyle w:val="7"/>
        <w:tblW w:w="9000" w:type="dxa"/>
        <w:tblInd w:w="384" w:type="dxa"/>
        <w:tblLayout w:type="fixed"/>
        <w:tblCellMar>
          <w:top w:w="0" w:type="dxa"/>
          <w:left w:w="0" w:type="dxa"/>
          <w:bottom w:w="0" w:type="dxa"/>
          <w:right w:w="0" w:type="dxa"/>
        </w:tblCellMar>
      </w:tblPr>
      <w:tblGrid>
        <w:gridCol w:w="1440"/>
        <w:gridCol w:w="3240"/>
        <w:gridCol w:w="1080"/>
        <w:gridCol w:w="3240"/>
      </w:tblGrid>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天津市高新区华苑产业园海泰信息广场G座5层</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heme="minorEastAsia" w:hAnsiTheme="minorEastAsia" w:eastAsiaTheme="minorEastAsia" w:cstheme="minorEastAsia"/>
                <w:color w:val="000000"/>
                <w:sz w:val="22"/>
                <w:lang w:val="en-US"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kern w:val="0"/>
                <w:szCs w:val="21"/>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color w:val="000000"/>
                <w:szCs w:val="21"/>
                <w:lang w:val="en-US" w:eastAsia="zh-CN"/>
              </w:rPr>
            </w:pPr>
            <w:r>
              <w:rPr>
                <w:rFonts w:hint="eastAsia" w:asciiTheme="minorEastAsia" w:hAnsiTheme="minorEastAsia" w:eastAsiaTheme="minorEastAsia" w:cstheme="minorEastAsia"/>
                <w:color w:val="000000"/>
                <w:szCs w:val="21"/>
                <w:lang w:val="en-US" w:eastAsia="zh-CN"/>
              </w:rPr>
              <w:t>#gwNum</w:t>
            </w:r>
          </w:p>
        </w:tc>
      </w:tr>
    </w:tbl>
    <w:p>
      <w:pPr>
        <w:spacing w:line="360" w:lineRule="auto"/>
        <w:ind w:firstLine="840" w:firstLineChars="400"/>
        <w:rPr>
          <w:rFonts w:asciiTheme="minorEastAsia" w:hAnsiTheme="minorEastAsia" w:eastAsiaTheme="minorEastAsia" w:cstheme="minorEastAsia"/>
        </w:rPr>
      </w:pPr>
      <w:r>
        <w:rPr>
          <w:rFonts w:hint="eastAsia" w:asciiTheme="minorEastAsia" w:hAnsiTheme="minorEastAsia" w:eastAsiaTheme="minorEastAsia" w:cstheme="minorEastAsia"/>
        </w:rPr>
        <w:t>兹有甲方委托乙方提供商标注册（集体商标、证明商标、地理标识、肖像商标等不适用网上申报的商标注册业务不适合本协议）代理服务，经双方协商一致，特订立下列约定共同遵守：</w:t>
      </w:r>
    </w:p>
    <w:p>
      <w:pPr>
        <w:numPr>
          <w:ilvl w:val="0"/>
          <w:numId w:val="1"/>
        </w:numPr>
        <w:spacing w:line="360" w:lineRule="auto"/>
        <w:ind w:left="420" w:firstLine="0"/>
        <w:jc w:val="left"/>
        <w:rPr>
          <w:rFonts w:asciiTheme="minorEastAsia" w:hAnsiTheme="minorEastAsia" w:eastAsiaTheme="minorEastAsia" w:cstheme="minorEastAsia"/>
          <w:u w:val="single"/>
        </w:rPr>
      </w:pP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u w:val="single"/>
        </w:rPr>
        <w:t>国内急速注册</w:t>
      </w:r>
      <w:r>
        <w:rPr>
          <w:rFonts w:hint="eastAsia" w:asciiTheme="minorEastAsia" w:hAnsiTheme="minorEastAsia" w:eastAsiaTheme="minorEastAsia" w:cstheme="minorEastAsia"/>
        </w:rPr>
        <w:t>，费用如下：</w:t>
      </w:r>
    </w:p>
    <w:tbl>
      <w:tblPr>
        <w:tblStyle w:val="7"/>
        <w:tblW w:w="8835" w:type="dxa"/>
        <w:tblInd w:w="501" w:type="dxa"/>
        <w:tblLayout w:type="fixed"/>
        <w:tblCellMar>
          <w:top w:w="0" w:type="dxa"/>
          <w:left w:w="0" w:type="dxa"/>
          <w:bottom w:w="0" w:type="dxa"/>
          <w:right w:w="0" w:type="dxa"/>
        </w:tblCellMar>
      </w:tblPr>
      <w:tblGrid>
        <w:gridCol w:w="3494"/>
        <w:gridCol w:w="1426"/>
        <w:gridCol w:w="1275"/>
        <w:gridCol w:w="1185"/>
        <w:gridCol w:w="1455"/>
      </w:tblGrid>
      <w:tr>
        <w:tblPrEx>
          <w:tblCellMar>
            <w:top w:w="0" w:type="dxa"/>
            <w:left w:w="0" w:type="dxa"/>
            <w:bottom w:w="0" w:type="dxa"/>
            <w:right w:w="0" w:type="dxa"/>
          </w:tblCellMar>
        </w:tblPrEx>
        <w:trPr>
          <w:trHeight w:val="285" w:hRule="atLeast"/>
        </w:trPr>
        <w:tc>
          <w:tcPr>
            <w:tcW w:w="349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spacing w:line="360" w:lineRule="auto"/>
              <w:jc w:val="center"/>
              <w:textAlignment w:val="center"/>
              <w:rPr>
                <w:rFonts w:ascii="宋体" w:hAnsi="宋体" w:cs="宋体"/>
                <w:b/>
                <w:color w:val="000000"/>
                <w:sz w:val="18"/>
                <w:szCs w:val="18"/>
              </w:rPr>
            </w:pPr>
            <w:r>
              <w:rPr>
                <w:rFonts w:hint="eastAsia" w:ascii="宋体" w:hAnsi="宋体" w:cs="宋体"/>
                <w:b/>
                <w:color w:val="000000"/>
                <w:kern w:val="0"/>
                <w:sz w:val="18"/>
                <w:szCs w:val="18"/>
              </w:rPr>
              <w:t>商标名称</w:t>
            </w:r>
          </w:p>
        </w:tc>
        <w:tc>
          <w:tcPr>
            <w:tcW w:w="142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spacing w:line="360" w:lineRule="auto"/>
              <w:jc w:val="center"/>
              <w:textAlignment w:val="center"/>
              <w:rPr>
                <w:rFonts w:ascii="宋体" w:hAnsi="宋体" w:cs="宋体"/>
                <w:b/>
                <w:color w:val="000000"/>
                <w:sz w:val="18"/>
                <w:szCs w:val="18"/>
              </w:rPr>
            </w:pPr>
            <w:r>
              <w:rPr>
                <w:rFonts w:hint="eastAsia" w:ascii="宋体" w:hAnsi="宋体" w:cs="宋体"/>
                <w:b/>
                <w:color w:val="000000"/>
                <w:kern w:val="0"/>
                <w:sz w:val="18"/>
                <w:szCs w:val="18"/>
              </w:rPr>
              <w:t>注册类别</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spacing w:line="360" w:lineRule="auto"/>
              <w:jc w:val="center"/>
              <w:textAlignment w:val="center"/>
              <w:rPr>
                <w:rFonts w:ascii="宋体" w:hAnsi="宋体" w:cs="宋体"/>
                <w:b/>
                <w:color w:val="000000"/>
                <w:sz w:val="18"/>
                <w:szCs w:val="18"/>
              </w:rPr>
            </w:pPr>
            <w:r>
              <w:rPr>
                <w:rFonts w:hint="eastAsia" w:ascii="宋体" w:hAnsi="宋体" w:cs="宋体"/>
                <w:b/>
                <w:color w:val="000000"/>
                <w:kern w:val="0"/>
                <w:sz w:val="18"/>
                <w:szCs w:val="18"/>
              </w:rPr>
              <w:t>代理费</w:t>
            </w:r>
          </w:p>
        </w:tc>
        <w:tc>
          <w:tcPr>
            <w:tcW w:w="11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spacing w:line="360" w:lineRule="auto"/>
              <w:jc w:val="center"/>
              <w:textAlignment w:val="center"/>
              <w:rPr>
                <w:rFonts w:ascii="宋体" w:hAnsi="宋体" w:cs="宋体"/>
                <w:b/>
                <w:color w:val="000000"/>
                <w:sz w:val="18"/>
                <w:szCs w:val="18"/>
              </w:rPr>
            </w:pPr>
            <w:r>
              <w:rPr>
                <w:rFonts w:hint="eastAsia" w:ascii="宋体" w:hAnsi="宋体" w:cs="宋体"/>
                <w:b/>
                <w:color w:val="000000"/>
                <w:kern w:val="0"/>
                <w:sz w:val="18"/>
                <w:szCs w:val="18"/>
              </w:rPr>
              <w:t>官费</w:t>
            </w:r>
          </w:p>
        </w:tc>
        <w:tc>
          <w:tcPr>
            <w:tcW w:w="14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spacing w:line="360" w:lineRule="auto"/>
              <w:jc w:val="center"/>
              <w:textAlignment w:val="center"/>
              <w:rPr>
                <w:rFonts w:ascii="宋体" w:hAnsi="宋体" w:cs="宋体"/>
                <w:b/>
                <w:color w:val="000000"/>
                <w:sz w:val="18"/>
                <w:szCs w:val="18"/>
              </w:rPr>
            </w:pPr>
            <w:r>
              <w:rPr>
                <w:rFonts w:hint="eastAsia" w:ascii="宋体" w:hAnsi="宋体" w:cs="宋体"/>
                <w:b/>
                <w:color w:val="000000"/>
                <w:kern w:val="0"/>
                <w:sz w:val="18"/>
                <w:szCs w:val="18"/>
              </w:rPr>
              <w:t>总计金额</w:t>
            </w:r>
          </w:p>
        </w:tc>
      </w:tr>
      <w:tr>
        <w:tblPrEx>
          <w:tblCellMar>
            <w:top w:w="0" w:type="dxa"/>
            <w:left w:w="0" w:type="dxa"/>
            <w:bottom w:w="0" w:type="dxa"/>
            <w:right w:w="0" w:type="dxa"/>
          </w:tblCellMar>
        </w:tblPrEx>
        <w:trPr>
          <w:trHeight w:val="285" w:hRule="atLeast"/>
        </w:trPr>
        <w:tc>
          <w:tcPr>
            <w:tcW w:w="349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line="360" w:lineRule="auto"/>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#sbName</w:t>
            </w:r>
          </w:p>
        </w:tc>
        <w:tc>
          <w:tcPr>
            <w:tcW w:w="1426"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line="360" w:lineRule="auto"/>
              <w:jc w:val="center"/>
              <w:rPr>
                <w:rFonts w:hint="default" w:ascii="宋体" w:hAnsi="宋体" w:eastAsia="宋体" w:cs="宋体"/>
                <w:color w:val="000000"/>
                <w:sz w:val="18"/>
                <w:szCs w:val="18"/>
                <w:lang w:val="en-US" w:eastAsia="zh-CN"/>
              </w:rPr>
            </w:pPr>
            <w:r>
              <w:rPr>
                <w:rFonts w:hint="eastAsia" w:ascii="宋体" w:hAnsi="宋体" w:cs="宋体"/>
                <w:color w:val="000000"/>
                <w:sz w:val="18"/>
                <w:szCs w:val="18"/>
                <w:lang w:val="en-US" w:eastAsia="zh-CN"/>
              </w:rPr>
              <w:t>#sb1</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spacing w:line="360" w:lineRule="auto"/>
              <w:jc w:val="center"/>
              <w:textAlignment w:val="center"/>
              <w:rPr>
                <w:rFonts w:ascii="宋体" w:hAnsi="宋体" w:cs="宋体"/>
                <w:color w:val="000000"/>
                <w:sz w:val="18"/>
                <w:szCs w:val="18"/>
              </w:rPr>
            </w:pPr>
            <w:r>
              <w:rPr>
                <w:rFonts w:hint="eastAsia" w:ascii="宋体" w:hAnsi="宋体" w:cs="宋体"/>
                <w:color w:val="000000"/>
                <w:kern w:val="0"/>
                <w:sz w:val="18"/>
                <w:szCs w:val="18"/>
                <w:lang w:val="en-US" w:eastAsia="zh-CN"/>
              </w:rPr>
              <w:t>#dlPrice</w:t>
            </w:r>
            <w:r>
              <w:rPr>
                <w:rFonts w:hint="eastAsia" w:ascii="宋体" w:hAnsi="宋体" w:cs="宋体"/>
                <w:color w:val="000000"/>
                <w:kern w:val="0"/>
                <w:sz w:val="18"/>
                <w:szCs w:val="18"/>
              </w:rPr>
              <w:t>元</w:t>
            </w:r>
          </w:p>
        </w:tc>
        <w:tc>
          <w:tcPr>
            <w:tcW w:w="11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spacing w:line="360" w:lineRule="auto"/>
              <w:jc w:val="center"/>
              <w:textAlignment w:val="center"/>
              <w:rPr>
                <w:rFonts w:ascii="宋体" w:hAnsi="宋体" w:cs="宋体"/>
                <w:color w:val="000000"/>
                <w:sz w:val="18"/>
                <w:szCs w:val="18"/>
              </w:rPr>
            </w:pPr>
            <w:r>
              <w:rPr>
                <w:rFonts w:hint="eastAsia" w:ascii="宋体" w:hAnsi="宋体" w:cs="宋体"/>
                <w:color w:val="000000"/>
                <w:kern w:val="0"/>
                <w:sz w:val="18"/>
                <w:szCs w:val="18"/>
                <w:lang w:val="en-US" w:eastAsia="zh-CN"/>
              </w:rPr>
              <w:t>#gfPrice</w:t>
            </w:r>
            <w:r>
              <w:rPr>
                <w:rFonts w:hint="eastAsia" w:ascii="宋体" w:hAnsi="宋体" w:cs="宋体"/>
                <w:color w:val="000000"/>
                <w:kern w:val="0"/>
                <w:sz w:val="18"/>
                <w:szCs w:val="18"/>
              </w:rPr>
              <w:t>元</w:t>
            </w:r>
          </w:p>
        </w:tc>
        <w:tc>
          <w:tcPr>
            <w:tcW w:w="14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spacing w:line="360" w:lineRule="auto"/>
              <w:jc w:val="center"/>
              <w:textAlignment w:val="center"/>
              <w:rPr>
                <w:rFonts w:ascii="宋体" w:hAnsi="宋体" w:cs="宋体"/>
                <w:color w:val="000000"/>
                <w:sz w:val="18"/>
                <w:szCs w:val="18"/>
              </w:rPr>
            </w:pPr>
            <w:r>
              <w:rPr>
                <w:rFonts w:hint="eastAsia" w:ascii="宋体" w:hAnsi="宋体" w:cs="宋体"/>
                <w:color w:val="000000"/>
                <w:kern w:val="0"/>
                <w:sz w:val="18"/>
                <w:szCs w:val="18"/>
                <w:lang w:val="en-US" w:eastAsia="zh-CN"/>
              </w:rPr>
              <w:t>#zjPrice</w:t>
            </w:r>
            <w:r>
              <w:rPr>
                <w:rFonts w:hint="eastAsia" w:ascii="宋体" w:hAnsi="宋体" w:cs="宋体"/>
                <w:color w:val="000000"/>
                <w:kern w:val="0"/>
                <w:sz w:val="18"/>
                <w:szCs w:val="18"/>
              </w:rPr>
              <w:t>元</w:t>
            </w:r>
          </w:p>
        </w:tc>
      </w:tr>
    </w:tbl>
    <w:p>
      <w:pPr>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 xml:space="preserve">    （商标注册确认信息详见附件；商标官费包含10个申请小项，超项的应增官费为30元/项/个）</w:t>
      </w:r>
    </w:p>
    <w:p>
      <w:pPr>
        <w:spacing w:line="360" w:lineRule="auto"/>
        <w:ind w:left="420" w:leftChars="20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本协议签订之日甲方向乙方指定账户（以本协议所提供的账号或乙方微信二维码为准，其他付款途径导致的风险乙方不承担）一次性支付服务费及官费合计人民币</w:t>
      </w:r>
      <w:r>
        <w:rPr>
          <w:rFonts w:hint="eastAsia" w:asciiTheme="minorEastAsia" w:hAnsiTheme="minorEastAsia" w:eastAsiaTheme="minorEastAsia" w:cstheme="minorEastAsia"/>
          <w:u w:val="single"/>
          <w:lang w:val="en-US" w:eastAsia="zh-CN"/>
        </w:rPr>
        <w:t xml:space="preserve">       #zjPrice     </w:t>
      </w:r>
      <w:r>
        <w:rPr>
          <w:rFonts w:hint="eastAsia" w:asciiTheme="minorEastAsia" w:hAnsiTheme="minorEastAsia" w:eastAsiaTheme="minorEastAsia" w:cstheme="minorEastAsia"/>
        </w:rPr>
        <w:t>￥元，大写人民币元</w:t>
      </w:r>
      <w:r>
        <w:rPr>
          <w:rFonts w:hint="eastAsia" w:asciiTheme="minorEastAsia" w:hAnsiTheme="minorEastAsia" w:eastAsiaTheme="minorEastAsia" w:cstheme="minorEastAsia"/>
          <w:u w:val="single"/>
          <w:lang w:val="en-US" w:eastAsia="zh-CN"/>
        </w:rPr>
        <w:t xml:space="preserve">      #dxZjPrice     </w:t>
      </w:r>
      <w:r>
        <w:rPr>
          <w:rFonts w:hint="eastAsia" w:asciiTheme="minorEastAsia" w:hAnsiTheme="minorEastAsia" w:eastAsiaTheme="minorEastAsia" w:cstheme="minorEastAsia"/>
        </w:rPr>
        <w:t>整</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乙方收到上述款项后启动服务。</w:t>
      </w:r>
      <w:r>
        <w:rPr>
          <w:rFonts w:hint="eastAsia" w:asciiTheme="minorEastAsia" w:hAnsiTheme="minorEastAsia" w:eastAsiaTheme="minorEastAsia" w:cstheme="minorEastAsia"/>
          <w:szCs w:val="21"/>
        </w:rPr>
        <w:t>因甲方付款、资料提交等延误导致的责任由甲方承担。</w:t>
      </w:r>
    </w:p>
    <w:p>
      <w:pPr>
        <w:ind w:left="420" w:leftChars="200"/>
        <w:rPr>
          <w:rFonts w:asciiTheme="minorEastAsia" w:hAnsiTheme="minorEastAsia" w:eastAsiaTheme="minorEastAsia" w:cstheme="minorEastAsia"/>
          <w:b/>
        </w:rPr>
      </w:pPr>
      <w:r>
        <w:rPr>
          <w:rFonts w:hint="eastAsia" w:asciiTheme="minorEastAsia" w:hAnsiTheme="minorEastAsia" w:eastAsiaTheme="minorEastAsia" w:cstheme="minorEastAsia"/>
          <w:b/>
        </w:rPr>
        <w:t>收款单位：</w:t>
      </w:r>
      <w:r>
        <w:rPr>
          <w:rFonts w:hint="eastAsia" w:asciiTheme="minorEastAsia" w:hAnsiTheme="minorEastAsia" w:eastAsiaTheme="minorEastAsia" w:cstheme="minorEastAsia"/>
          <w:color w:val="000000"/>
          <w:szCs w:val="21"/>
          <w:u w:val="single"/>
        </w:rPr>
        <w:t>好智（天津）企业管理咨询有限责任公司</w:t>
      </w:r>
    </w:p>
    <w:p>
      <w:pPr>
        <w:ind w:left="420" w:leftChars="200"/>
        <w:rPr>
          <w:rFonts w:asciiTheme="minorEastAsia" w:hAnsiTheme="minorEastAsia" w:eastAsiaTheme="minorEastAsia" w:cstheme="minorEastAsia"/>
          <w:b/>
        </w:rPr>
      </w:pPr>
      <w:r>
        <w:rPr>
          <w:rFonts w:hint="eastAsia" w:asciiTheme="minorEastAsia" w:hAnsiTheme="minorEastAsia" w:eastAsiaTheme="minorEastAsia" w:cstheme="minorEastAsia"/>
          <w:b/>
        </w:rPr>
        <w:t>开户行：</w:t>
      </w:r>
      <w:r>
        <w:rPr>
          <w:rFonts w:hint="eastAsia"/>
          <w:szCs w:val="21"/>
          <w:u w:val="single"/>
        </w:rPr>
        <w:t>中国工商银行股份有限公司天津新海支行</w:t>
      </w:r>
    </w:p>
    <w:p>
      <w:pPr>
        <w:ind w:left="420" w:leftChars="200"/>
        <w:rPr>
          <w:rFonts w:asciiTheme="minorEastAsia" w:hAnsiTheme="minorEastAsia" w:eastAsiaTheme="minorEastAsia" w:cstheme="minorEastAsia"/>
        </w:rPr>
      </w:pPr>
      <w:r>
        <w:rPr>
          <w:rFonts w:hint="eastAsia" w:asciiTheme="minorEastAsia" w:hAnsiTheme="minorEastAsia" w:eastAsiaTheme="minorEastAsia" w:cstheme="minorEastAsia"/>
          <w:b/>
        </w:rPr>
        <w:t>对公账号：</w:t>
      </w:r>
      <w:r>
        <w:rPr>
          <w:rFonts w:hint="eastAsia"/>
          <w:szCs w:val="21"/>
          <w:u w:val="single"/>
        </w:rPr>
        <w:t>0302 0736 0910 0064 031</w:t>
      </w:r>
    </w:p>
    <w:p>
      <w:pPr>
        <w:numPr>
          <w:ilvl w:val="0"/>
          <w:numId w:val="1"/>
        </w:numPr>
        <w:snapToGrid w:val="0"/>
        <w:spacing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相关约定</w:t>
      </w:r>
    </w:p>
    <w:p>
      <w:pPr>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1、乙方为甲方代理商标事项提供专业建议、撰写申请文件、审核材料、申请递交、代收法律文书等。</w:t>
      </w:r>
    </w:p>
    <w:p>
      <w:pPr>
        <w:snapToGrid w:val="0"/>
        <w:spacing w:line="360" w:lineRule="auto"/>
        <w:ind w:left="420" w:left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2、甲方对提供办理商标相关业务所需要的文件、证件、资料，做到真实、有效、准确、合法。</w:t>
      </w:r>
    </w:p>
    <w:p>
      <w:pPr>
        <w:snapToGrid w:val="0"/>
        <w:spacing w:line="360" w:lineRule="auto"/>
        <w:ind w:left="420" w:left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3、乙方应在甲方申请材料齐备且完成费用支付之日起1-2个工作日内提交商标申请；因甲方未在规定期限内提供材料或回复行政主管机关有期限的要求事项并造成不良后果的乙方不负责任，收取费用不予退还。</w:t>
      </w:r>
    </w:p>
    <w:p>
      <w:pPr>
        <w:snapToGrid w:val="0"/>
        <w:spacing w:line="360" w:lineRule="auto"/>
        <w:ind w:left="420" w:left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4、甲方应及时按要求提供申请材料、支付相关费用，甲方在该协议及具体业务报送文件上的盖章视为甲方对报送文件所有内容的最终确认；甲方应对行政主管机关有期限的要求事项予以及时回复确认。</w:t>
      </w:r>
    </w:p>
    <w:p>
      <w:pPr>
        <w:snapToGrid w:val="0"/>
        <w:spacing w:line="360" w:lineRule="auto"/>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5、因官方商标信息检索存在盲期及商标申请的不确定性等原因，乙方不承诺代理事项确保通过。</w:t>
      </w:r>
    </w:p>
    <w:p>
      <w:pPr>
        <w:tabs>
          <w:tab w:val="left" w:pos="621"/>
        </w:tabs>
        <w:snapToGrid w:val="0"/>
        <w:spacing w:line="360" w:lineRule="auto"/>
        <w:ind w:left="420" w:left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6、乙方服务期限至国家工商行政管理总局商标局或商标评审委员会</w:t>
      </w:r>
      <w:r>
        <w:rPr>
          <w:rFonts w:hint="eastAsia" w:asciiTheme="minorEastAsia" w:hAnsiTheme="minorEastAsia" w:eastAsiaTheme="minorEastAsia" w:cstheme="minorEastAsia"/>
          <w:color w:val="000000"/>
          <w:szCs w:val="21"/>
        </w:rPr>
        <w:t>下达代理事项裁定文书之日止</w:t>
      </w:r>
      <w:r>
        <w:rPr>
          <w:rFonts w:hint="eastAsia" w:asciiTheme="minorEastAsia" w:hAnsiTheme="minorEastAsia" w:eastAsiaTheme="minorEastAsia" w:cstheme="minorEastAsia"/>
          <w:szCs w:val="21"/>
        </w:rPr>
        <w:t>，如甲方需要乙方继续代理其他事项，双方另行签订委托合同，否则乙方不具有必然义务。</w:t>
      </w:r>
    </w:p>
    <w:p>
      <w:pPr>
        <w:snapToGrid w:val="0"/>
        <w:spacing w:line="360" w:lineRule="auto"/>
        <w:ind w:left="420" w:left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7、甲方若有变更，如企业变更、企业重组、联系人地址变更、电话变更等须及时通知乙方，办理相关变更手续，否则由此产生的责任由甲方承担。</w:t>
      </w:r>
    </w:p>
    <w:p>
      <w:pPr>
        <w:snapToGrid w:val="0"/>
        <w:spacing w:line="360" w:lineRule="auto"/>
        <w:ind w:left="420" w:left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8、乙方所有通知都将以电子邮件形式发送至“甲方联系人”的Email，甲方变更联系人及Email的应及时以书面或电子邮件的形式通知乙方，如因甲方未及时通知造成损失的，乙方不承担责任。</w:t>
      </w:r>
    </w:p>
    <w:p>
      <w:pPr>
        <w:snapToGrid w:val="0"/>
        <w:spacing w:line="360" w:lineRule="auto"/>
        <w:ind w:left="420" w:left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9、甲方如有需要乙方邮寄纸质文件的，乙方负责给甲方邮寄，邮寄费用为到付由甲方支付。</w:t>
      </w:r>
    </w:p>
    <w:p>
      <w:pPr>
        <w:snapToGrid w:val="0"/>
        <w:spacing w:line="360" w:lineRule="auto"/>
        <w:ind w:left="420"/>
        <w:rPr>
          <w:rFonts w:asciiTheme="minorEastAsia" w:hAnsiTheme="minorEastAsia" w:eastAsiaTheme="minorEastAsia" w:cstheme="minorEastAsia"/>
        </w:rPr>
      </w:pPr>
      <w:r>
        <w:rPr>
          <w:rFonts w:hint="eastAsia" w:asciiTheme="minorEastAsia" w:hAnsiTheme="minorEastAsia" w:eastAsiaTheme="minorEastAsia" w:cstheme="minorEastAsia"/>
        </w:rPr>
        <w:t>第四条  合同签订方式</w:t>
      </w:r>
    </w:p>
    <w:p>
      <w:pPr>
        <w:snapToGrid w:val="0"/>
        <w:spacing w:line="360" w:lineRule="auto"/>
        <w:ind w:left="420"/>
        <w:rPr>
          <w:rFonts w:asciiTheme="minorEastAsia" w:hAnsiTheme="minorEastAsia" w:eastAsiaTheme="minorEastAsia" w:cstheme="minorEastAsia"/>
        </w:rPr>
      </w:pPr>
      <w:r>
        <w:rPr>
          <w:rFonts w:hint="eastAsia" w:asciiTheme="minorEastAsia" w:hAnsiTheme="minorEastAsia" w:eastAsiaTheme="minorEastAsia" w:cstheme="minorEastAsia"/>
        </w:rPr>
        <w:t>1、本协议为电子合同，通过乙方平台以电子协议文本的方式签订。</w:t>
      </w:r>
    </w:p>
    <w:p>
      <w:pPr>
        <w:snapToGrid w:val="0"/>
        <w:spacing w:line="360" w:lineRule="auto"/>
        <w:ind w:left="420"/>
        <w:rPr>
          <w:rFonts w:asciiTheme="minorEastAsia" w:hAnsiTheme="minorEastAsia" w:eastAsiaTheme="minorEastAsia" w:cstheme="minorEastAsia"/>
        </w:rPr>
      </w:pPr>
      <w:r>
        <w:rPr>
          <w:rFonts w:hint="eastAsia" w:asciiTheme="minorEastAsia" w:hAnsiTheme="minorEastAsia" w:eastAsiaTheme="minorEastAsia" w:cstheme="minorEastAsia"/>
        </w:rPr>
        <w:t>2、本协议的服务总价格是根据甲方确认提交的订单生成，甲方完全理解并认可本协议的所有条款，甲方点击确认且按协议付款后，乙方在2个工作日内做线上审核。</w:t>
      </w:r>
    </w:p>
    <w:p>
      <w:pPr>
        <w:snapToGrid w:val="0"/>
        <w:spacing w:line="360" w:lineRule="auto"/>
        <w:ind w:left="420"/>
        <w:rPr>
          <w:rFonts w:asciiTheme="minorEastAsia" w:hAnsiTheme="minorEastAsia" w:eastAsiaTheme="minorEastAsia" w:cstheme="minorEastAsia"/>
        </w:rPr>
      </w:pPr>
      <w:r>
        <w:rPr>
          <w:rFonts w:hint="eastAsia" w:asciiTheme="minorEastAsia" w:hAnsiTheme="minorEastAsia" w:eastAsiaTheme="minorEastAsia" w:cstheme="minorEastAsia"/>
        </w:rPr>
        <w:t>3、乙方审核确认后本协议生效，无需甲方签字或盖章即对甲乙双方产生法律约束力。本协议可在好智平台下载，甲乙双方各执壹份，具有同等法律效力。</w:t>
      </w:r>
    </w:p>
    <w:p>
      <w:pPr>
        <w:snapToGrid w:val="0"/>
        <w:spacing w:line="360" w:lineRule="auto"/>
        <w:ind w:left="420"/>
        <w:rPr>
          <w:rFonts w:asciiTheme="minorEastAsia" w:hAnsiTheme="minorEastAsia" w:eastAsiaTheme="minorEastAsia" w:cstheme="minorEastAsia"/>
        </w:rPr>
      </w:pPr>
      <w:r>
        <w:rPr>
          <w:rFonts w:hint="eastAsia" w:asciiTheme="minorEastAsia" w:hAnsiTheme="minorEastAsia" w:eastAsiaTheme="minorEastAsia" w:cstheme="minorEastAsia"/>
        </w:rPr>
        <w:t>4、甲方自行保管的所有与本协议有关的书面文件或电子信息与乙方网站保管的文件或信息内容不一致而导致争议时，均以乙方网站保管的文件或信息为准。</w:t>
      </w:r>
    </w:p>
    <w:p>
      <w:pPr>
        <w:snapToGrid w:val="0"/>
        <w:spacing w:line="360" w:lineRule="auto"/>
        <w:ind w:left="420"/>
        <w:rPr>
          <w:rFonts w:asciiTheme="minorEastAsia" w:hAnsiTheme="minorEastAsia" w:eastAsiaTheme="minorEastAsia" w:cstheme="minorEastAsia"/>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4314825</wp:posOffset>
            </wp:positionH>
            <wp:positionV relativeFrom="paragraph">
              <wp:posOffset>253365</wp:posOffset>
            </wp:positionV>
            <wp:extent cx="1252855" cy="1242695"/>
            <wp:effectExtent l="0" t="0" r="4445" b="14605"/>
            <wp:wrapNone/>
            <wp:docPr id="1" name="图片 1"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r>
        <w:rPr>
          <w:rFonts w:hint="eastAsia" w:asciiTheme="minorEastAsia" w:hAnsiTheme="minorEastAsia" w:eastAsiaTheme="minorEastAsia" w:cstheme="minorEastAsia"/>
        </w:rPr>
        <w:t>5、如因履行本协议发生争议，双方应尽量协商解决；如协商不成，任何一方均可诉请乙方所在地的人民法院解决。</w:t>
      </w:r>
    </w:p>
    <w:p>
      <w:pPr>
        <w:snapToGrid w:val="0"/>
        <w:spacing w:line="360" w:lineRule="auto"/>
        <w:ind w:firstLine="420" w:firstLineChars="200"/>
        <w:rPr>
          <w:rFonts w:asciiTheme="minorEastAsia" w:hAnsiTheme="minorEastAsia" w:eastAsiaTheme="minorEastAsia" w:cstheme="minorEastAsia"/>
          <w:szCs w:val="21"/>
        </w:rPr>
      </w:pPr>
    </w:p>
    <w:p>
      <w:pPr>
        <w:snapToGrid w:val="0"/>
        <w:spacing w:line="360" w:lineRule="auto"/>
        <w:ind w:firstLine="420" w:firstLineChars="200"/>
        <w:rPr>
          <w:rFonts w:ascii="宋体" w:hAnsi="宋体"/>
        </w:rPr>
      </w:pPr>
      <w:r>
        <w:rPr>
          <w:rFonts w:hint="eastAsia" w:asciiTheme="minorEastAsia" w:hAnsiTheme="minorEastAsia" w:eastAsiaTheme="minorEastAsia" w:cstheme="minorEastAsia"/>
          <w:szCs w:val="21"/>
        </w:rPr>
        <w:t>甲方（签章）：                        乙方（签章）：</w:t>
      </w:r>
      <w:r>
        <w:rPr>
          <w:rFonts w:hint="eastAsia" w:asciiTheme="minorEastAsia" w:hAnsiTheme="minorEastAsia" w:eastAsiaTheme="minorEastAsia" w:cstheme="minorEastAsia"/>
          <w:color w:val="000000"/>
          <w:szCs w:val="21"/>
        </w:rPr>
        <w:t>好智（天津）企业管理咨询有限责任公司</w:t>
      </w:r>
    </w:p>
    <w:p>
      <w:pPr>
        <w:widowControl/>
        <w:spacing w:beforeLines="50" w:line="260" w:lineRule="exact"/>
        <w:ind w:firstLine="420" w:firstLineChars="200"/>
        <w:rPr>
          <w:rFonts w:ascii="宋体" w:hAnsi="宋体"/>
        </w:rPr>
      </w:pPr>
      <w:r>
        <w:rPr>
          <w:rFonts w:hint="eastAsia" w:ascii="宋体" w:hAnsi="宋体"/>
        </w:rPr>
        <w:t>授权代表：                            授权代表：</w:t>
      </w: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r>
        <w:rPr>
          <w:rFonts w:hint="eastAsia" w:ascii="宋体" w:hAnsi="宋体"/>
        </w:rPr>
        <w:t>签约日期：                            签约日期：</w:t>
      </w:r>
    </w:p>
    <w:p>
      <w:pPr>
        <w:widowControl/>
        <w:spacing w:beforeLines="50" w:line="260" w:lineRule="exact"/>
        <w:rPr>
          <w:rFonts w:ascii="宋体" w:hAnsi="宋体"/>
        </w:rPr>
      </w:pPr>
    </w:p>
    <w:p>
      <w:pPr>
        <w:widowControl/>
        <w:spacing w:beforeLines="50" w:line="260" w:lineRule="exact"/>
        <w:rPr>
          <w:rFonts w:ascii="宋体" w:hAnsi="宋体"/>
        </w:rPr>
      </w:pPr>
    </w:p>
    <w:p>
      <w:pPr>
        <w:widowControl/>
        <w:spacing w:beforeLines="50" w:line="260" w:lineRule="exact"/>
        <w:rPr>
          <w:rFonts w:ascii="宋体" w:hAnsi="宋体"/>
        </w:rPr>
      </w:pPr>
    </w:p>
    <w:p>
      <w:pPr>
        <w:widowControl/>
        <w:spacing w:beforeLines="50" w:line="260" w:lineRule="exact"/>
        <w:rPr>
          <w:rFonts w:ascii="宋体" w:hAnsi="宋体"/>
        </w:rPr>
      </w:pPr>
    </w:p>
    <w:p>
      <w:pPr>
        <w:widowControl/>
        <w:spacing w:beforeLines="50" w:line="260" w:lineRule="exact"/>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ind w:firstLine="420" w:firstLineChars="200"/>
        <w:rPr>
          <w:rFonts w:ascii="宋体" w:hAnsi="宋体"/>
        </w:rPr>
      </w:pPr>
    </w:p>
    <w:p>
      <w:pPr>
        <w:widowControl/>
        <w:spacing w:beforeLines="50" w:line="260" w:lineRule="exact"/>
        <w:rPr>
          <w:rFonts w:ascii="宋体" w:hAnsi="宋体"/>
        </w:rPr>
      </w:pPr>
    </w:p>
    <w:p>
      <w:pPr>
        <w:widowControl/>
        <w:spacing w:beforeLines="50" w:line="260" w:lineRule="exact"/>
        <w:ind w:firstLine="420" w:firstLineChars="200"/>
        <w:rPr>
          <w:rFonts w:hint="eastAsia" w:ascii="宋体" w:hAnsi="宋体"/>
        </w:rPr>
      </w:pPr>
    </w:p>
    <w:p>
      <w:pPr>
        <w:widowControl/>
        <w:spacing w:beforeLines="50" w:line="260" w:lineRule="exact"/>
        <w:ind w:firstLine="420" w:firstLineChars="200"/>
        <w:rPr>
          <w:rFonts w:hint="eastAsia" w:ascii="宋体" w:hAnsi="宋体"/>
        </w:rPr>
      </w:pPr>
    </w:p>
    <w:p>
      <w:pPr>
        <w:widowControl/>
        <w:spacing w:beforeLines="50" w:line="260" w:lineRule="exact"/>
        <w:ind w:firstLine="420" w:firstLineChars="200"/>
        <w:rPr>
          <w:rFonts w:hint="eastAsia" w:ascii="宋体" w:hAnsi="宋体"/>
        </w:rPr>
      </w:pPr>
    </w:p>
    <w:p>
      <w:pPr>
        <w:widowControl/>
        <w:spacing w:beforeLines="50" w:line="260" w:lineRule="exact"/>
        <w:ind w:firstLine="420" w:firstLineChars="200"/>
        <w:rPr>
          <w:rFonts w:hint="eastAsia" w:ascii="宋体" w:hAnsi="宋体"/>
        </w:rPr>
      </w:pPr>
    </w:p>
    <w:p>
      <w:pPr>
        <w:widowControl/>
        <w:spacing w:beforeLines="50" w:line="260" w:lineRule="exact"/>
        <w:ind w:firstLine="420" w:firstLineChars="200"/>
        <w:rPr>
          <w:rFonts w:hint="eastAsia" w:ascii="宋体" w:hAnsi="宋体"/>
        </w:rPr>
      </w:pPr>
    </w:p>
    <w:p>
      <w:pPr>
        <w:widowControl/>
        <w:spacing w:beforeLines="50" w:line="260" w:lineRule="exact"/>
        <w:ind w:firstLine="420" w:firstLineChars="200"/>
        <w:rPr>
          <w:rFonts w:hint="eastAsia" w:ascii="宋体" w:hAnsi="宋体"/>
        </w:rPr>
      </w:pPr>
    </w:p>
    <w:p>
      <w:pPr>
        <w:widowControl/>
        <w:spacing w:beforeLines="50" w:line="260" w:lineRule="exact"/>
        <w:ind w:firstLine="420" w:firstLineChars="200"/>
        <w:rPr>
          <w:rFonts w:hint="eastAsia" w:ascii="宋体" w:hAnsi="宋体"/>
        </w:rPr>
      </w:pPr>
    </w:p>
    <w:p>
      <w:pPr>
        <w:widowControl/>
        <w:spacing w:beforeLines="50" w:line="260" w:lineRule="exact"/>
        <w:rPr>
          <w:rFonts w:hint="eastAsia" w:ascii="宋体" w:hAnsi="宋体"/>
        </w:rPr>
      </w:pPr>
    </w:p>
    <w:p>
      <w:pPr>
        <w:widowControl/>
        <w:spacing w:beforeLines="50" w:line="260" w:lineRule="exact"/>
        <w:ind w:firstLine="420" w:firstLineChars="200"/>
        <w:rPr>
          <w:rFonts w:hint="eastAsia" w:ascii="宋体" w:hAnsi="宋体"/>
        </w:rPr>
      </w:pPr>
    </w:p>
    <w:p>
      <w:pPr>
        <w:widowControl/>
        <w:spacing w:beforeLines="50" w:line="260" w:lineRule="exact"/>
        <w:ind w:firstLine="420" w:firstLineChars="200"/>
        <w:rPr>
          <w:rFonts w:hint="eastAsia" w:ascii="宋体" w:hAnsi="宋体"/>
        </w:rPr>
      </w:pPr>
      <w:bookmarkStart w:id="0" w:name="_GoBack"/>
      <w:bookmarkEnd w:id="0"/>
    </w:p>
    <w:p>
      <w:pPr>
        <w:widowControl/>
        <w:spacing w:beforeLines="50" w:line="260" w:lineRule="exact"/>
        <w:rPr>
          <w:rFonts w:ascii="宋体" w:hAnsi="宋体"/>
        </w:rPr>
      </w:pPr>
      <w:r>
        <w:rPr>
          <w:rFonts w:hint="eastAsia" w:ascii="宋体" w:hAnsi="宋体"/>
        </w:rPr>
        <w:t>附件：</w:t>
      </w:r>
    </w:p>
    <w:p>
      <w:pPr>
        <w:widowControl/>
        <w:spacing w:beforeLines="50" w:line="260" w:lineRule="exact"/>
        <w:jc w:val="center"/>
        <w:rPr>
          <w:rFonts w:ascii="宋体" w:hAnsi="宋体"/>
          <w:b/>
          <w:bCs/>
          <w:sz w:val="24"/>
          <w:szCs w:val="24"/>
        </w:rPr>
      </w:pPr>
      <w:r>
        <w:rPr>
          <w:rFonts w:hint="eastAsia" w:ascii="宋体" w:hAnsi="宋体"/>
          <w:b/>
          <w:bCs/>
          <w:sz w:val="24"/>
          <w:szCs w:val="24"/>
        </w:rPr>
        <w:t>商标注册明细确认单</w:t>
      </w:r>
    </w:p>
    <w:p>
      <w:pPr>
        <w:widowControl/>
        <w:spacing w:beforeLines="50" w:line="260" w:lineRule="exact"/>
        <w:rPr>
          <w:rFonts w:hint="eastAsia" w:ascii="宋体" w:hAnsi="宋体"/>
          <w:sz w:val="24"/>
          <w:szCs w:val="24"/>
        </w:rPr>
      </w:pPr>
      <w:r>
        <w:rPr>
          <w:rFonts w:hint="eastAsia" w:ascii="宋体" w:hAnsi="宋体"/>
          <w:sz w:val="24"/>
          <w:szCs w:val="24"/>
        </w:rPr>
        <w:t>甲方委托注册商标的商品和服务项目类别如下：</w:t>
      </w:r>
    </w:p>
    <w:p>
      <w:pPr>
        <w:widowControl/>
        <w:spacing w:beforeLines="50" w:line="260" w:lineRule="exact"/>
        <w:rPr>
          <w:rFonts w:ascii="宋体" w:hAnsi="宋体"/>
          <w:sz w:val="24"/>
          <w:szCs w:val="24"/>
        </w:rPr>
      </w:pPr>
    </w:p>
    <w:tbl>
      <w:tblPr>
        <w:tblStyle w:val="8"/>
        <w:tblW w:w="534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13"/>
        <w:gridCol w:w="5159"/>
        <w:gridCol w:w="3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53" w:hRule="atLeast"/>
        </w:trPr>
        <w:tc>
          <w:tcPr>
            <w:tcW w:w="1038" w:type="pct"/>
            <w:tcBorders>
              <w:top w:val="single" w:color="auto" w:sz="12" w:space="0"/>
              <w:left w:val="dotted" w:color="7F7F7F" w:themeColor="background1" w:themeShade="80" w:sz="2" w:space="0"/>
              <w:bottom w:val="dotted" w:color="7F7F7F" w:themeColor="background1" w:themeShade="80" w:sz="2" w:space="0"/>
              <w:right w:val="dotted" w:color="7F7F7F" w:themeColor="background1" w:themeShade="80" w:sz="2" w:space="0"/>
            </w:tcBorders>
            <w:shd w:val="clear" w:color="auto" w:fill="auto"/>
            <w:vAlign w:val="center"/>
          </w:tcPr>
          <w:p>
            <w:pPr>
              <w:spacing w:after="0" w:line="240" w:lineRule="auto"/>
              <w:jc w:val="center"/>
              <w:rPr>
                <w:rFonts w:ascii="新宋体" w:hAnsi="新宋体" w:eastAsia="新宋体" w:cstheme="minorHAnsi"/>
                <w:b/>
                <w:color w:val="FFFFFF" w:themeColor="background1"/>
              </w:rPr>
            </w:pPr>
            <w:r>
              <w:t>类 别</w:t>
            </w:r>
          </w:p>
        </w:tc>
        <w:tc>
          <w:tcPr>
            <w:tcW w:w="2420" w:type="pct"/>
            <w:tcBorders>
              <w:top w:val="single" w:color="auto" w:sz="12" w:space="0"/>
              <w:left w:val="dotted" w:color="7F7F7F" w:themeColor="background1" w:themeShade="80" w:sz="2" w:space="0"/>
              <w:bottom w:val="dotted" w:color="7F7F7F" w:themeColor="background1" w:themeShade="80" w:sz="2" w:space="0"/>
              <w:right w:val="dotted" w:color="7F7F7F" w:themeColor="background1" w:themeShade="80" w:sz="2" w:space="0"/>
            </w:tcBorders>
            <w:shd w:val="clear" w:color="auto" w:fill="auto"/>
            <w:vAlign w:val="center"/>
          </w:tcPr>
          <w:p>
            <w:pPr>
              <w:spacing w:after="0" w:line="240" w:lineRule="auto"/>
              <w:jc w:val="center"/>
              <w:rPr>
                <w:rFonts w:ascii="新宋体" w:hAnsi="新宋体" w:eastAsia="新宋体" w:cstheme="minorHAnsi"/>
                <w:b/>
                <w:color w:val="FFFFFF" w:themeColor="background1"/>
              </w:rPr>
            </w:pPr>
            <w:r>
              <w:t>类似群号（四位代码）</w:t>
            </w:r>
          </w:p>
        </w:tc>
        <w:tc>
          <w:tcPr>
            <w:tcW w:w="1540" w:type="pct"/>
            <w:tcBorders>
              <w:top w:val="single" w:color="auto" w:sz="12" w:space="0"/>
              <w:left w:val="dotted" w:color="7F7F7F" w:themeColor="background1" w:themeShade="80" w:sz="2" w:space="0"/>
              <w:bottom w:val="dotted" w:color="7F7F7F" w:themeColor="background1" w:themeShade="80" w:sz="2" w:space="0"/>
              <w:right w:val="dotted" w:color="7F7F7F" w:themeColor="background1" w:themeShade="80" w:sz="2" w:space="0"/>
            </w:tcBorders>
            <w:shd w:val="clear" w:color="auto" w:fill="auto"/>
            <w:vAlign w:val="center"/>
          </w:tcPr>
          <w:p>
            <w:pPr>
              <w:spacing w:after="0" w:line="240" w:lineRule="auto"/>
              <w:jc w:val="center"/>
              <w:rPr>
                <w:rFonts w:ascii="新宋体" w:hAnsi="新宋体" w:eastAsia="新宋体" w:cstheme="minorHAnsi"/>
                <w:b/>
                <w:color w:val="000000" w:themeColor="text1"/>
              </w:rPr>
            </w:pPr>
            <w:r>
              <w:t>名 称（</w:t>
            </w:r>
            <w:r>
              <w:rPr>
                <w:rFonts w:hint="eastAsia"/>
              </w:rPr>
              <w:t>具体商品名称</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restar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8" w:type="pct"/>
            <w:vMerge w:val="continue"/>
            <w:tcBorders>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2420" w:type="pct"/>
            <w:tcBorders>
              <w:top w:val="dotted" w:color="7F7F7F" w:themeColor="background1" w:themeShade="80" w:sz="2" w:space="0"/>
              <w:left w:val="dotted" w:color="7F7F7F" w:themeColor="background1" w:themeShade="80" w:sz="2" w:space="0"/>
              <w:bottom w:val="dotted" w:color="7F7F7F" w:themeColor="background1" w:themeShade="80" w:sz="2" w:space="0"/>
              <w:right w:val="dotted" w:color="7F7F7F" w:themeColor="background1" w:themeShade="80" w:sz="2" w:space="0"/>
            </w:tcBorders>
            <w:vAlign w:val="center"/>
          </w:tcPr>
          <w:p>
            <w:pPr>
              <w:jc w:val="center"/>
            </w:pPr>
          </w:p>
        </w:tc>
        <w:tc>
          <w:tcPr>
            <w:tcW w:w="1540" w:type="pct"/>
            <w:tcBorders>
              <w:top w:val="dotted" w:color="7F7F7F" w:themeColor="background1" w:themeShade="80" w:sz="2" w:space="0"/>
              <w:left w:val="dotted" w:color="7F7F7F" w:themeColor="background1" w:themeShade="80" w:sz="2" w:space="0"/>
              <w:right w:val="dotted" w:color="7F7F7F" w:themeColor="background1" w:themeShade="80" w:sz="2" w:space="0"/>
            </w:tcBorders>
            <w:vAlign w:val="center"/>
          </w:tcPr>
          <w:p>
            <w:pPr>
              <w:jc w:val="center"/>
            </w:pPr>
          </w:p>
        </w:tc>
      </w:tr>
    </w:tbl>
    <w:p>
      <w:pPr>
        <w:widowControl/>
        <w:spacing w:beforeLines="50" w:line="260" w:lineRule="exact"/>
        <w:rPr>
          <w:b/>
        </w:rPr>
      </w:pPr>
    </w:p>
    <w:p>
      <w:pPr>
        <w:jc w:val="both"/>
        <w:rPr>
          <w:b/>
        </w:rPr>
      </w:pPr>
      <w:r>
        <w:rPr>
          <w:rFonts w:hint="eastAsia"/>
          <w:b/>
        </w:rPr>
        <w:t>以下为付款二维码：</w:t>
      </w:r>
    </w:p>
    <w:p>
      <w:r>
        <w:rPr>
          <w:rFonts w:hint="eastAsia"/>
        </w:rPr>
        <w:drawing>
          <wp:inline distT="0" distB="0" distL="114300" distR="114300">
            <wp:extent cx="2292985" cy="3118485"/>
            <wp:effectExtent l="9525" t="9525" r="21590" b="15240"/>
            <wp:docPr id="3" name="图片 3" descr="好智咨询付款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好智咨询付款码"/>
                    <pic:cNvPicPr>
                      <a:picLocks noChangeAspect="1"/>
                    </pic:cNvPicPr>
                  </pic:nvPicPr>
                  <pic:blipFill>
                    <a:blip r:embed="rId7"/>
                    <a:stretch>
                      <a:fillRect/>
                    </a:stretch>
                  </pic:blipFill>
                  <pic:spPr>
                    <a:xfrm>
                      <a:off x="0" y="0"/>
                      <a:ext cx="2292985" cy="3118485"/>
                    </a:xfrm>
                    <a:prstGeom prst="rect">
                      <a:avLst/>
                    </a:prstGeom>
                    <a:ln w="6350">
                      <a:solidFill>
                        <a:schemeClr val="tx1"/>
                      </a:solidFill>
                    </a:ln>
                  </pic:spPr>
                </pic:pic>
              </a:graphicData>
            </a:graphic>
          </wp:inline>
        </w:drawing>
      </w:r>
    </w:p>
    <w:sectPr>
      <w:headerReference r:id="rId3" w:type="default"/>
      <w:footerReference r:id="rId4" w:type="default"/>
      <w:pgSz w:w="11906" w:h="16838"/>
      <w:pgMar w:top="1440" w:right="1080" w:bottom="1440" w:left="1080" w:header="651" w:footer="663"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left:202.05pt;margin-top:0pt;height:144pt;width:125.2pt;mso-position-horizontal-relative:margin;z-index:251658240;mso-width-relative:page;mso-height-relative:page;" filled="f" stroked="f" coordsize="21600,21600">
          <v:path/>
          <v:fill on="f" focussize="0,0"/>
          <v:stroke on="f" weight="0.5pt"/>
          <v:imagedata o:title=""/>
          <o:lock v:ext="edit" aspectratio="f"/>
          <v:textbox inset="0mm,0mm,0mm,0mm" style="mso-fit-shape-to-text:t;">
            <w:txbxContent>
              <w:p>
                <w:pPr>
                  <w:pStyle w:val="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lang w:val="en-US" w:eastAsia="zh-CN"/>
                  </w:rPr>
                  <w:t xml:space="preserve"> </w:t>
                </w:r>
                <w:r>
                  <w:rPr>
                    <w:rFonts w:hint="eastAsia"/>
                  </w:rPr>
                  <w:t>页</w:t>
                </w:r>
                <w:r>
                  <w:rPr>
                    <w:rFonts w:hint="eastAsia"/>
                    <w:lang w:val="en-US" w:eastAsia="zh-CN"/>
                  </w:rPr>
                  <w:t xml:space="preserve"> 共 </w:t>
                </w:r>
                <w:r>
                  <w:fldChar w:fldCharType="begin"/>
                </w:r>
                <w:r>
                  <w:instrText xml:space="preserve"> NUMPAGES  \* MERGEFORMAT </w:instrText>
                </w:r>
                <w:r>
                  <w:fldChar w:fldCharType="separate"/>
                </w:r>
                <w:r>
                  <w:t>3</w:t>
                </w:r>
                <w:r>
                  <w:fldChar w:fldCharType="end"/>
                </w:r>
                <w:r>
                  <w:rPr>
                    <w:rFonts w:hint="eastAsia"/>
                    <w:lang w:val="en-US" w:eastAsia="zh-CN"/>
                  </w:rPr>
                  <w:t xml:space="preserve"> </w:t>
                </w:r>
                <w:r>
                  <w:rPr>
                    <w:rFonts w:hint="eastAsia"/>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rPr>
      <w:t>好智天津·专注知产 服务创新</w:t>
    </w:r>
    <w:r>
      <w:rPr>
        <w:rFonts w:hint="eastAsia"/>
        <w:b/>
      </w:rPr>
      <w:t>022-59267955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1D6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A91AF3"/>
    <w:rsid w:val="00AD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928A6"/>
    <w:rsid w:val="00ED6290"/>
    <w:rsid w:val="00EE05C2"/>
    <w:rsid w:val="00EE0C15"/>
    <w:rsid w:val="00F54D76"/>
    <w:rsid w:val="00F60631"/>
    <w:rsid w:val="00F93C5C"/>
    <w:rsid w:val="01227E3B"/>
    <w:rsid w:val="017A771A"/>
    <w:rsid w:val="024230E8"/>
    <w:rsid w:val="02D01189"/>
    <w:rsid w:val="02D03AD4"/>
    <w:rsid w:val="0398361F"/>
    <w:rsid w:val="0848338A"/>
    <w:rsid w:val="09483FA6"/>
    <w:rsid w:val="0C98065A"/>
    <w:rsid w:val="0CFF0505"/>
    <w:rsid w:val="0D4924BC"/>
    <w:rsid w:val="0DEE2A03"/>
    <w:rsid w:val="0F01597D"/>
    <w:rsid w:val="0F2002FF"/>
    <w:rsid w:val="103E1808"/>
    <w:rsid w:val="10A812E8"/>
    <w:rsid w:val="13F87FD6"/>
    <w:rsid w:val="14440203"/>
    <w:rsid w:val="15081E2E"/>
    <w:rsid w:val="157815AB"/>
    <w:rsid w:val="169D2658"/>
    <w:rsid w:val="16A17420"/>
    <w:rsid w:val="16EF3DAF"/>
    <w:rsid w:val="198500C2"/>
    <w:rsid w:val="1E3A44A0"/>
    <w:rsid w:val="1E7A26EA"/>
    <w:rsid w:val="1EA53AC8"/>
    <w:rsid w:val="1FBD1C9A"/>
    <w:rsid w:val="20096ABC"/>
    <w:rsid w:val="20F95DA1"/>
    <w:rsid w:val="2285759C"/>
    <w:rsid w:val="25B55C73"/>
    <w:rsid w:val="26F60CF5"/>
    <w:rsid w:val="27FB0209"/>
    <w:rsid w:val="296C7714"/>
    <w:rsid w:val="2AE77F95"/>
    <w:rsid w:val="2BE07447"/>
    <w:rsid w:val="2D18095A"/>
    <w:rsid w:val="32664DDA"/>
    <w:rsid w:val="34C016CF"/>
    <w:rsid w:val="360370E4"/>
    <w:rsid w:val="360F7B20"/>
    <w:rsid w:val="36423AF2"/>
    <w:rsid w:val="37524BB5"/>
    <w:rsid w:val="38680A1C"/>
    <w:rsid w:val="3A9C42D2"/>
    <w:rsid w:val="3B965306"/>
    <w:rsid w:val="3BDA4FAC"/>
    <w:rsid w:val="3D2A4669"/>
    <w:rsid w:val="410E61DE"/>
    <w:rsid w:val="420E1D3E"/>
    <w:rsid w:val="43727138"/>
    <w:rsid w:val="46E11A6D"/>
    <w:rsid w:val="46F918DC"/>
    <w:rsid w:val="47C67B6F"/>
    <w:rsid w:val="4913165A"/>
    <w:rsid w:val="49A847A4"/>
    <w:rsid w:val="4B440D4A"/>
    <w:rsid w:val="4D19437C"/>
    <w:rsid w:val="4D512C16"/>
    <w:rsid w:val="52E963AF"/>
    <w:rsid w:val="542C29C5"/>
    <w:rsid w:val="566473A0"/>
    <w:rsid w:val="567672BF"/>
    <w:rsid w:val="57813FD9"/>
    <w:rsid w:val="58ED040C"/>
    <w:rsid w:val="5924069C"/>
    <w:rsid w:val="5A4F3EF4"/>
    <w:rsid w:val="5BE732D4"/>
    <w:rsid w:val="5D5551CD"/>
    <w:rsid w:val="5E843B10"/>
    <w:rsid w:val="5EC76C02"/>
    <w:rsid w:val="5EEB55CA"/>
    <w:rsid w:val="6525142D"/>
    <w:rsid w:val="65B431DB"/>
    <w:rsid w:val="67041533"/>
    <w:rsid w:val="675E15D4"/>
    <w:rsid w:val="69881279"/>
    <w:rsid w:val="6A4C1962"/>
    <w:rsid w:val="6AB60E2A"/>
    <w:rsid w:val="6B352063"/>
    <w:rsid w:val="6C8F2CB7"/>
    <w:rsid w:val="6D984F7B"/>
    <w:rsid w:val="6E541152"/>
    <w:rsid w:val="6F5D3C83"/>
    <w:rsid w:val="6FFE6CE2"/>
    <w:rsid w:val="70DB378D"/>
    <w:rsid w:val="7161333D"/>
    <w:rsid w:val="718C403C"/>
    <w:rsid w:val="721B3439"/>
    <w:rsid w:val="7396595B"/>
    <w:rsid w:val="76731BBD"/>
    <w:rsid w:val="77556174"/>
    <w:rsid w:val="77816E3F"/>
    <w:rsid w:val="77A00771"/>
    <w:rsid w:val="79B85147"/>
    <w:rsid w:val="7AA106B3"/>
    <w:rsid w:val="7B5525EA"/>
    <w:rsid w:val="7E5C5697"/>
    <w:rsid w:val="7E603D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4"/>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2"/>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annotation reference"/>
    <w:basedOn w:val="9"/>
    <w:unhideWhenUsed/>
    <w:qFormat/>
    <w:uiPriority w:val="99"/>
    <w:rPr>
      <w:sz w:val="21"/>
      <w:szCs w:val="21"/>
    </w:rPr>
  </w:style>
  <w:style w:type="character" w:customStyle="1" w:styleId="11">
    <w:name w:val="页脚 Char"/>
    <w:link w:val="4"/>
    <w:qFormat/>
    <w:uiPriority w:val="99"/>
    <w:rPr>
      <w:sz w:val="18"/>
      <w:szCs w:val="18"/>
    </w:rPr>
  </w:style>
  <w:style w:type="character" w:customStyle="1" w:styleId="12">
    <w:name w:val="批注框文本 Char"/>
    <w:link w:val="3"/>
    <w:semiHidden/>
    <w:qFormat/>
    <w:uiPriority w:val="99"/>
    <w:rPr>
      <w:sz w:val="18"/>
      <w:szCs w:val="18"/>
    </w:rPr>
  </w:style>
  <w:style w:type="character" w:customStyle="1" w:styleId="13">
    <w:name w:val="页眉 Char"/>
    <w:link w:val="5"/>
    <w:qFormat/>
    <w:uiPriority w:val="0"/>
    <w:rPr>
      <w:sz w:val="18"/>
      <w:szCs w:val="18"/>
    </w:rPr>
  </w:style>
  <w:style w:type="paragraph" w:customStyle="1" w:styleId="14">
    <w:name w:val="_Style 2"/>
    <w:basedOn w:val="1"/>
    <w:qFormat/>
    <w:uiPriority w:val="0"/>
    <w:pPr>
      <w:ind w:firstLine="420" w:firstLineChars="200"/>
    </w:pPr>
  </w:style>
  <w:style w:type="paragraph" w:customStyle="1" w:styleId="15">
    <w:name w:val="列出段落1"/>
    <w:basedOn w:val="1"/>
    <w:qFormat/>
    <w:uiPriority w:val="0"/>
    <w:pPr>
      <w:spacing w:line="520" w:lineRule="exact"/>
      <w:ind w:firstLine="420" w:firstLineChars="200"/>
      <w:jc w:val="left"/>
    </w:pPr>
    <w:rPr>
      <w:sz w:val="24"/>
      <w:szCs w:val="21"/>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856C74-7091-4AB6-AAF3-BE9F424AB85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1457</Words>
  <Characters>1609</Characters>
  <Lines>12</Lines>
  <Paragraphs>3</Paragraphs>
  <TotalTime>33</TotalTime>
  <ScaleCrop>false</ScaleCrop>
  <LinksUpToDate>false</LinksUpToDate>
  <CharactersWithSpaces>1725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Administrator</cp:lastModifiedBy>
  <dcterms:modified xsi:type="dcterms:W3CDTF">2020-01-08T10:11:51Z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