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国际</w:t>
      </w:r>
      <w:r>
        <w:rPr>
          <w:rFonts w:hint="eastAsia"/>
          <w:b/>
          <w:sz w:val="28"/>
          <w:szCs w:val="32"/>
        </w:rPr>
        <w:t>商标代理协议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国际</w:t>
      </w:r>
      <w:r>
        <w:rPr>
          <w:rFonts w:hint="eastAsia" w:asciiTheme="minorEastAsia" w:hAnsiTheme="minorEastAsia" w:eastAsiaTheme="minorEastAsia" w:cstheme="minorEastAsia"/>
        </w:rPr>
        <w:t>商标</w:t>
      </w:r>
      <w:r>
        <w:rPr>
          <w:rFonts w:hint="eastAsia" w:asciiTheme="minorEastAsia" w:hAnsiTheme="minorEastAsia" w:eastAsiaTheme="minorEastAsia" w:cstheme="minorEastAsia"/>
          <w:lang w:val="en-US" w:eastAsia="zh-CN"/>
        </w:rPr>
        <w:t>注册</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420" w:leftChars="0" w:right="271" w:rightChars="129" w:firstLine="0" w:firstLineChars="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马德里商标申报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代理费为</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 xml:space="preserve">#dlPrice  </w:t>
      </w:r>
      <w:r>
        <w:rPr>
          <w:rFonts w:hint="eastAsia" w:ascii="宋体" w:hAnsi="宋体" w:cs="宋体"/>
          <w:color w:val="000000"/>
          <w:kern w:val="0"/>
          <w:sz w:val="18"/>
          <w:szCs w:val="18"/>
          <w:lang w:val="en-US" w:eastAsia="zh-CN"/>
        </w:rPr>
        <w:t xml:space="preserve"> </w:t>
      </w:r>
      <w:r>
        <w:rPr>
          <w:rFonts w:hint="eastAsia" w:asciiTheme="minorEastAsia" w:hAnsiTheme="minorEastAsia" w:eastAsiaTheme="minorEastAsia" w:cstheme="minorEastAsia"/>
          <w:lang w:val="en-US" w:eastAsia="zh-CN"/>
        </w:rPr>
        <w:t>元（包含代理费、翻译费及1个国家的回执答复费；如申报超过1个以上国家的，每新增1个国家代理费应增付200元。代理费不含官费）。</w:t>
      </w: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第二条  </w:t>
      </w:r>
      <w:r>
        <w:rPr>
          <w:rFonts w:hint="eastAsia" w:asciiTheme="minorEastAsia" w:hAnsiTheme="minorEastAsia" w:eastAsiaTheme="minorEastAsia" w:cstheme="minorEastAsia"/>
        </w:rPr>
        <w:t>本协议签订之日甲方向乙方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以本协议所提供的账号或乙方微信二维码为准，其他付款途径导致的风险乙方不承担）一次性</w:t>
      </w:r>
      <w:r>
        <w:rPr>
          <w:rFonts w:hint="eastAsia" w:asciiTheme="minorEastAsia" w:hAnsiTheme="minorEastAsia" w:eastAsiaTheme="minorEastAsia" w:cstheme="minorEastAsia"/>
        </w:rPr>
        <w:t>支付服务费人民币￥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#zjPrice</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none"/>
          <w:lang w:eastAsia="zh-CN"/>
        </w:rPr>
        <w:t>元</w:t>
      </w:r>
      <w:r>
        <w:rPr>
          <w:rFonts w:hint="eastAsia" w:asciiTheme="minorEastAsia" w:hAnsiTheme="minorEastAsia" w:eastAsiaTheme="minorEastAsia" w:cstheme="minorEastAsia"/>
          <w:lang w:val="en-US" w:eastAsia="zh-CN"/>
        </w:rPr>
        <w:t>整</w:t>
      </w:r>
      <w:r>
        <w:rPr>
          <w:rFonts w:hint="eastAsia" w:asciiTheme="minorEastAsia" w:hAnsiTheme="minorEastAsia" w:eastAsiaTheme="minorEastAsia" w:cstheme="minorEastAsia"/>
        </w:rPr>
        <w:t>，大写</w:t>
      </w:r>
      <w:r>
        <w:rPr>
          <w:rFonts w:hint="eastAsia" w:asciiTheme="minorEastAsia" w:hAnsiTheme="minorEastAsia" w:eastAsiaTheme="minorEastAsia" w:cstheme="minorEastAsia"/>
          <w:lang w:val="en-US" w:eastAsia="zh-CN"/>
        </w:rPr>
        <w:t xml:space="preserve">人民币 </w:t>
      </w:r>
      <w:r>
        <w:rPr>
          <w:rFonts w:hint="eastAsia" w:asciiTheme="minorEastAsia" w:hAnsiTheme="minorEastAsia" w:eastAsiaTheme="minorEastAsia" w:cstheme="minorEastAsia"/>
          <w:u w:val="single"/>
          <w:lang w:val="en-US" w:eastAsia="zh-CN"/>
        </w:rPr>
        <w:t>#dxZjPrice</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rPr>
        <w:t>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国际商标注册所需的官费以官方公布费用为准，官费在合同签订后确认（官费因外汇换算会有误差，多退少补）；</w:t>
      </w:r>
      <w:r>
        <w:rPr>
          <w:rFonts w:hint="eastAsia" w:asciiTheme="minorEastAsia" w:hAnsiTheme="minorEastAsia" w:eastAsiaTheme="minorEastAsia" w:cstheme="minorEastAsia"/>
        </w:rPr>
        <w:t>乙方收到上述</w:t>
      </w:r>
      <w:r>
        <w:rPr>
          <w:rFonts w:hint="eastAsia" w:asciiTheme="minorEastAsia" w:hAnsiTheme="minorEastAsia" w:eastAsiaTheme="minorEastAsia" w:cstheme="minorEastAsia"/>
          <w:lang w:val="en-US" w:eastAsia="zh-CN"/>
        </w:rPr>
        <w:t>全部</w:t>
      </w:r>
      <w:r>
        <w:rPr>
          <w:rFonts w:hint="eastAsia" w:asciiTheme="minorEastAsia" w:hAnsiTheme="minorEastAsia" w:eastAsiaTheme="minorEastAsia" w:cstheme="minorEastAsia"/>
        </w:rPr>
        <w:t>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 xml:space="preserve">0302 0736 0910 0064 031                 </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第三条 相关约定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撰写申请文件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3、乙方应在甲方申请材料齐备且完成费用支付之日起1-2个工作日内提交商标申请；</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5、因官方</w:t>
      </w:r>
      <w:r>
        <w:rPr>
          <w:rFonts w:hint="eastAsia" w:asciiTheme="minorEastAsia" w:hAnsiTheme="minorEastAsia" w:eastAsiaTheme="minorEastAsia" w:cstheme="minorEastAsia"/>
          <w:color w:val="auto"/>
          <w:sz w:val="21"/>
          <w:szCs w:val="21"/>
        </w:rPr>
        <w:t>商标</w:t>
      </w:r>
      <w:r>
        <w:rPr>
          <w:rFonts w:hint="eastAsia" w:asciiTheme="minorEastAsia" w:hAnsiTheme="minorEastAsia" w:eastAsiaTheme="minorEastAsia" w:cstheme="minorEastAsia"/>
          <w:color w:val="auto"/>
          <w:sz w:val="21"/>
          <w:szCs w:val="21"/>
          <w:lang w:val="en-US" w:eastAsia="zh-CN"/>
        </w:rPr>
        <w:t>信息检索存在盲期及商标</w:t>
      </w:r>
      <w:r>
        <w:rPr>
          <w:rFonts w:hint="eastAsia" w:asciiTheme="minorEastAsia" w:hAnsiTheme="minorEastAsia" w:eastAsiaTheme="minorEastAsia" w:cstheme="minorEastAsia"/>
          <w:color w:val="auto"/>
          <w:sz w:val="21"/>
          <w:szCs w:val="21"/>
        </w:rPr>
        <w:t>申请的不确定性</w:t>
      </w:r>
      <w:r>
        <w:rPr>
          <w:rFonts w:hint="eastAsia" w:asciiTheme="minorEastAsia" w:hAnsiTheme="minorEastAsia" w:eastAsiaTheme="minorEastAsia" w:cstheme="minorEastAsia"/>
          <w:color w:val="auto"/>
          <w:sz w:val="21"/>
          <w:szCs w:val="21"/>
          <w:lang w:val="en-US" w:eastAsia="zh-CN"/>
        </w:rPr>
        <w:t>等原因</w:t>
      </w:r>
      <w:r>
        <w:rPr>
          <w:rFonts w:hint="eastAsia" w:asciiTheme="minorEastAsia" w:hAnsiTheme="minorEastAsia" w:eastAsiaTheme="minorEastAsia" w:cstheme="minorEastAsia"/>
          <w:color w:val="auto"/>
          <w:sz w:val="21"/>
          <w:szCs w:val="21"/>
        </w:rPr>
        <w:t>，乙方</w:t>
      </w:r>
      <w:r>
        <w:rPr>
          <w:rFonts w:hint="eastAsia" w:asciiTheme="minorEastAsia" w:hAnsiTheme="minorEastAsia" w:eastAsiaTheme="minorEastAsia" w:cstheme="minorEastAsia"/>
          <w:color w:val="auto"/>
          <w:sz w:val="21"/>
          <w:szCs w:val="21"/>
          <w:lang w:val="en-US" w:eastAsia="zh-CN"/>
        </w:rPr>
        <w:t>不承诺代理事项确保通过</w:t>
      </w:r>
      <w:r>
        <w:rPr>
          <w:rFonts w:hint="eastAsia" w:asciiTheme="minorEastAsia" w:hAnsiTheme="minorEastAsia" w:eastAsiaTheme="minorEastAsia" w:cstheme="minorEastAsia"/>
          <w:color w:val="auto"/>
          <w:sz w:val="21"/>
          <w:szCs w:val="21"/>
        </w:rPr>
        <w:t>。</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360045</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 #stime</w:t>
      </w:r>
      <w:bookmarkStart w:id="0" w:name="_GoBack"/>
      <w:bookmarkEnd w:id="0"/>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rPr>
          <w:rFonts w:hint="eastAsia" w:eastAsia="宋体"/>
          <w:lang w:eastAsia="zh-CN"/>
        </w:rPr>
      </w:pPr>
    </w:p>
    <w:sectPr>
      <w:headerReference r:id="rId3" w:type="default"/>
      <w:footerReference r:id="rId4" w:type="default"/>
      <w:pgSz w:w="11906" w:h="16838"/>
      <w:pgMar w:top="1440" w:right="1366"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2723515</wp:posOffset>
              </wp:positionH>
              <wp:positionV relativeFrom="paragraph">
                <wp:posOffset>-28575</wp:posOffset>
              </wp:positionV>
              <wp:extent cx="11315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315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45pt;margin-top:-2.25pt;height:144pt;width:89.1pt;mso-position-horizontal-relative:margin;z-index:251658240;mso-width-relative:page;mso-height-relative:page;" filled="f" stroked="f" coordsize="21600,21600" o:gfxdata="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8D3K32gAAAAoB&#10;AAAPAAAAAAAAAAEAIAAAACIAAABkcnMvZG93bnJldi54bWxQSwECFAAUAAAACACHTuJA8Wp/3hkC&#10;AAAVBAAADgAAAAAAAAABACAAAAApAQAAZHJzL2Uyb0RvYy54bWxQSwUGAAAAAAYABgBZAQAAtAUA&#10;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好智天津·专注知产 服务创新</w:t>
    </w:r>
    <w:r>
      <w:rPr>
        <w:rFonts w:hint="eastAsia"/>
        <w:b/>
        <w:sz w:val="24"/>
        <w:szCs w:val="24"/>
      </w:rPr>
      <w:t xml:space="preserve">                  </w:t>
    </w:r>
    <w:r>
      <w:rPr>
        <w:rFonts w:hint="eastAsia"/>
        <w:b/>
        <w:sz w:val="24"/>
        <w:szCs w:val="24"/>
        <w:lang w:val="en-US" w:eastAsia="zh-CN"/>
      </w:rPr>
      <w:t xml:space="preserve">                       </w:t>
    </w:r>
    <w:r>
      <w:rPr>
        <w:rFonts w:hint="eastAsia"/>
        <w:b/>
        <w:sz w:val="18"/>
        <w:szCs w:val="18"/>
        <w:lang w:val="en-US" w:eastAsia="zh-CN"/>
      </w:rPr>
      <w:t>022-59267955</w:t>
    </w:r>
    <w:r>
      <w:rPr>
        <w:rFonts w:hint="eastAsia"/>
        <w:b/>
        <w:sz w:val="18"/>
        <w:szCs w:val="18"/>
      </w:rPr>
      <w:t xml:space="preserve"> </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3FA512A"/>
    <w:rsid w:val="0848338A"/>
    <w:rsid w:val="086876D5"/>
    <w:rsid w:val="0A9D58E2"/>
    <w:rsid w:val="0C98065A"/>
    <w:rsid w:val="0CFF0505"/>
    <w:rsid w:val="0D4924BC"/>
    <w:rsid w:val="0DEE2A03"/>
    <w:rsid w:val="0F01597D"/>
    <w:rsid w:val="0F2002FF"/>
    <w:rsid w:val="0F7B54E4"/>
    <w:rsid w:val="103E1808"/>
    <w:rsid w:val="10A812E8"/>
    <w:rsid w:val="14440203"/>
    <w:rsid w:val="169D2658"/>
    <w:rsid w:val="19A36FA2"/>
    <w:rsid w:val="19F27F5A"/>
    <w:rsid w:val="1BF64754"/>
    <w:rsid w:val="1E7A26EA"/>
    <w:rsid w:val="1EA53AC8"/>
    <w:rsid w:val="1FBD1C9A"/>
    <w:rsid w:val="20096ABC"/>
    <w:rsid w:val="2285759C"/>
    <w:rsid w:val="26F60CF5"/>
    <w:rsid w:val="27CE0640"/>
    <w:rsid w:val="27FB0209"/>
    <w:rsid w:val="2AE77F95"/>
    <w:rsid w:val="2BE07447"/>
    <w:rsid w:val="32664DDA"/>
    <w:rsid w:val="32CA70D9"/>
    <w:rsid w:val="34C016CF"/>
    <w:rsid w:val="360370E4"/>
    <w:rsid w:val="360F7B20"/>
    <w:rsid w:val="36423AF2"/>
    <w:rsid w:val="38680A1C"/>
    <w:rsid w:val="3D2A4669"/>
    <w:rsid w:val="410E61DE"/>
    <w:rsid w:val="420E1D3E"/>
    <w:rsid w:val="43727138"/>
    <w:rsid w:val="43776CBA"/>
    <w:rsid w:val="46E11A6D"/>
    <w:rsid w:val="47C67B6F"/>
    <w:rsid w:val="4CFB0302"/>
    <w:rsid w:val="4F186CC6"/>
    <w:rsid w:val="52E963AF"/>
    <w:rsid w:val="53705333"/>
    <w:rsid w:val="566473A0"/>
    <w:rsid w:val="57813FD9"/>
    <w:rsid w:val="58ED040C"/>
    <w:rsid w:val="5BAB1E02"/>
    <w:rsid w:val="5BE732D4"/>
    <w:rsid w:val="5F5C19CD"/>
    <w:rsid w:val="675E15D4"/>
    <w:rsid w:val="695422A0"/>
    <w:rsid w:val="69881279"/>
    <w:rsid w:val="69B611E2"/>
    <w:rsid w:val="6AB60E2A"/>
    <w:rsid w:val="6C8F2CB7"/>
    <w:rsid w:val="6D984F7B"/>
    <w:rsid w:val="6E541152"/>
    <w:rsid w:val="6F5D3C83"/>
    <w:rsid w:val="70DB378D"/>
    <w:rsid w:val="7161333D"/>
    <w:rsid w:val="718C403C"/>
    <w:rsid w:val="721B3439"/>
    <w:rsid w:val="77556174"/>
    <w:rsid w:val="77816E3F"/>
    <w:rsid w:val="7A7C74A4"/>
    <w:rsid w:val="7AA106B3"/>
    <w:rsid w:val="7E5C5697"/>
    <w:rsid w:val="7F750F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1</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2020-01-13T06:54:10Z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