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
  <Relationship Id="rId1" Type="http://schemas.openxmlformats.org/officeDocument/2006/relationships/officeDocument" Target="word/document.xml"></Relationship>
  <Relationship Id="rId2" Type="http://schemas.openxmlformats.org/package/2006/relationships/metadata/core-properties" Target="docProps/core.xml"></Relationship>
  <Relationship Id="rId3" Type="http://schemas.openxmlformats.org/officeDocument/2006/relationships/extended-properties" Target="docProps/app.xml"></Relationship>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after="4800" w:line="240" w:lineRule="auto"/>
        <w:jc w:val="center"/>
      </w:pPr>
      <w:r>
        <w:rPr>
          <w:rFonts w:ascii="Times New Roman" w:hAnsi="Times New Roman" w:eastAsia="黑体"/>
          <w:sz w:val="72"/>
          <w:szCs w:val="72"/>
        </w:rPr>
        <w:br w:type="textWrapping"/>
      </w:r>
      <w:r>
        <w:rPr>
          <w:rFonts w:ascii="Times New Roman" w:hAnsi="Times New Roman" w:eastAsia="黑体"/>
          <w:sz w:val="72"/>
          <w:szCs w:val="72"/>
        </w:rPr>
        <w:t>报告</w:t>
      </w:r>
    </w:p>
    <w:p>
      <w:pPr>
        <w:spacing w:after="4800" w:line="240" w:lineRule="auto"/>
        <w:jc w:val="center"/>
      </w:pPr>
      <w:r>
        <w:rPr>
          <w:rFonts w:ascii="Times New Roman" w:hAnsi="Times New Roman" w:eastAsia="黑体"/>
          <w:sz w:val="48"/>
          <w:szCs w:val="48"/>
        </w:rPr>
        <w:t>（**版）</w:t>
      </w:r>
    </w:p>
    <w:p>
      <w:pPr>
        <w:jc w:val="center"/>
      </w:pPr>
      <w:r>
        <w:rPr>
          <w:rFonts w:ascii="Times New Roman" w:hAnsi="Times New Roman" w:eastAsia="黑体"/>
          <w:sz w:val="32"/>
          <w:szCs w:val="32"/>
        </w:rPr>
        <w:t>编制单位：XXXX有限公司</w:t>
      </w:r>
      <w:r>
        <w:rPr>
          <w:rFonts w:ascii="Times New Roman" w:hAnsi="Times New Roman" w:eastAsia="黑体"/>
          <w:sz w:val="32"/>
          <w:szCs w:val="32"/>
        </w:rPr>
        <w:br w:type="textWrapping"/>
      </w:r>
      <w:r>
        <w:rPr>
          <w:rFonts w:ascii="Times New Roman" w:hAnsi="Times New Roman" w:eastAsia="黑体"/>
          <w:sz w:val="32"/>
          <w:szCs w:val="32"/>
        </w:rPr>
        <w:t>编制时间：XXXX年XX月</w:t>
      </w:r>
      <w:r>
        <w:rPr>
          <w:rFonts w:ascii="Times New Roman" w:hAnsi="Times New Roman" w:eastAsia="黑体"/>
          <w:sz w:val="32"/>
          <w:szCs w:val="32"/>
        </w:rPr>
        <w:br w:type="page"/>
      </w:r>
    </w:p>
    <w:p>
      <w:pPr>
        <w:numPr>
          <w:ilvl w:val="0"/>
          <w:numId w:val="1"/>
        </w:numPr>
        <w:spacing w:line="364" w:lineRule="auto"/>
        <w:ind w:firstLine="560"/>
        <w:jc w:val="both"/>
      </w:pPr>
      <w:r>
        <w:rPr>
          <w:rFonts w:ascii="Times New Roman" w:hAnsi="Times New Roman" w:eastAsia="仿宋"/>
          <w:sz w:val="28"/>
          <w:szCs w:val="28"/>
        </w:rPr>
        <w:t>敏感性分析</w:t>
      </w:r>
    </w:p>
    <w:p>
      <w:pPr>
        <w:spacing w:line="364" w:lineRule="auto"/>
        <w:ind w:firstLine="560"/>
        <w:jc w:val="both"/>
      </w:pPr>
      <w:r>
        <w:rPr>
          <w:rFonts w:ascii="Times New Roman" w:hAnsi="Times New Roman" w:eastAsia="仿宋"/>
          <w:sz w:val="28"/>
          <w:szCs w:val="28"/>
        </w:rPr>
        <w:t>项目的敏感性分析是通过考察项目涉及的各种不确定因素对项目基本方案经济评价指标（如财务内部收益率 FIRR）的影响，找出敏感因素，估计项目效益对它们的敏感程度，粗略预测项目可能承担的风险。</w:t>
      </w:r>
    </w:p>
    <w:p>
      <w:pPr>
        <w:spacing w:line="364" w:lineRule="auto"/>
        <w:ind w:firstLine="560"/>
        <w:jc w:val="both"/>
      </w:pPr>
      <w:r>
        <w:rPr>
          <w:rFonts w:ascii="Times New Roman" w:hAnsi="Times New Roman" w:eastAsia="仿宋"/>
          <w:sz w:val="28"/>
          <w:szCs w:val="28"/>
        </w:rPr>
        <w:t>敏感度系数计算公式如下：</w:t>
      </w:r>
    </w:p>
    <w:p>
      <w:pPr>
        <w:spacing w:before="120" w:after="120" w:line="240" w:lineRule="auto"/>
        <w:jc w:val="center"/>
      </w:pPr>
    </w:p>
    <w:p>
      <w:pPr>
        <w:spacing w:line="364" w:lineRule="auto"/>
        <w:ind w:firstLine="560"/>
        <w:jc w:val="both"/>
      </w:pPr>
      <w:r>
        <w:rPr>
          <w:rFonts w:ascii="Times New Roman" w:hAnsi="Times New Roman" w:eastAsia="仿宋"/>
          <w:sz w:val="28"/>
          <w:szCs w:val="28"/>
        </w:rPr>
        <w:t>式中：</w:t>
      </w:r>
    </w:p>
    <w:p>
      <w:pPr>
        <w:spacing w:line="364" w:lineRule="auto"/>
        <w:ind w:firstLine="560"/>
        <w:jc w:val="both"/>
      </w:pPr>
      <w:r>
        <w:rPr>
          <w:rFonts w:ascii="Times New Roman" w:hAnsi="Times New Roman" w:eastAsia="仿宋"/>
          <w:sz w:val="28"/>
          <w:szCs w:val="28"/>
        </w:rPr>
        <w:t>SAF—— 评价指标 A 对于不确定因素 F 的敏感度系数；</w:t>
      </w:r>
    </w:p>
    <w:p>
      <w:pPr>
        <w:spacing w:line="364" w:lineRule="auto"/>
        <w:ind w:firstLine="560"/>
        <w:jc w:val="both"/>
      </w:pPr>
      <w:r>
        <w:rPr>
          <w:rFonts w:ascii="Times New Roman" w:hAnsi="Times New Roman" w:eastAsia="仿宋"/>
          <w:sz w:val="28"/>
          <w:szCs w:val="28"/>
        </w:rPr>
        <w:t>ΔA/A —— 不确定因素 F 发生 ΔF 变体时，评价指标 A 的相应变化率（%）；</w:t>
      </w:r>
    </w:p>
    <w:p>
      <w:pPr>
        <w:spacing w:line="364" w:lineRule="auto"/>
        <w:ind w:firstLine="560"/>
        <w:jc w:val="both"/>
      </w:pPr>
      <w:r>
        <w:rPr>
          <w:rFonts w:ascii="Times New Roman" w:hAnsi="Times New Roman" w:eastAsia="仿宋"/>
          <w:sz w:val="28"/>
          <w:szCs w:val="28"/>
        </w:rPr>
        <w:t>ΔF/F —— 不确定因素 F 的变化率（%）。</w:t>
      </w:r>
    </w:p>
    <w:p>
      <w:pPr>
        <w:spacing w:line="364" w:lineRule="auto"/>
        <w:ind w:firstLine="560"/>
        <w:jc w:val="both"/>
      </w:pPr>
      <w:r>
        <w:rPr>
          <w:rFonts w:ascii="Times New Roman" w:hAnsi="Times New Roman" w:eastAsia="仿宋"/>
          <w:sz w:val="28"/>
          <w:szCs w:val="28"/>
        </w:rPr>
        <w:t>可结合本项目的具体情况，确定固定资产投资、经营成本及经营收入三个要素，采取多种变化幅度为来测定财务内部收益率受影响的变化程度，计算敏感度系数。</w:t>
      </w:r>
    </w:p>
    <w:p>
      <w:pPr>
        <w:numPr>
          <w:ilvl w:val="0"/>
          <w:numId w:val="2"/>
        </w:numPr>
        <w:spacing w:line="364" w:lineRule="auto"/>
        <w:ind w:firstLine="560"/>
        <w:jc w:val="both"/>
      </w:pPr>
      <w:r>
        <w:rPr>
          <w:rFonts w:ascii="Times New Roman" w:hAnsi="Times New Roman" w:eastAsia="仿宋"/>
          <w:sz w:val="28"/>
          <w:szCs w:val="28"/>
        </w:rPr>
        <w:t>结合本项目的具体情况，确定敏感性分析要素，采取多种变化幅度为来测定分析对象受影响的变化程度，计算敏感度系数。本项目以项目政府专项债融资本息覆盖倍数作为敏感性分析对象，考虑项目实施过程中一些不确定因素的变化，分别对营业收入、经营成本考虑变化率 -8.00%、-6.00%、-4.00%、-2.00%、0.00%、2.00%、4.00%、6.00%、8.00% 的单因素变化影响平均偿债备付率影响的敏感性分析。</w:t>
      </w:r>
    </w:p>
    <w:tbl>
      <w:tblPr>
        <w:tblW w:type="pct" w:w="5000"/>
        <w:tblLook w:val="04A0"/>
        <w:jc w:val="center"/>
      </w:tblPr>
      <w:tblGrid>
        <w:gridCol/>
        <w:gridCol/>
        <w:gridCol/>
        <w:gridCol/>
        <w:gridCol/>
        <w:gridCol/>
        <w:gridCol/>
        <w:gridCol/>
        <w:gridCol/>
        <w:gridCol/>
      </w:tblGrid>
      <w:tr>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变化因素</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-8.00%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-6.00%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-4.00%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-2.00%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0.00%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2.00%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4.00%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6.00%</w:t>
            </w:r>
          </w:p>
        </w:tc>
        <w:tc>
          <w:tcPr>
            <w:tcW w:type="auto" w:w="0"/>
            <w:vAlign w:val="center"/>
            <w:tcBorders>
              <w:top w:val="single" w:sz="4" w:color="000000"/>
              <w:left w:val="single" w:sz="4" w:color="000000"/>
              <w:bottom w:val="single" w:sz="4" w:color="000000"/>
              <w:right w:val="single" w:sz="4" w:color="000000"/>
            </w:tcBorders>
            <w:shd w:val="clear" w:fill="D9D9D9"/>
          </w:tcPr>
          <w:p>
            <w:pPr>
              <w:jc w:val="center"/>
            </w:pPr>
            <w:r>
              <w:rPr>
                <w:rFonts w:ascii="仿宋" w:hAnsi="仿宋" w:eastAsia="仿宋"/>
                <w:b w:val="true"/>
                <w:sz w:val="20"/>
                <w:szCs w:val="20"/>
              </w:rPr>
              <w:t>8.00%</w:t>
            </w:r>
          </w:p>
        </w:tc>
      </w:tr>
      <w:tr>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营业收入</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1.14</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1.18</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1.22</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1.25</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1.29</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1.33</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1.37</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1.41</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1.45</w:t>
            </w:r>
          </w:p>
        </w:tc>
      </w:tr>
      <w:tr>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经营成本</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1.33</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1.32</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1.31</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1.30</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1.29</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1.29</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1.28</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1.27</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1.26</w:t>
            </w:r>
          </w:p>
        </w:tc>
      </w:tr>
      <w:tr>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利率</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1.33</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1.32</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1.31</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1.30</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1.29</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1.29</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1.28</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1.27</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1.26</w:t>
            </w:r>
          </w:p>
        </w:tc>
      </w:tr>
      <w:tr>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发行政府专项债融资本金</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1.36</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1.35</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1.33</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1.31</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1.29</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1.28</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1.26</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1.25</w:t>
            </w:r>
          </w:p>
        </w:tc>
        <w:tc>
          <w:tcPr>
            <w:tcW w:type="auto" w:w="0"/>
            <w:vAlign w:val="center"/>
            <w:tcBorders>
              <w:top w:val="single" w:sz="4" w:color="000000"/>
              <w:left w:val="single" w:sz="4" w:color="000000"/>
              <w:bottom w:val="single" w:sz="4" w:color="000000"/>
              <w:right w:val="single" w:sz="4" w:color="000000"/>
            </w:tcBorders>
          </w:tcPr>
          <w:p>
            <w:pPr>
              <w:jc w:val="center"/>
            </w:pPr>
            <w:r>
              <w:rPr>
                <w:rFonts w:ascii="仿宋" w:hAnsi="仿宋" w:eastAsia="仿宋"/>
                <w:sz w:val="20"/>
                <w:szCs w:val="20"/>
              </w:rPr>
              <w:t>1.23</w:t>
            </w:r>
          </w:p>
        </w:tc>
      </w:tr>
    </w:tbl>
    <w:p>
      <w:pPr>
        <w:spacing w:line="280" w:lineRule="auto"/>
      </w:pPr>
    </w:p>
    <w:p>
      <w:pPr>
        <w:numPr>
          <w:ilvl w:val="0"/>
          <w:numId w:val="3"/>
        </w:numPr>
        <w:spacing w:line="364" w:lineRule="auto"/>
        <w:ind w:firstLine="560"/>
        <w:jc w:val="both"/>
      </w:pPr>
      <w:r>
        <w:rPr>
          <w:rFonts w:ascii="Times New Roman" w:hAnsi="Times New Roman" w:eastAsia="仿宋"/>
          <w:sz w:val="28"/>
          <w:szCs w:val="28"/>
        </w:rPr>
        <w:t>通过测算，经营收入、建设投资变化的变化对项目效益的影响最大，最为敏感，经营成本变化相对影响较小。</w:t>
      </w:r>
    </w:p>
    <w:p>
      <w:pPr>
        <w:spacing w:line="364" w:lineRule="auto"/>
        <w:ind w:firstLine="560"/>
        <w:jc w:val="both"/>
      </w:pPr>
      <w:r>
        <w:rPr>
          <w:rFonts w:ascii="Times New Roman" w:hAnsi="Times New Roman" w:eastAsia="仿宋"/>
          <w:sz w:val="28"/>
          <w:szCs w:val="28"/>
        </w:rPr>
        <w:t>通过敏感性分析，固定资产投资、经营成本及经营收入等因素都有抗风险能力，尤其是建设投资的抗风险能力最强，经营收入的变化最敏感。因此合理确定运营定价收入相关定价以及控制工程运行成本都将直接影响项目的收入。</w:t>
      </w:r>
    </w:p>
    <w:sectPr>
      <w:headerReference w:type="default" r:id="rId6"/>
      <w:footerReference w:type="default" r:id="rId7"/>
      <w:pgSz w:w="11906" w:h="16838"/>
      <w:pgMar w:top="1440" w:right="1440" w:bottom="1440" w:left="1440" w:header="720" w:footer="720"/>
    </w:sectPr>
  </w:body>
</w:document>
</file>

<file path=word/fontTable.xml><?xml version="1.0" encoding="utf-8"?>
<w:fonts xmlns:w="http://schemas.openxmlformats.org/wordprocessingml/2006/main">
  <w:font w:name="Calibri">
    <w:panose1 w:val="020F0502020204030204"/>
    <w:charset w:val="00"/>
    <w:family w:val="swiss"/>
    <w:pitch w:val="variable"/>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仿宋"/>
        <w:sz w:val="20"/>
        <w:szCs w:val="20"/>
      </w:rPr>
      <w:t>第</w:t>
    </w:r>
    <w:r>
      <w:fldChar w:fldCharType="begin" w:dirty="true"/>
    </w:r>
    <w:r>
      <w:instrText xml:space="preserve">PAGE</w:instrText>
    </w:r>
    <w:r>
      <w:fldChar w:fldCharType="separate"/>
    </w:r>
    <w:r>
      <w:rPr>
        <w:rFonts w:ascii="Times New Roman" w:hAnsi="Times New Roman" w:eastAsia="仿宋"/>
        <w:sz w:val="20"/>
        <w:szCs w:val="20"/>
      </w:rPr>
      <w:t>1</w:t>
    </w:r>
    <w:r>
      <w:fldChar w:fldCharType="end"/>
    </w:r>
    <w:r>
      <w:rPr>
        <w:rFonts w:ascii="Times New Roman" w:hAnsi="Times New Roman" w:eastAsia="仿宋"/>
        <w:sz w:val="20"/>
        <w:szCs w:val="20"/>
      </w:rPr>
      <w:t>页 共</w:t>
    </w:r>
    <w:r>
      <w:fldChar w:fldCharType="begin" w:dirty="true"/>
    </w:r>
    <w:r>
      <w:instrText xml:space="preserve">NUMPAGES</w:instrText>
    </w:r>
    <w:r>
      <w:fldChar w:fldCharType="separate"/>
    </w:r>
    <w:r>
      <w:rPr>
        <w:rFonts w:ascii="Times New Roman" w:hAnsi="Times New Roman" w:eastAsia="仿宋"/>
        <w:sz w:val="20"/>
        <w:szCs w:val="20"/>
      </w:rPr>
      <w:t>1</w:t>
    </w:r>
    <w:r>
      <w:fldChar w:fldCharType="end"/>
    </w:r>
    <w:r>
      <w:rPr>
        <w:rFonts w:ascii="Times New Roman" w:hAnsi="Times New Roman" w:eastAsia="仿宋"/>
        <w:sz w:val="20"/>
        <w:szCs w:val="20"/>
      </w:rPr>
      <w:t>页                                        此内容由(DP-Ai)生成</w:t>
    </w:r>
  </w:p>
</w:ftr>
</file>

<file path=word/header1.xml><?xml version="1.0" encoding="utf-8"?>
<w:hdr xmlns:w="http://schemas.openxmlformats.org/wordprocessingml/2006/main" xmlns:r="http://schemas.openxmlformats.org/officeDocument/2006/relationships">
  <w:p>
    <w:pPr>
      <w:jc w:val="center"/>
    </w:pPr>
  </w:p>
</w:hdr>
</file>

<file path=word/numbering.xml><?xml version="1.0" encoding="utf-8"?>
<w:numbering xmlns:w="http://schemas.openxmlformats.org/wordprocessingml/2006/main">
  <w:abstractNum w:abstractNumId="1">
    <w:multiLevelType w:val="singleLevel"/>
    <w:lvl w:ilvl="0">
      <w:start w:val="1"/>
      <w:numFmt w:val="decimal"/>
      <w:suff w:val="space"/>
      <w:lvlText w:val="%1."/>
      <w:lvlJc w:val="left"/>
      <w:rPr>
        <w:rFonts w:ascii="Times New Roman" w:hAnsi="Times New Roman" w:eastAsia="Times New Roman"/>
        <w:sz w:val="28"/>
        <w:szCs w:val="28"/>
      </w:rPr>
    </w:lvl>
  </w:abstractNum>
  <w:num w:numId="1">
    <w:abstractNumId w:val="1"/>
  </w:num>
  <w:abstractNum w:abstractNumId="2">
    <w:multiLevelType w:val="singleLevel"/>
    <w:lvl w:ilvl="0">
      <w:start w:val="2"/>
      <w:numFmt w:val="decimal"/>
      <w:suff w:val="space"/>
      <w:lvlText w:val="%1."/>
      <w:lvlJc w:val="left"/>
      <w:rPr>
        <w:rFonts w:ascii="Times New Roman" w:hAnsi="Times New Roman" w:eastAsia="Times New Roman"/>
        <w:sz w:val="28"/>
        <w:szCs w:val="28"/>
      </w:rPr>
    </w:lvl>
  </w:abstractNum>
  <w:num w:numId="2">
    <w:abstractNumId w:val="2"/>
  </w:num>
  <w:abstractNum w:abstractNumId="3">
    <w:multiLevelType w:val="singleLevel"/>
    <w:lvl w:ilvl="0">
      <w:start w:val="3"/>
      <w:numFmt w:val="decimal"/>
      <w:suff w:val="space"/>
      <w:lvlText w:val="%1."/>
      <w:lvlJc w:val="left"/>
      <w:rPr>
        <w:rFonts w:ascii="Times New Roman" w:hAnsi="Times New Roman" w:eastAsia="Times New Roman"/>
        <w:sz w:val="28"/>
        <w:szCs w:val="28"/>
      </w:rPr>
    </w:lvl>
  </w:abstractNum>
  <w:num w:numId="3">
    <w:abstractNumId w:val="3"/>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latentStyles w:defLockedState="0" w:defUIPriority="99" w:defSemiHidden="0" w:defUnhideWhenUsed="0" w:defQFormat="0" w:count="376">
    <w:lsdException w:name="Normal" w:uiPriority="0" w:qFormat="1"/>
    <w:lsdException w:name="heading 1" w:uiPriority="9" w:qFormat="1"/>
    <w:lsdException w:name="heading 2" w:uiPriority="9" w:qFormat="1" w:semiHidden="1" w:unhideWhenUsed="1"/>
    <w:lsdException w:name="heading 3" w:uiPriority="9" w:qFormat="1" w:semiHidden="1" w:unhideWhenUsed="1"/>
    <w:lsdException w:name="heading 4" w:uiPriority="9" w:qFormat="1" w:semiHidden="1" w:unhideWhenUsed="1"/>
    <w:lsdException w:name="heading 5" w:uiPriority="9" w:qFormat="1" w:semiHidden="1" w:unhideWhenUsed="1"/>
    <w:lsdException w:name="heading 6" w:uiPriority="9" w:qFormat="1" w:semiHidden="1" w:unhideWhenUsed="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2">
    <w:name w:val="Heading 2"/>
    <w:basedOn w:val="Normal"/>
    <w:next w:val="Normal"/>
    <w:uiPriority w:val="10"/>
    <w:qFormat/>
    <w:pPr>
      <w:keepNext/>
      <w:keepLines/>
      <w:spacing w:before="240" w:after="120"/>
      <w:outlineLvl w:val="1"/>
    </w:pPr>
    <w:rPr>
      <w:rFonts w:ascii="Calibri Light" w:hAnsi="Calibri Light"/>
      <w:b w:val="true"/>
      <w:sz w:val="26"/>
      <w:szCs w:val="26"/>
    </w:rPr>
  </w:style>
  <w:style w:type="paragraph" w:styleId="Heading3">
    <w:name w:val="Heading 3"/>
    <w:basedOn w:val="Normal"/>
    <w:next w:val="Normal"/>
    <w:uiPriority w:val="11"/>
    <w:qFormat/>
    <w:pPr>
      <w:keepNext/>
      <w:keepLines/>
      <w:spacing w:before="240" w:after="120"/>
      <w:outlineLvl w:val="2"/>
    </w:pPr>
    <w:rPr>
      <w:rFonts w:ascii="Calibri Light" w:hAnsi="Calibri Light"/>
      <w:b w:val="true"/>
      <w:sz w:val="24"/>
      <w:szCs w:val="24"/>
    </w:rPr>
  </w:style>
  <w:style w:type="paragraph" w:styleId="Heading7">
    <w:name w:val="Heading 7"/>
    <w:basedOn w:val="Normal"/>
    <w:next w:val="Normal"/>
    <w:uiPriority w:val="15"/>
    <w:qFormat/>
    <w:pPr>
      <w:keepNext/>
      <w:keepLines/>
      <w:spacing w:before="240" w:after="120"/>
      <w:outlineLvl w:val="6"/>
    </w:pPr>
    <w:rPr>
      <w:rFonts w:ascii="Calibri Light" w:hAnsi="Calibri Light"/>
    </w:rPr>
  </w:style>
  <w:style w:type="table" w:styleId="TableNormal" w:default="true">
    <w:name w:val="Table Normal"/>
  </w:style>
  <w:style w:type="paragraph" w:styleId="TOC5">
    <w:name w:val="TOC 5"/>
    <w:basedOn w:val="Normal"/>
    <w:pPr>
      <w:ind w:left="880"/>
    </w:pPr>
  </w:style>
  <w:style w:type="paragraph" w:styleId="TOC8">
    <w:name w:val="TOC 8"/>
    <w:basedOn w:val="Normal"/>
    <w:pPr>
      <w:ind w:left="1540"/>
    </w:pPr>
  </w:style>
  <w:style w:type="paragraph" w:styleId="Header">
    <w:name w:val="Header"/>
    <w:basedOn w:val="Normal"/>
    <w:link w:val="HeaderChar"/>
    <w:rPr>
      <w:sz w:val="20"/>
      <w:szCs w:val="20"/>
    </w:rPr>
  </w:style>
  <w:style w:type="paragraph" w:styleId="Normal" w:default="true">
    <w:name w:val="Normal"/>
    <w:uiPriority w:val="0"/>
    <w:qFormat/>
  </w:style>
  <w:style w:type="paragraph" w:styleId="Heading4">
    <w:name w:val="Heading 4"/>
    <w:basedOn w:val="Normal"/>
    <w:next w:val="Normal"/>
    <w:uiPriority w:val="12"/>
    <w:qFormat/>
    <w:pPr>
      <w:keepNext/>
      <w:keepLines/>
      <w:spacing w:before="240" w:after="120"/>
      <w:outlineLvl w:val="3"/>
    </w:pPr>
    <w:rPr>
      <w:rFonts w:ascii="Calibri Light" w:hAnsi="Calibri Light"/>
      <w:b w:val="true"/>
      <w:sz w:val="24"/>
      <w:szCs w:val="24"/>
    </w:rPr>
  </w:style>
  <w:style w:type="paragraph" w:styleId="Heading5">
    <w:name w:val="Heading 5"/>
    <w:basedOn w:val="Normal"/>
    <w:next w:val="Normal"/>
    <w:uiPriority w:val="13"/>
    <w:qFormat/>
    <w:pPr>
      <w:keepNext/>
      <w:keepLines/>
      <w:spacing w:before="240" w:after="120"/>
      <w:outlineLvl w:val="4"/>
    </w:pPr>
    <w:rPr>
      <w:rFonts w:ascii="Calibri Light" w:hAnsi="Calibri Light"/>
      <w:b w:val="true"/>
    </w:rPr>
  </w:style>
  <w:style w:type="paragraph" w:styleId="Subtitle">
    <w:name w:val="Subtitle"/>
    <w:basedOn w:val="Normal"/>
    <w:pPr>
      <w:jc w:val="center"/>
    </w:pPr>
    <w:rPr>
      <w:i w:val="true"/>
      <w:color w:val="5A5A5A"/>
      <w:sz w:val="28"/>
      <w:szCs w:val="28"/>
    </w:rPr>
  </w:style>
  <w:style w:type="paragraph" w:styleId="TOC1">
    <w:name w:val="TOC 1"/>
    <w:basedOn w:val="Normal"/>
  </w:style>
  <w:style w:type="paragraph" w:styleId="Heading1">
    <w:name w:val="Heading 1"/>
    <w:basedOn w:val="Normal"/>
    <w:next w:val="Normal"/>
    <w:uiPriority w:val="9"/>
    <w:qFormat/>
    <w:pPr>
      <w:keepNext/>
      <w:keepLines/>
      <w:spacing w:before="240" w:after="120"/>
      <w:outlineLvl w:val="0"/>
    </w:pPr>
    <w:rPr>
      <w:rFonts w:ascii="Calibri Light" w:hAnsi="Calibri Light"/>
      <w:b w:val="true"/>
      <w:sz w:val="32"/>
      <w:szCs w:val="32"/>
    </w:rPr>
  </w:style>
  <w:style w:type="paragraph" w:styleId="TOC9">
    <w:name w:val="TOC 9"/>
    <w:basedOn w:val="Normal"/>
    <w:pPr>
      <w:ind w:left="1760"/>
    </w:pPr>
  </w:style>
  <w:style w:type="paragraph" w:styleId="TOC2">
    <w:name w:val="TOC 2"/>
    <w:basedOn w:val="Normal"/>
    <w:pPr>
      <w:ind w:left="220"/>
    </w:pPr>
  </w:style>
  <w:style w:type="paragraph" w:styleId="TOC3">
    <w:name w:val="TOC 3"/>
    <w:basedOn w:val="Normal"/>
    <w:pPr>
      <w:ind w:left="440"/>
    </w:pPr>
  </w:style>
  <w:style w:type="character" w:styleId="Emphasis">
    <w:name w:val="Emphasis"/>
    <w:basedOn w:val="DefaultParagraphFont"/>
    <w:rPr>
      <w:i w:val="true"/>
    </w:rPr>
  </w:style>
  <w:style w:type="table" w:styleId="PlainTable1">
    <w:name w:val="Plain Table 1"/>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 w:type="table" w:styleId="MediumShading1Accent1">
    <w:name w:val="Medium Shading 1 Accent 1"/>
    <w:basedOn w:val="TableNormal"/>
  </w:style>
  <w:style w:type="paragraph" w:styleId="Title">
    <w:name w:val="Title"/>
    <w:basedOn w:val="Normal"/>
    <w:pPr>
      <w:spacing w:after="180"/>
      <w:jc w:val="center"/>
    </w:pPr>
    <w:rPr>
      <w:rFonts w:ascii="Calibri Light" w:hAnsi="Calibri Light"/>
      <w:b w:val="true"/>
      <w:sz w:val="52"/>
      <w:szCs w:val="52"/>
    </w:rPr>
  </w:style>
  <w:style w:type="paragraph" w:styleId="Quote">
    <w:name w:val="Quote"/>
    <w:basedOn w:val="Normal"/>
    <w:pPr>
      <w:ind w:left="720" w:right="720"/>
    </w:pPr>
    <w:rPr>
      <w:i w:val="true"/>
      <w:color w:val="595959"/>
    </w:rPr>
  </w:style>
  <w:style w:type="paragraph" w:styleId="TOC4">
    <w:name w:val="TOC 4"/>
    <w:basedOn w:val="Normal"/>
    <w:pPr>
      <w:ind w:left="660"/>
    </w:pPr>
  </w:style>
  <w:style w:type="character" w:styleId="Hyperlink">
    <w:name w:val="Hyperlink"/>
    <w:basedOn w:val="DefaultParagraphFont"/>
    <w:rPr>
      <w:color w:val="0000FF"/>
      <w:u w:val="single"/>
    </w:rPr>
  </w:style>
  <w:style w:type="table" w:styleId="ColorfulList">
    <w:name w:val="Colorful List"/>
    <w:basedOn w:val="TableNormal"/>
  </w:style>
  <w:style w:type="paragraph" w:styleId="Heading9">
    <w:name w:val="Heading 9"/>
    <w:basedOn w:val="Normal"/>
    <w:next w:val="Normal"/>
    <w:uiPriority w:val="17"/>
    <w:qFormat/>
    <w:pPr>
      <w:keepNext/>
      <w:keepLines/>
      <w:spacing w:before="240" w:after="120"/>
      <w:outlineLvl w:val="8"/>
    </w:pPr>
    <w:rPr>
      <w:rFonts w:ascii="Calibri Light" w:hAnsi="Calibri Light"/>
    </w:rPr>
  </w:style>
  <w:style w:type="paragraph" w:styleId="ListParagraph">
    <w:name w:val="List Paragraph"/>
    <w:basedOn w:val="Normal"/>
    <w:pPr>
      <w:spacing w:after="80"/>
      <w:ind w:left="720"/>
    </w:pPr>
  </w:style>
  <w:style w:type="character" w:styleId="Strong">
    <w:name w:val="Strong"/>
    <w:basedOn w:val="DefaultParagraphFont"/>
    <w:rPr>
      <w:b w:val="true"/>
    </w:rPr>
  </w:style>
  <w:style w:type="table" w:styleId="LightShading">
    <w:name w:val="Light Shading"/>
    <w:basedOn w:val="TableNormal"/>
  </w:style>
  <w:style w:type="paragraph" w:styleId="Footer">
    <w:name w:val="Footer"/>
    <w:basedOn w:val="Normal"/>
    <w:rPr>
      <w:sz w:val="20"/>
      <w:szCs w:val="20"/>
    </w:rPr>
  </w:style>
  <w:style w:type="paragraph" w:styleId="Caption">
    <w:name w:val="caption"/>
    <w:basedOn w:val="Normal"/>
    <w:pPr>
      <w:spacing w:after="200"/>
    </w:pPr>
    <w:rPr>
      <w:i w:val="true"/>
    </w:rPr>
  </w:style>
  <w:style w:type="paragraph" w:styleId="Heading6">
    <w:name w:val="Heading 6"/>
    <w:basedOn w:val="Normal"/>
    <w:next w:val="Normal"/>
    <w:uiPriority w:val="14"/>
    <w:qFormat/>
    <w:pPr>
      <w:keepNext/>
      <w:keepLines/>
      <w:spacing w:before="240" w:after="120"/>
      <w:outlineLvl w:val="5"/>
    </w:pPr>
    <w:rPr>
      <w:rFonts w:ascii="Calibri Light" w:hAnsi="Calibri Light"/>
    </w:rPr>
  </w:style>
  <w:style w:type="paragraph" w:styleId="TOC6">
    <w:name w:val="TOC 6"/>
    <w:basedOn w:val="Normal"/>
    <w:pPr>
      <w:ind w:left="1100"/>
    </w:pPr>
  </w:style>
  <w:style w:type="paragraph" w:styleId="BodyText">
    <w:name w:val="Body Text"/>
    <w:basedOn w:val="Normal"/>
  </w:style>
  <w:style w:type="paragraph" w:styleId="NoSpacing">
    <w:name w:val="No Spacing"/>
    <w:basedOn w:val="Normal"/>
  </w:style>
  <w:style w:type="table" w:styleId="MediumShading1">
    <w:name w:val="Medium Shading 1"/>
    <w:basedOn w:val="TableNormal"/>
  </w:style>
  <w:style w:type="paragraph" w:styleId="Heading8">
    <w:name w:val="Heading 8"/>
    <w:basedOn w:val="Normal"/>
    <w:next w:val="Normal"/>
    <w:uiPriority w:val="16"/>
    <w:qFormat/>
    <w:pPr>
      <w:keepNext/>
      <w:keepLines/>
      <w:spacing w:before="240" w:after="120"/>
      <w:outlineLvl w:val="7"/>
    </w:pPr>
    <w:rPr>
      <w:rFonts w:ascii="Calibri Light" w:hAnsi="Calibri Light"/>
    </w:rPr>
  </w:style>
  <w:style w:type="paragraph" w:styleId="IntenseQuote">
    <w:name w:val="Intense Quote"/>
    <w:basedOn w:val="Normal"/>
    <w:pPr>
      <w:spacing w:before="120" w:after="120"/>
      <w:ind w:left="720" w:right="720"/>
      <w:jc w:val="center"/>
    </w:pPr>
    <w:rPr>
      <w:b w:val="true"/>
      <w:i w:val="true"/>
      <w:color w:val="4F81BD"/>
      <w:sz w:val="28"/>
      <w:szCs w:val="28"/>
    </w:rPr>
  </w:style>
  <w:style w:type="paragraph" w:styleId="TOC7">
    <w:name w:val="TOC 7"/>
    <w:basedOn w:val="Normal"/>
    <w:pPr>
      <w:ind w:left="1320"/>
    </w:pPr>
  </w:style>
  <w:style w:type="character" w:styleId="DefaultParagraphFont" w:default="true">
    <w:name w:val="Default Paragraph Font"/>
  </w:style>
  <w:style w:type="character" w:styleId="HeaderChar">
    <w:name w:val="Header Char"/>
    <w:basedOn w:val="DefaultParagraphFont"/>
  </w:style>
  <w:style w:type="character" w:styleId="FollowedHyperlink">
    <w:name w:val="Followed Hyperlink"/>
    <w:basedOn w:val="DefaultParagraphFont"/>
    <w:rPr>
      <w:color w:val="800080"/>
      <w:u w:val="single"/>
    </w:rPr>
  </w:style>
  <w:style w:type="table" w:styleId="TableGrid">
    <w:name w:val="Table Grid"/>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 w:type="table" w:styleId="MediumShading1Accent2">
    <w:name w:val="Medium Shading 1 Accent 2"/>
    <w:basedOn w:val="TableNormal"/>
  </w:style>
</w:styles>
</file>

<file path=word/webSettings.xml><?xml version="1.0" encoding="utf-8"?>
<w:webSettings xmlns:w="http://schemas.openxmlformats.org/wordprocessingml/2006/main">
  <w:allowPNG/>
</w:webSettings>
</file>

<file path=word/_rels/document.xml.rels><?xml version="1.0" encoding="UTF-8"?>
<Relationships xmlns="http://schemas.openxmlformats.org/package/2006/relationships">
  <Relationship Id="rId6" Type="http://schemas.openxmlformats.org/officeDocument/2006/relationships/header" Target="header1.xml"></Relationship>
  <Relationship Id="rId3" Type="http://schemas.openxmlformats.org/officeDocument/2006/relationships/theme" Target="theme/theme1.xml"></Relationship>
  <Relationship Id="rId2" Type="http://schemas.openxmlformats.org/officeDocument/2006/relationships/fontTable" Target="fontTable.xml"></Relationship>
  <Relationship Id="rId5" Type="http://schemas.openxmlformats.org/officeDocument/2006/relationships/webSettings" Target="webSettings.xml"></Relationship>
  <Relationship Id="rId7" Type="http://schemas.openxmlformats.org/officeDocument/2006/relationships/footer" Target="footer1.xml"></Relationship>
  <Relationship Id="rId1" Type="http://schemas.openxmlformats.org/officeDocument/2006/relationships/styles" Target="styles.xml"></Relationship>
  <Relationship Id="rId4" Type="http://schemas.openxmlformats.org/officeDocument/2006/relationships/settings" Target="settings.xml"></Relationship>
  <Relationship Id="rId8" Type="http://schemas.openxmlformats.org/officeDocument/2006/relationships/numbering" Target="numbering.xml"></Relationshi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350000"/>
              </a:schemeClr>
            </a:gs>
          </a:gsLst>
          <a:lin ang="16200000" scaled="1"/>
        </a:gradFill>
      </a:fillStyleLst>
      <a:lnStyleLst>
        <a:ln w="9525" cap="flat" cmpd="sng" algn="ctr">
          <a:solidFill>
            <a:schemeClr val="phClr"/>
          </a:solidFill>
          <a:prstDash val="solid"/>
          <a:miter lim="800000"/>
        </a:ln>
        <a:ln w="25400" cap="flat" cmpd="sng" algn="ctr">
          <a:solidFill>
            <a:schemeClr val="phClr"/>
          </a:solidFill>
          <a:prstDash val="solid"/>
          <a:miter lim="800000"/>
        </a:ln>
        <a:ln w="381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Application>docxgo</Application>
  <DocSecurity>0</DocSecurity>
  <Lines>0</Lines>
  <Paragraphs>16</Paragraphs>
  <Company>Misael Monterroca</Company>
</Properties>
</file>

<file path=docProps/core.xml><?xml version="1.0" encoding="utf-8"?>
<cp:coreProperties xmlns:cp="http://schemas.openxmlformats.org/package/2006/metadata/core-properties" xmlns:dc="http://purl.org/dc/elements/1.1/" xmlns:dcterms="http://purl.org/dc/terms/" xmlns:xsi="http://www.w3.org/2001/XMLSchema-instance"/>
</file>