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160af9d92a093768eb2a160eb51c6da4105bc34"/>
    <w:p>
      <w:pPr>
        <w:pStyle w:val="Heading1"/>
      </w:pPr>
      <w:r>
        <w:t xml:space="preserve">Ford Motor Company – Ready Set Ford Marketing Intelligence Memo (Draft)</w:t>
      </w:r>
    </w:p>
    <w:bookmarkStart w:id="21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Ready Set Ford should be positioned as a marketing intelligence flywheel that protects Ford’s loyalty core while unlocking premium growth. Secondary data indicate Ford’s truck loyalty sits at</w:t>
      </w:r>
      <w:r>
        <w:t xml:space="preserve"> </w:t>
      </w:r>
      <w:r>
        <w:rPr>
          <w:bCs/>
          <w:b/>
        </w:rPr>
        <w:t xml:space="preserve">65.1%</w:t>
      </w:r>
      <w:r>
        <w:t xml:space="preserve">, the highest in the industry, creating a defensible base that must be maintained through Capability and Trust messaging.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At the same time, emerging lifestyle signals—Google search interest, social chatter, and a vibrant collectible-car economy—show headroom to monetize passion-led segments. We recommend a three-phase roadmap: (1) immediate instrumentation of campaign metrics and dealer storytelling, (2) a 90–180 day research sprint to validate lifestyle promises and EV value propositions, and (3) a 12-month BI build that fuses syndicated loyalty data, telematics, and content engagement into a single dashboard for Ford Blue, Model e, and Ford Pro leaders.</w:t>
      </w:r>
    </w:p>
    <w:bookmarkEnd w:id="21"/>
    <w:bookmarkStart w:id="23" w:name="strategic-context-loyalty-baselines"/>
    <w:p>
      <w:pPr>
        <w:pStyle w:val="Heading2"/>
      </w:pPr>
      <w:r>
        <w:t xml:space="preserve">2. Strategic Context – Loyalty Baselines</w:t>
      </w:r>
    </w:p>
    <w:p>
      <w:pPr>
        <w:pStyle w:val="FirstParagraph"/>
      </w:pPr>
      <w:r>
        <w:t xml:space="preserve">Ford enters FY2025 needing to stoke demand amid EV headwinds, price pressure, and a skills gap in marketing analytics documented in class notes. The J.D. Power 2024 loyalty study reports Toyota (62.5%) and Honda (58.8%) maintaining mass-market car loyalty leadership, Lexus leading premium SUVs at 60.2%, and Ford topping the truck segment at 65.1%.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These figures set quantitative guardrails around Ready Set Ford’s promises: any erosion in truck loyalty risks delivering the segment to Toyota (60.8%), while to gain SUV share Ford must displace Honda (64.2%) with differentiated Brand + Adventure stories. Incorporating these benchmarks into our dashboards ensures leadership can track lifestyle claims against real customer retention.</w:t>
      </w:r>
    </w:p>
    <w:bookmarkEnd w:id="23"/>
    <w:bookmarkStart w:id="25" w:name="marketing-intelligence-assessment"/>
    <w:p>
      <w:pPr>
        <w:pStyle w:val="Heading2"/>
      </w:pPr>
      <w:r>
        <w:t xml:space="preserve">3. Marketing Intelligence Assessment</w:t>
      </w:r>
    </w:p>
    <w:p>
      <w:pPr>
        <w:pStyle w:val="FirstParagraph"/>
      </w:pPr>
      <w:r>
        <w:t xml:space="preserve">Class frameworks emphasize a loop of problem definition → research design → data synthesis. Secondary assets already collected—SEC filings, Ford Pro press releases (ServiceTitan integration, managed charging pilot), J.D. Power loyalty benchmarks, McKinsey insights on heritage value, Google Trends, and Twitter listening—answer</w:t>
      </w:r>
      <w:r>
        <w:t xml:space="preserve"> </w:t>
      </w:r>
      <w:r>
        <w:t xml:space="preserve">“</w:t>
      </w:r>
      <w:r>
        <w:t xml:space="preserve">what is happening</w:t>
      </w:r>
      <w:r>
        <w:t xml:space="preserve">”</w:t>
      </w:r>
      <w:r>
        <w:t xml:space="preserve"> </w:t>
      </w:r>
      <w:r>
        <w:t xml:space="preserve">today. Primary research gaps remain: qualitative ethnography with lifestyle customers and dealers to test the Build/Thrill/Adventure pillars; quantitative surveys and conjoint to calibrate EV price-value tradeoffs; and dealer analytics to monitor content resonance. The collectors’ economy (≈€800B stock value)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also warrants targeted research on how legacy nameplates drive willingness to pay for limited editions or premium service bundles.</w:t>
      </w:r>
    </w:p>
    <w:bookmarkEnd w:id="25"/>
    <w:bookmarkStart w:id="27" w:name="Xf4a4cd9b5bd2a3522f5c2cb570b73f6626960e6"/>
    <w:p>
      <w:pPr>
        <w:pStyle w:val="Heading2"/>
      </w:pPr>
      <w:r>
        <w:t xml:space="preserve">4. Segment Diagnostics – Leveraging Enthusiast Equity</w:t>
      </w:r>
    </w:p>
    <w:p>
      <w:pPr>
        <w:pStyle w:val="FirstParagraph"/>
      </w:pPr>
      <w:r>
        <w:t xml:space="preserve">Ford Blue can use Ready Set Ford storytelling to connect heritage pride with practical capability. McKinsey’s collectible-car study quantifies the cultural leverage: average auction prices (~€65k) and listings (~€56k) demonstrate that passion converts into spend, while the $143M sale of Mercedes’ 300 SLR Uhlenhaut Coupé shows how legacy engineering fuels brand halo.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For Model e, survey work should segment EV intenders by lifestyle pillar and test how heritage cues (Mustang Mach-E, F-150 Lightning) influence conversion. Ford Pro should showcase telematics and charging ROI using the ServiceTitan and Southern Company pilots already parsed in</w:t>
      </w:r>
      <w:r>
        <w:t xml:space="preserve"> </w:t>
      </w:r>
      <w:r>
        <w:rPr>
          <w:rStyle w:val="VerbatimChar"/>
        </w:rPr>
        <w:t xml:space="preserve">data/external/ford_press_metrics.csv</w:t>
      </w:r>
      <w:r>
        <w:t xml:space="preserve">. Together, these diagnostics justify a pipeline of hero content and customer research that extends Ready Set Ford beyond awareness.</w:t>
      </w:r>
    </w:p>
    <w:bookmarkEnd w:id="27"/>
    <w:bookmarkStart w:id="29" w:name="X961fa48c7a21796d567e95cd3898111d761260d"/>
    <w:p>
      <w:pPr>
        <w:pStyle w:val="Heading2"/>
      </w:pPr>
      <w:r>
        <w:t xml:space="preserve">5. Business Intelligence Roadmap – Integrating Lifestyle Signals</w:t>
      </w:r>
    </w:p>
    <w:p>
      <w:pPr>
        <w:pStyle w:val="FirstParagraph"/>
      </w:pPr>
      <w:r>
        <w:t xml:space="preserve">We recommend standing up a Ready Set Ford dashboard with three tiers: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Loyalty &amp; Retention</w:t>
      </w:r>
      <w:r>
        <w:t xml:space="preserve"> </w:t>
      </w:r>
      <w:r>
        <w:t xml:space="preserve">– Monthly ingest of J.D. Power loyalty rates and Ford internal retention to flag gaps vs. Toyota/Honda/Lexus targets.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Lifestyle &amp; Engagement</w:t>
      </w:r>
      <w:r>
        <w:t xml:space="preserve"> </w:t>
      </w:r>
      <w:r>
        <w:t xml:space="preserve">– Google Trends indices for</w:t>
      </w:r>
      <w:r>
        <w:t xml:space="preserve"> </w:t>
      </w:r>
      <w:r>
        <w:t xml:space="preserve">“</w:t>
      </w:r>
      <w:r>
        <w:t xml:space="preserve">Ready Set Ford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Ford Pro,</w:t>
      </w:r>
      <w:r>
        <w:t xml:space="preserve">”</w:t>
      </w:r>
      <w:r>
        <w:t xml:space="preserve"> </w:t>
      </w:r>
      <w:r>
        <w:t xml:space="preserve">Twitter volume/hashtag mix, and YouTube view + like rates (see</w:t>
      </w:r>
      <w:r>
        <w:t xml:space="preserve"> </w:t>
      </w:r>
      <w:r>
        <w:rPr>
          <w:rStyle w:val="VerbatimChar"/>
        </w:rPr>
        <w:t xml:space="preserve">data/external/youtube_metrics.csv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notes/youtube_snapshot.md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Product &amp; Proof Points</w:t>
      </w:r>
      <w:r>
        <w:t xml:space="preserve"> </w:t>
      </w:r>
      <w:r>
        <w:t xml:space="preserve">– Ford Pro telematics wins, charging savings, and limited-edition run rates referencing press-release metrics. A</w:t>
      </w:r>
      <w:r>
        <w:t xml:space="preserve"> </w:t>
      </w:r>
      <w:r>
        <w:t xml:space="preserve">“</w:t>
      </w:r>
      <w:r>
        <w:t xml:space="preserve">Heritage Equity Index</w:t>
      </w:r>
      <w:r>
        <w:t xml:space="preserve">”</w:t>
      </w:r>
      <w:r>
        <w:t xml:space="preserve"> </w:t>
      </w:r>
      <w:r>
        <w:t xml:space="preserve">would track collectible-inspired launches and waitlist velocity, aligned with the €800B collectible market opportunity.</w:t>
      </w:r>
      <w:r>
        <w:t xml:space="preserve"> </w:t>
      </w:r>
      <w:r>
        <w:t xml:space="preserve">Governance should include a cross-functional intelligence council, a data glossary, and training derived from class Industry 4.0 notes to close the analytics skill gap.</w:t>
      </w:r>
    </w:p>
    <w:bookmarkEnd w:id="29"/>
    <w:bookmarkStart w:id="30" w:name="recommendations-next-steps"/>
    <w:p>
      <w:pPr>
        <w:pStyle w:val="Heading2"/>
      </w:pPr>
      <w:r>
        <w:t xml:space="preserve">6. Recommendations &amp; Next Steps</w:t>
      </w:r>
    </w:p>
    <w:p>
      <w:pPr>
        <w:pStyle w:val="FirstParagraph"/>
      </w:pPr>
      <w:r>
        <w:rPr>
          <w:bCs/>
          <w:b/>
        </w:rPr>
        <w:t xml:space="preserve">0–90 days:</w:t>
      </w:r>
      <w:r>
        <w:t xml:space="preserve"> </w:t>
      </w:r>
      <w:r>
        <w:t xml:space="preserve">Instrument campaign analytics (YouTube + social dashboards), publish the Ready Set Ford video slide as a living asset, and run qualitative interviews with dealers and target personas to test lifestyle promises.</w:t>
      </w:r>
      <w:r>
        <w:t xml:space="preserve"> </w:t>
      </w:r>
      <w:r>
        <w:rPr>
          <w:bCs/>
          <w:b/>
        </w:rPr>
        <w:t xml:space="preserve">90–180 days:</w:t>
      </w:r>
      <w:r>
        <w:t xml:space="preserve"> </w:t>
      </w:r>
      <w:r>
        <w:t xml:space="preserve">Launch conjoint/quant surveys on EV value and capability perceptions, codify telematics case studies, and roll out dealer enablement kits with loyalty benchmarks.</w:t>
      </w:r>
      <w:r>
        <w:t xml:space="preserve"> </w:t>
      </w:r>
      <w:r>
        <w:rPr>
          <w:bCs/>
          <w:b/>
        </w:rPr>
        <w:t xml:space="preserve">180+ days:</w:t>
      </w:r>
      <w:r>
        <w:t xml:space="preserve"> </w:t>
      </w:r>
      <w:r>
        <w:t xml:space="preserve">Operationalize the BI dashboard, integrate telematics + CRM feeds, and formalize an annual marketing intelligence plan that cycles datasets from</w:t>
      </w:r>
      <w:r>
        <w:t xml:space="preserve"> </w:t>
      </w:r>
      <w:r>
        <w:rPr>
          <w:rStyle w:val="VerbatimChar"/>
        </w:rPr>
        <w:t xml:space="preserve">scripts/collect_additional_data.py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scripts/extract_market_stats.py</w:t>
      </w:r>
      <w:r>
        <w:t xml:space="preserve">. These actions transform Ready Set Ford from a creative campaign into a measurable intelligence program that protects Ford’s core while expanding into growth personas.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Draft updated 19 Sep 2025. Citations refer to datasets generated within the repository unless otherwise noted.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data/external/market_stats.csv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data/external/market_stats.csv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data/external/market_stats.csv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data/external/market_stats.csv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data/external/market_stats.csv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2025-09-20T02:36:08Z</dcterms:created>
  <dcterms:modified xsi:type="dcterms:W3CDTF">2025-09-20T02:36:08Z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