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They identify four dimensions, each with two polar approaches:</w:t>
      </w:r>
    </w:p>
    <w:p>
      <w:pPr>
        <w:jc w:val="both"/>
      </w:pPr>
      <w:r>
        <w:rPr>
          <w:rFonts w:ascii="Calibri" w:hAnsi="Calibri"/>
          <w:sz w:val="22"/>
        </w:rPr>
        <w:t>1. Objectives</w:t>
      </w:r>
    </w:p>
    <w:p>
      <w:pPr>
        <w:jc w:val="both"/>
      </w:pPr>
      <w:r>
        <w:rPr>
          <w:rFonts w:ascii="Calibri" w:hAnsi="Calibri"/>
          <w:sz w:val="22"/>
        </w:rPr>
        <w:t>2. Motivation</w:t>
      </w:r>
    </w:p>
    <w:p>
      <w:pPr>
        <w:jc w:val="both"/>
      </w:pPr>
      <w:r>
        <w:rPr>
          <w:rFonts w:ascii="Calibri" w:hAnsi="Calibri"/>
          <w:sz w:val="22"/>
        </w:rPr>
        <w:t>3. Coordination</w:t>
      </w:r>
    </w:p>
    <w:p>
      <w:pPr>
        <w:jc w:val="both"/>
      </w:pPr>
      <w:r>
        <w:rPr>
          <w:rFonts w:ascii="Calibri" w:hAnsi="Calibri"/>
          <w:sz w:val="22"/>
        </w:rPr>
        <w:t>4. Decision-Making</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(2021)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Dimension</w:t>
            </w:r>
          </w:p>
        </w:tc>
        <w:tc>
          <w:tcPr>
            <w:tcW w:type="dxa" w:w="1872"/>
            <w:shd w:fill="00095B"/>
          </w:tcPr>
          <w:p>
            <w:r>
              <w:rPr>
                <w:b/>
                <w:color w:val="FFFFFF"/>
              </w:rPr>
              <w:t>2020 Approach</w:t>
            </w:r>
          </w:p>
        </w:tc>
        <w:tc>
          <w:tcPr>
            <w:tcW w:type="dxa" w:w="1872"/>
            <w:shd w:fill="00095B"/>
          </w:tcPr>
          <w:p>
            <w:r>
              <w:rPr>
                <w:b/>
                <w:color w:val="FFFFFF"/>
              </w:rPr>
              <w:t>2021 Approach</w:t>
            </w:r>
          </w:p>
        </w:tc>
        <w:tc>
          <w:tcPr>
            <w:tcW w:type="dxa" w:w="1872"/>
            <w:shd w:fill="00095B"/>
          </w:tcPr>
          <w:p>
            <w:r>
              <w:rPr>
                <w:b/>
                <w:color w:val="FFFFFF"/>
              </w:rPr>
              <w:t>2022-2024 Approach</w:t>
            </w:r>
          </w:p>
        </w:tc>
        <w:tc>
          <w:tcPr>
            <w:tcW w:type="dxa" w:w="1872"/>
            <w:shd w:fill="00095B"/>
          </w:tcPr>
          <w:p>
            <w:r>
              <w:rPr>
                <w:b/>
                <w:color w:val="FFFFFF"/>
              </w:rPr>
              <w:t>2025 Evolution</w:t>
            </w:r>
          </w:p>
        </w:tc>
      </w:tr>
      <w:tr>
        <w:tc>
          <w:tcPr>
            <w:tcW w:type="dxa" w:w="1872"/>
          </w:tcPr>
          <w:p>
            <w:r>
              <w:t>**Objectives**</w:t>
            </w:r>
          </w:p>
        </w:tc>
        <w:tc>
          <w:tcPr>
            <w:tcW w:type="dxa" w:w="1872"/>
          </w:tcPr>
          <w:p>
            <w:r>
              <w:t>Goal Setting (short-term financial targets)</w:t>
            </w:r>
          </w:p>
        </w:tc>
        <w:tc>
          <w:tcPr>
            <w:tcW w:type="dxa" w:w="1872"/>
          </w:tcPr>
          <w:p>
            <w:r>
              <w:t>Hybrid (Ford+ vision + financial goals)</w:t>
            </w:r>
          </w:p>
        </w:tc>
        <w:tc>
          <w:tcPr>
            <w:tcW w:type="dxa" w:w="1872"/>
          </w:tcPr>
          <w:p>
            <w:r>
              <w:t>Obliquity (customer freedom, better world) + Targets</w:t>
            </w:r>
          </w:p>
        </w:tc>
        <w:tc>
          <w:tcPr>
            <w:tcW w:type="dxa" w:w="1872"/>
          </w:tcPr>
          <w:p>
            <w:r>
              <w:t>Goal Setting (cost, performance) + Vision</w:t>
            </w:r>
          </w:p>
        </w:tc>
      </w:tr>
      <w:tr>
        <w:tc>
          <w:tcPr>
            <w:tcW w:type="dxa" w:w="1872"/>
          </w:tcPr>
          <w:p>
            <w:r>
              <w:t>**Motivation**</w:t>
            </w:r>
          </w:p>
        </w:tc>
        <w:tc>
          <w:tcPr>
            <w:tcW w:type="dxa" w:w="1872"/>
          </w:tcPr>
          <w:p>
            <w:r>
              <w:t>Extrinsic (compensation, bonuses)</w:t>
            </w:r>
          </w:p>
        </w:tc>
        <w:tc>
          <w:tcPr>
            <w:tcW w:type="dxa" w:w="1872"/>
          </w:tcPr>
          <w:p>
            <w:r>
              <w:t>Balanced (purpose + compensation)</w:t>
            </w:r>
          </w:p>
        </w:tc>
        <w:tc>
          <w:tcPr>
            <w:tcW w:type="dxa" w:w="1872"/>
          </w:tcPr>
          <w:p>
            <w:r>
              <w:t>Intrinsic emphasis (innovation, purpose) + Extrinsic</w:t>
            </w:r>
          </w:p>
        </w:tc>
        <w:tc>
          <w:tcPr>
            <w:tcW w:type="dxa" w:w="1872"/>
          </w:tcPr>
          <w:p>
            <w:r>
              <w:t>Extrinsic (performance bonuses cut for underperformers)</w:t>
            </w:r>
          </w:p>
        </w:tc>
      </w:tr>
      <w:tr>
        <w:tc>
          <w:tcPr>
            <w:tcW w:type="dxa" w:w="1872"/>
          </w:tcPr>
          <w:p>
            <w:r>
              <w:t>**Coordination**</w:t>
            </w:r>
          </w:p>
        </w:tc>
        <w:tc>
          <w:tcPr>
            <w:tcW w:type="dxa" w:w="1872"/>
          </w:tcPr>
          <w:p>
            <w:r>
              <w:t>Bureaucracy (traditional OEM hierarchy)</w:t>
            </w:r>
          </w:p>
        </w:tc>
        <w:tc>
          <w:tcPr>
            <w:tcW w:type="dxa" w:w="1872"/>
          </w:tcPr>
          <w:p>
            <w:r>
              <w:t>Emerging (Ford+ signals change)</w:t>
            </w:r>
          </w:p>
        </w:tc>
        <w:tc>
          <w:tcPr>
            <w:tcW w:type="dxa" w:w="1872"/>
          </w:tcPr>
          <w:p>
            <w:r>
              <w:t>Emergence (business unit autonomy) + Coordination</w:t>
            </w:r>
          </w:p>
        </w:tc>
        <w:tc>
          <w:tcPr>
            <w:tcW w:type="dxa" w:w="1872"/>
          </w:tcPr>
          <w:p>
            <w:r>
              <w:t>Balanced (autonomy + accountability)</w:t>
            </w:r>
          </w:p>
        </w:tc>
      </w:tr>
      <w:tr>
        <w:tc>
          <w:tcPr>
            <w:tcW w:type="dxa" w:w="1872"/>
          </w:tcPr>
          <w:p>
            <w:r>
              <w:t>**Decision Making**</w:t>
            </w:r>
          </w:p>
        </w:tc>
        <w:tc>
          <w:tcPr>
            <w:tcW w:type="dxa" w:w="1872"/>
          </w:tcPr>
          <w:p>
            <w:r>
              <w:t>Hierarchy (top-down, CEO-driven)</w:t>
            </w:r>
          </w:p>
        </w:tc>
        <w:tc>
          <w:tcPr>
            <w:tcW w:type="dxa" w:w="1872"/>
          </w:tcPr>
          <w:p>
            <w:r>
              <w:t>Hierarchy with consultation</w:t>
            </w:r>
          </w:p>
        </w:tc>
        <w:tc>
          <w:tcPr>
            <w:tcW w:type="dxa" w:w="1872"/>
          </w:tcPr>
          <w:p>
            <w:r>
              <w:t>Collective Wisdom (unit leaders) + Executive oversight</w:t>
            </w:r>
          </w:p>
        </w:tc>
        <w:tc>
          <w:tcPr>
            <w:tcW w:type="dxa" w:w="1872"/>
          </w:tcPr>
          <w:p>
            <w:r>
              <w:t>Strategic centralization (Gjaja CSO, Lawler strategy)</w:t>
            </w:r>
          </w:p>
        </w:tc>
      </w:tr>
    </w:tbl>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 across the C-suite. Sherry House's appointment as CFO brings external investment banking experience that provides fresh financial perspective beyond traditional automotive finance. Marin Gjaja's creation as Chief Strategy Officer leverages 25 years at Boston Consulting Group to provide world-class strategy capability. John Lawler's elevation to Vice Chair-Strategy maintains long Ford tenure, providing institutional knowledge that balances external expertise with internal continuity. However, these rapid C-suite changes—six major roles in February 2025—create organizational uncertainty. Additionally, the 2023 UAW strike (46 days) indicates persistent labor-management tensions despite transformation rhetoric (The Detroit News, 2024), suggesting that leadership excellence at the executive level has not yet translated into employee-level buy-in for the transformation.</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w:t>
      </w:r>
    </w:p>
    <w:p>
      <w:pPr>
        <w:jc w:val="both"/>
      </w:pPr>
      <w:r>
        <w:rPr>
          <w:rFonts w:ascii="Calibri" w:hAnsi="Calibri"/>
          <w:b/>
          <w:sz w:val="22"/>
        </w:rPr>
        <w:t>Positive Indicators:</w:t>
      </w:r>
      <w:r>
        <w:rPr>
          <w:rFonts w:ascii="Calibri" w:hAnsi="Calibri"/>
          <w:sz w:val="22"/>
        </w:rPr>
        <w:t xml:space="preserve"> Attracting software developers to Model e; Bronco brand resurrection shows creative risk-taking; rapid EV strategy pivots demonstrate adaptability.</w:t>
      </w:r>
    </w:p>
    <w:p>
      <w:pPr>
        <w:jc w:val="both"/>
      </w:pPr>
      <w:r>
        <w:rPr>
          <w:rFonts w:ascii="Calibri" w:hAnsi="Calibri"/>
          <w:b/>
          <w:sz w:val="22"/>
        </w:rPr>
        <w:t>Negative Indicators:</w:t>
      </w:r>
      <w:r>
        <w:rPr>
          <w:rFonts w:ascii="Calibri" w:hAnsi="Calibri"/>
          <w:sz w:val="22"/>
        </w:rPr>
        <w:t xml:space="preserve"> 2023 UAW strike (46 days) indicates unresolved labor tensions; 2025 bonus cuts risk cultural backlash; workforce reduction from 186K (2020) to 171K (2024) includes involuntary turnover (Ford Motor Company, 2025).</w:t>
      </w:r>
    </w:p>
    <w:p>
      <w:pPr>
        <w:jc w:val="both"/>
      </w:pPr>
      <w:r>
        <w:rPr>
          <w:rFonts w:ascii="Calibri" w:hAnsi="Calibri"/>
          <w:sz w:val="22"/>
        </w:rPr>
        <w:t>Transforming 118-year automotive culture to tech culture requires generational time, not 3-4 years. Ford shows progress but faces significant resistance.</w:t>
      </w:r>
    </w:p>
    <w:p>
      <w:pPr>
        <w:jc w:val="both"/>
      </w:pPr>
      <w:r>
        <w:rPr>
          <w:rFonts w:ascii="Calibri" w:hAnsi="Calibri"/>
          <w:b/>
          <w:sz w:val="22"/>
        </w:rPr>
        <w:t>Score Rationale:</w:t>
      </w:r>
      <w:r>
        <w:rPr>
          <w:rFonts w:ascii="Calibri" w:hAnsi="Calibri"/>
          <w:sz w:val="22"/>
        </w:rPr>
        <w:t xml:space="preserve"> Movement in right direction, but UAW strike and bonus cuts indicate cultural transformation incomplete.</w:t>
      </w:r>
    </w:p>
    <w:p>
      <w:pPr>
        <w:pStyle w:val="Heading3"/>
      </w:pPr>
      <w:r>
        <w:rPr>
          <w:rFonts w:ascii="Calibri" w:hAnsi="Calibri"/>
          <w:color w:val="00509E"/>
        </w:rPr>
        <w:t>Pillar 5: Stakeholder Management (3/5)</w:t>
      </w:r>
    </w:p>
    <w:p>
      <w:pPr>
        <w:jc w:val="both"/>
      </w:pPr>
      <w:r>
        <w:rPr>
          <w:rFonts w:ascii="Calibri" w:hAnsi="Calibri"/>
          <w:sz w:val="22"/>
        </w:rPr>
        <w:t xml:space="preserve">Ford effectively communicates Ford+ plan through quarterly earnings, investor days, CEO town halls, and dealer councils. However, </w:t>
      </w:r>
      <w:r>
        <w:rPr>
          <w:rFonts w:ascii="Calibri" w:hAnsi="Calibri"/>
          <w:b/>
          <w:sz w:val="22"/>
        </w:rPr>
        <w:t>stakeholder buy-in</w:t>
      </w:r>
      <w:r>
        <w:rPr>
          <w:rFonts w:ascii="Calibri" w:hAnsi="Calibri"/>
          <w:sz w:val="22"/>
        </w:rPr>
        <w:t xml:space="preserve"> remains mixed:</w:t>
      </w:r>
    </w:p>
    <w:p>
      <w:pPr>
        <w:jc w:val="both"/>
      </w:pPr>
      <w:r>
        <w:rPr>
          <w:rFonts w:ascii="Calibri" w:hAnsi="Calibri"/>
          <w:sz w:val="22"/>
        </w:rPr>
        <w:t xml:space="preserve">- </w:t>
      </w:r>
      <w:r>
        <w:rPr>
          <w:rFonts w:ascii="Calibri" w:hAnsi="Calibri"/>
          <w:b/>
          <w:sz w:val="22"/>
        </w:rPr>
        <w:t>Shareholders</w:t>
      </w:r>
      <w:r>
        <w:rPr>
          <w:rFonts w:ascii="Calibri" w:hAnsi="Calibri"/>
          <w:sz w:val="22"/>
        </w:rPr>
        <w:t>: Stock decline suggests skepticism about Model e timeline</w:t>
      </w:r>
    </w:p>
    <w:p>
      <w:pPr>
        <w:jc w:val="both"/>
      </w:pPr>
      <w:r>
        <w:rPr>
          <w:rFonts w:ascii="Calibri" w:hAnsi="Calibri"/>
          <w:sz w:val="22"/>
        </w:rPr>
        <w:t xml:space="preserve">- </w:t>
      </w:r>
      <w:r>
        <w:rPr>
          <w:rFonts w:ascii="Calibri" w:hAnsi="Calibri"/>
          <w:b/>
          <w:sz w:val="22"/>
        </w:rPr>
        <w:t>Employees</w:t>
      </w:r>
      <w:r>
        <w:rPr>
          <w:rFonts w:ascii="Calibri" w:hAnsi="Calibri"/>
          <w:sz w:val="22"/>
        </w:rPr>
        <w:t>: Bonus cuts and workforce reduction undermine buy-in</w:t>
      </w:r>
    </w:p>
    <w:p>
      <w:pPr>
        <w:jc w:val="both"/>
      </w:pPr>
      <w:r>
        <w:rPr>
          <w:rFonts w:ascii="Calibri" w:hAnsi="Calibri"/>
          <w:sz w:val="22"/>
        </w:rPr>
        <w:t xml:space="preserve">- </w:t>
      </w:r>
      <w:r>
        <w:rPr>
          <w:rFonts w:ascii="Calibri" w:hAnsi="Calibri"/>
          <w:b/>
          <w:sz w:val="22"/>
        </w:rPr>
        <w:t>Dealers</w:t>
      </w:r>
      <w:r>
        <w:rPr>
          <w:rFonts w:ascii="Calibri" w:hAnsi="Calibri"/>
          <w:sz w:val="22"/>
        </w:rPr>
        <w:t>: EV direct-to-consumer exploration creates channel tension</w:t>
      </w:r>
    </w:p>
    <w:p>
      <w:pPr>
        <w:jc w:val="both"/>
      </w:pPr>
      <w:r>
        <w:rPr>
          <w:rFonts w:ascii="Calibri" w:hAnsi="Calibri"/>
          <w:sz w:val="22"/>
        </w:rPr>
        <w:t xml:space="preserve">- </w:t>
      </w:r>
      <w:r>
        <w:rPr>
          <w:rFonts w:ascii="Calibri" w:hAnsi="Calibri"/>
          <w:b/>
          <w:sz w:val="22"/>
        </w:rPr>
        <w:t>Suppliers</w:t>
      </w:r>
      <w:r>
        <w:rPr>
          <w:rFonts w:ascii="Calibri" w:hAnsi="Calibri"/>
          <w:sz w:val="22"/>
        </w:rPr>
        <w:t>: Strong relationships through battery partnerships</w:t>
      </w:r>
    </w:p>
    <w:p>
      <w:pPr>
        <w:jc w:val="both"/>
      </w:pPr>
      <w:r>
        <w:rPr>
          <w:rFonts w:ascii="Calibri" w:hAnsi="Calibri"/>
          <w:sz w:val="22"/>
        </w:rPr>
        <w:t xml:space="preserve">- </w:t>
      </w:r>
      <w:r>
        <w:rPr>
          <w:rFonts w:ascii="Calibri" w:hAnsi="Calibri"/>
          <w:b/>
          <w:sz w:val="22"/>
        </w:rPr>
        <w:t>UAW</w:t>
      </w:r>
      <w:r>
        <w:rPr>
          <w:rFonts w:ascii="Calibri" w:hAnsi="Calibri"/>
          <w:sz w:val="22"/>
        </w:rPr>
        <w:t>: 2023 strike indicates low buy-in on transition strategy</w:t>
      </w:r>
    </w:p>
    <w:p>
      <w:pPr>
        <w:jc w:val="both"/>
      </w:pPr>
      <w:r>
        <w:rPr>
          <w:rFonts w:ascii="Calibri" w:hAnsi="Calibri"/>
          <w:sz w:val="22"/>
        </w:rPr>
        <w:t xml:space="preserve">- </w:t>
      </w:r>
      <w:r>
        <w:rPr>
          <w:rFonts w:ascii="Calibri" w:hAnsi="Calibri"/>
          <w:b/>
          <w:sz w:val="22"/>
        </w:rPr>
        <w:t>Communities</w:t>
      </w:r>
      <w:r>
        <w:rPr>
          <w:rFonts w:ascii="Calibri" w:hAnsi="Calibri"/>
          <w:sz w:val="22"/>
        </w:rPr>
        <w:t>: Generally positive sustainability messaging</w:t>
      </w:r>
    </w:p>
    <w:p>
      <w:pPr>
        <w:jc w:val="both"/>
      </w:pPr>
      <w:r>
        <w:rPr>
          <w:rFonts w:ascii="Calibri" w:hAnsi="Calibri"/>
          <w:b/>
          <w:sz w:val="22"/>
        </w:rPr>
        <w:t>Score Rationale:</w:t>
      </w:r>
      <w:r>
        <w:rPr>
          <w:rFonts w:ascii="Calibri" w:hAnsi="Calibri"/>
          <w:sz w:val="22"/>
        </w:rPr>
        <w:t xml:space="preserve"> Communication adequate, but resistance (UAW strike, dealer concerns, stock decline) indicates incomplete stakeholder management.</w:t>
      </w:r>
    </w:p>
    <w:p>
      <w:pPr>
        <w:pStyle w:val="Heading3"/>
      </w:pPr>
      <w:r>
        <w:rPr>
          <w:rFonts w:ascii="Calibri" w:hAnsi="Calibri"/>
          <w:color w:val="00509E"/>
        </w:rPr>
        <w:t>Pillar 6: Employee Engagement (2/5) — **CRITICAL WEAKNESS**</w:t>
      </w:r>
    </w:p>
    <w:p>
      <w:pPr>
        <w:jc w:val="both"/>
      </w:pPr>
      <w:r>
        <w:rPr>
          <w:rFonts w:ascii="Calibri" w:hAnsi="Calibri"/>
          <w:b/>
          <w:sz w:val="22"/>
        </w:rPr>
        <w:t>Positive Factors:</w:t>
      </w:r>
      <w:r>
        <w:rPr>
          <w:rFonts w:ascii="Calibri" w:hAnsi="Calibri"/>
          <w:sz w:val="22"/>
        </w:rPr>
        <w:t xml:space="preserve"> Purpose-driven mission, Model e innovation work, iconic brand pride (F-150, Mustang).</w:t>
      </w:r>
    </w:p>
    <w:p>
      <w:pPr>
        <w:jc w:val="both"/>
      </w:pPr>
      <w:r>
        <w:rPr>
          <w:rFonts w:ascii="Calibri" w:hAnsi="Calibri"/>
          <w:b/>
          <w:sz w:val="22"/>
        </w:rPr>
        <w:t>Negative Factors:</w:t>
      </w:r>
      <w:r>
        <w:rPr>
          <w:rFonts w:ascii="Calibri" w:hAnsi="Calibri"/>
          <w:sz w:val="22"/>
        </w:rPr>
        <w:t xml:space="preserve"> Job insecurity (15,000 jobs lost), 2025 bonus cuts (~50% of middle managers), restructuring fatigue (2020, 2022, 2025 changes), union tensions from 2023 strike (Ford Motor Company, 2025; Ford Authority, 2025).</w:t>
      </w:r>
    </w:p>
    <w:p>
      <w:pPr>
        <w:jc w:val="both"/>
      </w:pPr>
      <w:r>
        <w:rPr>
          <w:rFonts w:ascii="Calibri" w:hAnsi="Calibri"/>
          <w:sz w:val="22"/>
        </w:rPr>
        <w:t>While Ford maintains 10 Employee Resource Groups, health and safety focus, and leadership development programs, the $1B cost savings directly contradicts engagement investment. Constant restructuring exhausts the workforce.</w:t>
      </w:r>
    </w:p>
    <w:p>
      <w:pPr>
        <w:jc w:val="both"/>
      </w:pPr>
      <w:r>
        <w:rPr>
          <w:rFonts w:ascii="Calibri" w:hAnsi="Calibri"/>
          <w:sz w:val="22"/>
        </w:rPr>
        <w:t>Eikenberry's (2021) guidance: "You must work harder to support and inspire your team, rather than just telling them what to do." Ford's 2025 actions (bonus cuts, restructuring) appear more "telling" than "inspiring."</w:t>
      </w:r>
    </w:p>
    <w:p>
      <w:pPr>
        <w:jc w:val="both"/>
      </w:pPr>
      <w:r>
        <w:rPr>
          <w:rFonts w:ascii="Calibri" w:hAnsi="Calibri"/>
          <w:b/>
          <w:sz w:val="22"/>
        </w:rPr>
        <w:t>Score Rationale:</w:t>
      </w:r>
      <w:r>
        <w:rPr>
          <w:rFonts w:ascii="Calibri" w:hAnsi="Calibri"/>
          <w:sz w:val="22"/>
        </w:rPr>
        <w:t xml:space="preserve"> Engagement declining due to cost-cutting and restructuring. This represents the highest-risk area for Ford+ implementation success.</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&amp; STRATEGIC RISKS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w:t>
      </w:r>
    </w:p>
    <w:p>
      <w:pPr>
        <w:jc w:val="both"/>
      </w:pPr>
      <w:r>
        <w:rPr>
          <w:rFonts w:ascii="Calibri" w:hAnsi="Calibri"/>
          <w:b/>
          <w:sz w:val="22"/>
        </w:rPr>
        <w:t>Strategic Dilemma:</w:t>
      </w:r>
      <w:r>
        <w:rPr>
          <w:rFonts w:ascii="Calibri" w:hAnsi="Calibri"/>
          <w:sz w:val="22"/>
        </w:rPr>
        <w:t xml:space="preserve"> Continue funding losses or pivot strategy? Continuing risks exhausting shareholder patience and capital; pivoting risks falling behind in critical technology transition.</w:t>
      </w:r>
    </w:p>
    <w:p>
      <w:pPr>
        <w:jc w:val="both"/>
      </w:pPr>
      <w:r>
        <w:rPr>
          <w:rFonts w:ascii="Calibri" w:hAnsi="Calibri"/>
          <w:b/>
          <w:sz w:val="22"/>
        </w:rPr>
        <w:t>Management Model Implication:</w:t>
      </w:r>
      <w:r>
        <w:rPr>
          <w:rFonts w:ascii="Calibri" w:hAnsi="Calibri"/>
          <w:sz w:val="22"/>
        </w:rPr>
        <w:t xml:space="preserve"> Emergent strategy (Model e autonomy) allowed losses to widen without sufficient oversight. The 2025 strategic centralization (Gjaja CSO) may impose needed discipline.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management model tension (Ford Authority, 2025). Root causes include profitability pressure from investors, EV investment cash drain, and competitive pricing pressure.</w:t>
      </w:r>
    </w:p>
    <w:p>
      <w:pPr>
        <w:jc w:val="both"/>
      </w:pPr>
      <w:r>
        <w:rPr>
          <w:rFonts w:ascii="Calibri" w:hAnsi="Calibri"/>
          <w:b/>
          <w:sz w:val="22"/>
        </w:rPr>
        <w:t>Strategic Risk:</w:t>
      </w:r>
      <w:r>
        <w:rPr>
          <w:rFonts w:ascii="Calibri" w:hAnsi="Calibri"/>
          <w:sz w:val="22"/>
        </w:rPr>
        <w:t xml:space="preserve"> Cost-cutting damages culture, innovation, and employee engagement—precisely the organizational capabilities needed for transformation.</w:t>
      </w:r>
    </w:p>
    <w:p>
      <w:pPr>
        <w:jc w:val="both"/>
      </w:pPr>
      <w:r>
        <w:rPr>
          <w:rFonts w:ascii="Calibri" w:hAnsi="Calibri"/>
          <w:b/>
          <w:sz w:val="22"/>
        </w:rPr>
        <w:t>Management Model Implication:</w:t>
      </w:r>
      <w:r>
        <w:rPr>
          <w:rFonts w:ascii="Calibri" w:hAnsi="Calibri"/>
          <w:sz w:val="22"/>
        </w:rPr>
        <w:t xml:space="preserve"> The shift from intrinsic motivation (purpose, innovation) to extrinsic pressure (performance, cost discipline) risks destroying cultural progress made 2021-2024. Eikenberry's (2021) distinction applies: "Compliance is 'I have to,' commitment is 'I want to.'" Cost cuts drive compliance, not the commitment needed for transformation.</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jc w:val="both"/>
      </w:pPr>
      <w:r>
        <w:rPr>
          <w:rFonts w:ascii="Calibri" w:hAnsi="Calibri"/>
          <w:sz w:val="22"/>
        </w:rPr>
        <w:t>---</w:t>
      </w:r>
    </w:p>
    <w:p>
      <w:pPr>
        <w:pStyle w:val="Heading1"/>
      </w:pPr>
      <w:r>
        <w:rPr>
          <w:rFonts w:ascii="Calibri" w:hAnsi="Calibri"/>
          <w:color w:val="00005B"/>
        </w:rPr>
        <w:t>V. STRATEGIC RECOMMENDATIONS</w:t>
      </w:r>
    </w:p>
    <w:p>
      <w:pPr>
        <w:pStyle w:val="Heading2"/>
      </w:pPr>
      <w:r>
        <w:rPr>
          <w:rFonts w:ascii="Calibri" w:hAnsi="Calibri"/>
          <w:color w:val="003478"/>
        </w:rPr>
        <w:t>Recommendation 1: Refine Management Model for Sustainable Balance</w:t>
      </w:r>
    </w:p>
    <w:p>
      <w:pPr>
        <w:jc w:val="both"/>
      </w:pPr>
      <w:r>
        <w:rPr>
          <w:rFonts w:ascii="Calibri" w:hAnsi="Calibri"/>
          <w:b/>
          <w:sz w:val="22"/>
        </w:rPr>
        <w:t>Issue:</w:t>
      </w:r>
      <w:r>
        <w:rPr>
          <w:rFonts w:ascii="Calibri" w:hAnsi="Calibri"/>
          <w:sz w:val="22"/>
        </w:rPr>
        <w:t xml:space="preserve"> Management model pendulum swinging excessively (2022 emergence → 2025 centralization).</w:t>
      </w:r>
    </w:p>
    <w:p>
      <w:pPr>
        <w:jc w:val="both"/>
      </w:pPr>
      <w:r>
        <w:rPr>
          <w:rFonts w:ascii="Calibri" w:hAnsi="Calibri"/>
          <w:b/>
          <w:sz w:val="22"/>
        </w:rPr>
        <w:t>Recommendation:</w:t>
      </w:r>
      <w:r>
        <w:rPr>
          <w:rFonts w:ascii="Calibri" w:hAnsi="Calibri"/>
          <w:sz w:val="22"/>
        </w:rPr>
        <w:t xml:space="preserve"> Stabilize on balanced hybrid model combining best elements of both poles.</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Objectives</w:t>
      </w:r>
      <w:r>
        <w:rPr>
          <w:rFonts w:ascii="Calibri" w:hAnsi="Calibri"/>
          <w:sz w:val="22"/>
        </w:rPr>
        <w:t>: Maintain oblique vision ("better world") while setting realistic unit targets (Model e breakeven by 2027)</w:t>
      </w:r>
    </w:p>
    <w:p>
      <w:pPr>
        <w:jc w:val="both"/>
      </w:pPr>
      <w:r>
        <w:rPr>
          <w:rFonts w:ascii="Calibri" w:hAnsi="Calibri"/>
          <w:sz w:val="22"/>
        </w:rPr>
        <w:t xml:space="preserve">2. </w:t>
      </w:r>
      <w:r>
        <w:rPr>
          <w:rFonts w:ascii="Calibri" w:hAnsi="Calibri"/>
          <w:b/>
          <w:sz w:val="22"/>
        </w:rPr>
        <w:t>Motivation</w:t>
      </w:r>
      <w:r>
        <w:rPr>
          <w:rFonts w:ascii="Calibri" w:hAnsi="Calibri"/>
          <w:sz w:val="22"/>
        </w:rPr>
        <w:t>: Restore intrinsic/extrinsic balance by reversing 2025 bonus cuts for top performers and implementing innovation rewards separate from financial bonuses</w:t>
      </w:r>
    </w:p>
    <w:p>
      <w:pPr>
        <w:jc w:val="both"/>
      </w:pPr>
      <w:r>
        <w:rPr>
          <w:rFonts w:ascii="Calibri" w:hAnsi="Calibri"/>
          <w:sz w:val="22"/>
        </w:rPr>
        <w:t xml:space="preserve">3. </w:t>
      </w:r>
      <w:r>
        <w:rPr>
          <w:rFonts w:ascii="Calibri" w:hAnsi="Calibri"/>
          <w:b/>
          <w:sz w:val="22"/>
        </w:rPr>
        <w:t>Coordination</w:t>
      </w:r>
      <w:r>
        <w:rPr>
          <w:rFonts w:ascii="Calibri" w:hAnsi="Calibri"/>
          <w:sz w:val="22"/>
        </w:rPr>
        <w:t>: Preserve business unit autonomy with strategic guardrails—Gjaja coordinates strategy but doesn't dictate tactics</w:t>
      </w:r>
    </w:p>
    <w:p>
      <w:pPr>
        <w:jc w:val="both"/>
      </w:pPr>
      <w:r>
        <w:rPr>
          <w:rFonts w:ascii="Calibri" w:hAnsi="Calibri"/>
          <w:sz w:val="22"/>
        </w:rPr>
        <w:t xml:space="preserve">4. </w:t>
      </w:r>
      <w:r>
        <w:rPr>
          <w:rFonts w:ascii="Calibri" w:hAnsi="Calibri"/>
          <w:b/>
          <w:sz w:val="22"/>
        </w:rPr>
        <w:t>Decision-Making</w:t>
      </w:r>
      <w:r>
        <w:rPr>
          <w:rFonts w:ascii="Calibri" w:hAnsi="Calibri"/>
          <w:sz w:val="22"/>
        </w:rPr>
        <w:t>: Clarify decision authority matrix (unit presidents: operations/pricing; CEO + CSO: capital allocation/brand strategy)</w:t>
      </w:r>
    </w:p>
    <w:p>
      <w:pPr>
        <w:jc w:val="both"/>
      </w:pPr>
      <w:r>
        <w:rPr>
          <w:rFonts w:ascii="Calibri" w:hAnsi="Calibri"/>
          <w:b/>
          <w:sz w:val="22"/>
        </w:rPr>
        <w:t>Expected Outcome:</w:t>
      </w:r>
      <w:r>
        <w:rPr>
          <w:rFonts w:ascii="Calibri" w:hAnsi="Calibri"/>
          <w:sz w:val="22"/>
        </w:rPr>
        <w:t xml:space="preserve"> Organizational stability, improved employee engagement (2/5 → 4/5), maintained innovation with added strategic coherence.</w:t>
      </w:r>
    </w:p>
    <w:p>
      <w:pPr>
        <w:jc w:val="both"/>
      </w:pPr>
      <w:r>
        <w:rPr>
          <w:rFonts w:ascii="Calibri" w:hAnsi="Calibri"/>
          <w:b/>
          <w:sz w:val="22"/>
        </w:rPr>
        <w:t>Theoretical Grounding:</w:t>
      </w:r>
      <w:r>
        <w:rPr>
          <w:rFonts w:ascii="Calibri" w:hAnsi="Calibri"/>
          <w:sz w:val="22"/>
        </w:rPr>
        <w:t xml:space="preserve"> Birkinshaw and Goddard (2009) note: "There is no one best management model." Effective organizations consciously choose positions on each dimension based on competitive context. Ford's challenge is finding sustainable balance rather than oscillating between extremes.</w:t>
      </w:r>
    </w:p>
    <w:p>
      <w:pPr>
        <w:pStyle w:val="Heading2"/>
      </w:pPr>
      <w:r>
        <w:rPr>
          <w:rFonts w:ascii="Calibri" w:hAnsi="Calibri"/>
          <w:color w:val="003478"/>
        </w:rPr>
        <w:t>Recommendation 2: Accelerate Model e Profitability Through Three-Horizon Strategy</w:t>
      </w:r>
    </w:p>
    <w:p>
      <w:pPr>
        <w:jc w:val="both"/>
      </w:pPr>
      <w:r>
        <w:rPr>
          <w:rFonts w:ascii="Calibri" w:hAnsi="Calibri"/>
          <w:b/>
          <w:sz w:val="22"/>
        </w:rPr>
        <w:t>Issue:</w:t>
      </w:r>
      <w:r>
        <w:rPr>
          <w:rFonts w:ascii="Calibri" w:hAnsi="Calibri"/>
          <w:sz w:val="22"/>
        </w:rPr>
        <w:t xml:space="preserve"> Model e -$5.4B loss unsustainable; EV transition strategically critical.</w:t>
      </w:r>
    </w:p>
    <w:p>
      <w:pPr>
        <w:jc w:val="both"/>
      </w:pPr>
      <w:r>
        <w:rPr>
          <w:rFonts w:ascii="Calibri" w:hAnsi="Calibri"/>
          <w:b/>
          <w:sz w:val="22"/>
        </w:rPr>
        <w:t>Recommendation:</w:t>
      </w:r>
      <w:r>
        <w:rPr>
          <w:rFonts w:ascii="Calibri" w:hAnsi="Calibri"/>
          <w:sz w:val="22"/>
        </w:rPr>
        <w:t xml:space="preserve"> Implement three-horizon approach balancing short-term cost reduction, medium-term product focus, and long-term revenue diversification.</w:t>
      </w:r>
    </w:p>
    <w:p>
      <w:pPr>
        <w:jc w:val="both"/>
      </w:pPr>
      <w:r>
        <w:rPr>
          <w:rFonts w:ascii="Calibri" w:hAnsi="Calibri"/>
          <w:b/>
          <w:sz w:val="22"/>
        </w:rPr>
        <w:t>Horizon 1 (2025-2026): Cost Reduction</w:t>
      </w:r>
    </w:p>
    <w:p>
      <w:pPr>
        <w:jc w:val="both"/>
      </w:pPr>
      <w:r>
        <w:rPr>
          <w:rFonts w:ascii="Calibri" w:hAnsi="Calibri"/>
          <w:sz w:val="22"/>
        </w:rPr>
        <w:t>- Reduce per-unit loss from $45,000 to $25,000 through battery cost reduction (scale, in-house production), manufacturing efficiency (learning curve acceleration), and platform sharing with Blue</w:t>
      </w:r>
    </w:p>
    <w:p>
      <w:pPr>
        <w:jc w:val="both"/>
      </w:pPr>
      <w:r>
        <w:rPr>
          <w:rFonts w:ascii="Calibri" w:hAnsi="Calibri"/>
          <w:sz w:val="22"/>
        </w:rPr>
        <w:t>- Target: -$3B losses (2025), -$1.5B (2026)</w:t>
      </w:r>
    </w:p>
    <w:p>
      <w:pPr>
        <w:jc w:val="both"/>
      </w:pPr>
      <w:r>
        <w:rPr>
          <w:rFonts w:ascii="Calibri" w:hAnsi="Calibri"/>
          <w:b/>
          <w:sz w:val="22"/>
        </w:rPr>
        <w:t>Horizon 2 (2026-2027): Selective Product Focus</w:t>
      </w:r>
    </w:p>
    <w:p>
      <w:pPr>
        <w:jc w:val="both"/>
      </w:pPr>
      <w:r>
        <w:rPr>
          <w:rFonts w:ascii="Calibri" w:hAnsi="Calibri"/>
          <w:sz w:val="22"/>
        </w:rPr>
        <w:t xml:space="preserve">- </w:t>
      </w:r>
      <w:r>
        <w:rPr>
          <w:rFonts w:ascii="Calibri" w:hAnsi="Calibri"/>
          <w:b/>
          <w:sz w:val="22"/>
        </w:rPr>
        <w:t>Prioritize</w:t>
      </w:r>
      <w:r>
        <w:rPr>
          <w:rFonts w:ascii="Calibri" w:hAnsi="Calibri"/>
          <w:sz w:val="22"/>
        </w:rPr>
        <w:t>: F-150 Lightning (truck market strength), commercial EVs (Pro synergy)</w:t>
      </w:r>
    </w:p>
    <w:p>
      <w:pPr>
        <w:jc w:val="both"/>
      </w:pPr>
      <w:r>
        <w:rPr>
          <w:rFonts w:ascii="Calibri" w:hAnsi="Calibri"/>
          <w:sz w:val="22"/>
        </w:rPr>
        <w:t xml:space="preserve">- </w:t>
      </w:r>
      <w:r>
        <w:rPr>
          <w:rFonts w:ascii="Calibri" w:hAnsi="Calibri"/>
          <w:b/>
          <w:sz w:val="22"/>
        </w:rPr>
        <w:t>Deprioritize</w:t>
      </w:r>
      <w:r>
        <w:rPr>
          <w:rFonts w:ascii="Calibri" w:hAnsi="Calibri"/>
          <w:sz w:val="22"/>
        </w:rPr>
        <w:t>: EV sedans (weak market, Tesla dominance)</w:t>
      </w:r>
    </w:p>
    <w:p>
      <w:pPr>
        <w:jc w:val="both"/>
      </w:pPr>
      <w:r>
        <w:rPr>
          <w:rFonts w:ascii="Calibri" w:hAnsi="Calibri"/>
          <w:sz w:val="22"/>
        </w:rPr>
        <w:t xml:space="preserve">- </w:t>
      </w:r>
      <w:r>
        <w:rPr>
          <w:rFonts w:ascii="Calibri" w:hAnsi="Calibri"/>
          <w:b/>
          <w:sz w:val="22"/>
        </w:rPr>
        <w:t>Launch</w:t>
      </w:r>
      <w:r>
        <w:rPr>
          <w:rFonts w:ascii="Calibri" w:hAnsi="Calibri"/>
          <w:sz w:val="22"/>
        </w:rPr>
        <w:t>: Affordable EV ($30-35K) using lower-cost battery technology</w:t>
      </w:r>
    </w:p>
    <w:p>
      <w:pPr>
        <w:jc w:val="both"/>
      </w:pPr>
      <w:r>
        <w:rPr>
          <w:rFonts w:ascii="Calibri" w:hAnsi="Calibri"/>
          <w:sz w:val="22"/>
        </w:rPr>
        <w:t>- Target: Breakeven by end of 2027</w:t>
      </w:r>
    </w:p>
    <w:p>
      <w:pPr>
        <w:jc w:val="both"/>
      </w:pPr>
      <w:r>
        <w:rPr>
          <w:rFonts w:ascii="Calibri" w:hAnsi="Calibri"/>
          <w:b/>
          <w:sz w:val="22"/>
        </w:rPr>
        <w:t>Horizon 3 (2027-2030): Software/Services Revenue</w:t>
      </w:r>
    </w:p>
    <w:p>
      <w:pPr>
        <w:jc w:val="both"/>
      </w:pPr>
      <w:r>
        <w:rPr>
          <w:rFonts w:ascii="Calibri" w:hAnsi="Calibri"/>
          <w:sz w:val="22"/>
        </w:rPr>
        <w:t>- Develop subscription services (BlueCruise autonomous features, over-the-air capability updates)</w:t>
      </w:r>
    </w:p>
    <w:p>
      <w:pPr>
        <w:jc w:val="both"/>
      </w:pPr>
      <w:r>
        <w:rPr>
          <w:rFonts w:ascii="Calibri" w:hAnsi="Calibri"/>
          <w:sz w:val="22"/>
        </w:rPr>
        <w:t>- Fleet charging solutions integrated with Ford Pro</w:t>
      </w:r>
    </w:p>
    <w:p>
      <w:pPr>
        <w:jc w:val="both"/>
      </w:pPr>
      <w:r>
        <w:rPr>
          <w:rFonts w:ascii="Calibri" w:hAnsi="Calibri"/>
          <w:sz w:val="22"/>
        </w:rPr>
        <w:t>- Battery recycling business (circular economy)</w:t>
      </w:r>
    </w:p>
    <w:p>
      <w:pPr>
        <w:jc w:val="both"/>
      </w:pPr>
      <w:r>
        <w:rPr>
          <w:rFonts w:ascii="Calibri" w:hAnsi="Calibri"/>
          <w:sz w:val="22"/>
        </w:rPr>
        <w:t>- Target: 10-15% of Model e revenue from high-margin services</w:t>
      </w:r>
    </w:p>
    <w:p>
      <w:pPr>
        <w:jc w:val="both"/>
      </w:pPr>
      <w:r>
        <w:rPr>
          <w:rFonts w:ascii="Calibri" w:hAnsi="Calibri"/>
          <w:b/>
          <w:sz w:val="22"/>
        </w:rPr>
        <w:t>Expected Outcome:</w:t>
      </w:r>
      <w:r>
        <w:rPr>
          <w:rFonts w:ascii="Calibri" w:hAnsi="Calibri"/>
          <w:sz w:val="22"/>
        </w:rPr>
        <w:t xml:space="preserve"> Clear path to profitability restores shareholder confidence while maintaining EV transition momentum. Operations strategy principles—economies of scale (higher volume lowers per-unit costs) and learning curve (experience reduces manufacturing time)—support feasibility.</w:t>
      </w:r>
    </w:p>
    <w:p>
      <w:pPr>
        <w:pStyle w:val="Heading2"/>
      </w:pPr>
      <w:r>
        <w:rPr>
          <w:rFonts w:ascii="Calibri" w:hAnsi="Calibri"/>
          <w:color w:val="003478"/>
        </w:rPr>
        <w:t>Recommendation 3: Rebuild Employee Engagement Through Stakeholder Capitalism</w:t>
      </w:r>
    </w:p>
    <w:p>
      <w:pPr>
        <w:jc w:val="both"/>
      </w:pPr>
      <w:r>
        <w:rPr>
          <w:rFonts w:ascii="Calibri" w:hAnsi="Calibri"/>
          <w:b/>
          <w:sz w:val="22"/>
        </w:rPr>
        <w:t>Issue:</w:t>
      </w:r>
      <w:r>
        <w:rPr>
          <w:rFonts w:ascii="Calibri" w:hAnsi="Calibri"/>
          <w:sz w:val="22"/>
        </w:rPr>
        <w:t xml:space="preserve"> Employee engagement declining (2/5) due to restructuring and cost-cutting.</w:t>
      </w:r>
    </w:p>
    <w:p>
      <w:pPr>
        <w:jc w:val="both"/>
      </w:pPr>
      <w:r>
        <w:rPr>
          <w:rFonts w:ascii="Calibri" w:hAnsi="Calibri"/>
          <w:b/>
          <w:sz w:val="22"/>
        </w:rPr>
        <w:t>Recommendation:</w:t>
      </w:r>
      <w:r>
        <w:rPr>
          <w:rFonts w:ascii="Calibri" w:hAnsi="Calibri"/>
          <w:sz w:val="22"/>
        </w:rPr>
        <w:t xml:space="preserve"> Apply stakeholder capitalism principles emphasizing employee value alongside shareholder value.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Transparent Communication</w:t>
      </w:r>
      <w:r>
        <w:rPr>
          <w:rFonts w:ascii="Calibri" w:hAnsi="Calibri"/>
          <w:sz w:val="22"/>
        </w:rPr>
        <w:t>: Monthly CEO town halls explaining Ford+ progress and challenges; unit-level forums for employee voice; clear job security communication and EV transition workforce plans</w:t>
      </w:r>
    </w:p>
    <w:p>
      <w:pPr>
        <w:jc w:val="both"/>
      </w:pPr>
      <w:r>
        <w:rPr>
          <w:rFonts w:ascii="Calibri" w:hAnsi="Calibri"/>
          <w:sz w:val="22"/>
        </w:rPr>
        <w:t xml:space="preserve">2. </w:t>
      </w:r>
      <w:r>
        <w:rPr>
          <w:rFonts w:ascii="Calibri" w:hAnsi="Calibri"/>
          <w:b/>
          <w:sz w:val="22"/>
        </w:rPr>
        <w:t>Reskilling Investment</w:t>
      </w:r>
      <w:r>
        <w:rPr>
          <w:rFonts w:ascii="Calibri" w:hAnsi="Calibri"/>
          <w:sz w:val="22"/>
        </w:rPr>
        <w:t>: $500M EV workforce training program with guarantee that ICE workers can transition to EV jobs with training; UAW partnership on curriculum development</w:t>
      </w:r>
    </w:p>
    <w:p>
      <w:pPr>
        <w:jc w:val="both"/>
      </w:pPr>
      <w:r>
        <w:rPr>
          <w:rFonts w:ascii="Calibri" w:hAnsi="Calibri"/>
          <w:sz w:val="22"/>
        </w:rPr>
        <w:t xml:space="preserve">3. </w:t>
      </w:r>
      <w:r>
        <w:rPr>
          <w:rFonts w:ascii="Calibri" w:hAnsi="Calibri"/>
          <w:b/>
          <w:sz w:val="22"/>
        </w:rPr>
        <w:t>Shared Success</w:t>
      </w:r>
      <w:r>
        <w:rPr>
          <w:rFonts w:ascii="Calibri" w:hAnsi="Calibri"/>
          <w:sz w:val="22"/>
        </w:rPr>
        <w:t>: Restore bonuses for middle managers (performance-based); implement profit-sharing if company exceeds EBIT targets; unit-level team achievement bonuses</w:t>
      </w:r>
    </w:p>
    <w:p>
      <w:pPr>
        <w:jc w:val="both"/>
      </w:pPr>
      <w:r>
        <w:rPr>
          <w:rFonts w:ascii="Calibri" w:hAnsi="Calibri"/>
          <w:sz w:val="22"/>
        </w:rPr>
        <w:t xml:space="preserve">4. </w:t>
      </w:r>
      <w:r>
        <w:rPr>
          <w:rFonts w:ascii="Calibri" w:hAnsi="Calibri"/>
          <w:b/>
          <w:sz w:val="22"/>
        </w:rPr>
        <w:t>Work-Life Balance</w:t>
      </w:r>
      <w:r>
        <w:rPr>
          <w:rFonts w:ascii="Calibri" w:hAnsi="Calibri"/>
          <w:sz w:val="22"/>
        </w:rPr>
        <w:t>: Flexible work arrangements where possible; mental health support programs; recognition beyond compensation</w:t>
      </w:r>
    </w:p>
    <w:p>
      <w:pPr>
        <w:jc w:val="both"/>
      </w:pPr>
      <w:r>
        <w:rPr>
          <w:rFonts w:ascii="Calibri" w:hAnsi="Calibri"/>
          <w:b/>
          <w:sz w:val="22"/>
        </w:rPr>
        <w:t>Expected Outcome:</w:t>
      </w:r>
      <w:r>
        <w:rPr>
          <w:rFonts w:ascii="Calibri" w:hAnsi="Calibri"/>
          <w:sz w:val="22"/>
        </w:rPr>
        <w:t xml:space="preserve"> Employee engagement improves to (4/5), reducing turnover, improving innovation, and supporting cultural transformation.</w:t>
      </w:r>
    </w:p>
    <w:p>
      <w:pPr>
        <w:jc w:val="both"/>
      </w:pPr>
      <w:r>
        <w:rPr>
          <w:rFonts w:ascii="Calibri" w:hAnsi="Calibri"/>
          <w:b/>
          <w:sz w:val="22"/>
        </w:rPr>
        <w:t>Theoretical Grounding:</w:t>
      </w:r>
      <w:r>
        <w:rPr>
          <w:rFonts w:ascii="Calibri" w:hAnsi="Calibri"/>
          <w:sz w:val="22"/>
        </w:rPr>
        <w:t xml:space="preserve"> Eikenberry (2021) emphasizes: "You must work harder to support and inspire your team, rather than just telling them what to do." Rebuilding engagement requires genuine investment, not rhetorical commitment.</w:t>
      </w:r>
    </w:p>
    <w:p>
      <w:pPr>
        <w:pStyle w:val="Heading2"/>
      </w:pPr>
      <w:r>
        <w:rPr>
          <w:rFonts w:ascii="Calibri" w:hAnsi="Calibri"/>
          <w:color w:val="003478"/>
        </w:rPr>
        <w:t>Recommendation 4: Leverage Ford Pro Success for Competitive Differentiation</w:t>
      </w:r>
    </w:p>
    <w:p>
      <w:pPr>
        <w:jc w:val="both"/>
      </w:pPr>
      <w:r>
        <w:rPr>
          <w:rFonts w:ascii="Calibri" w:hAnsi="Calibri"/>
          <w:b/>
          <w:sz w:val="22"/>
        </w:rPr>
        <w:t>Issue:</w:t>
      </w:r>
      <w:r>
        <w:rPr>
          <w:rFonts w:ascii="Calibri" w:hAnsi="Calibri"/>
          <w:sz w:val="22"/>
        </w:rPr>
        <w:t xml:space="preserve"> Ford Pro is star performer ($9B EBIT) but underleverage for competitive advantage.</w:t>
      </w:r>
    </w:p>
    <w:p>
      <w:pPr>
        <w:jc w:val="both"/>
      </w:pPr>
      <w:r>
        <w:rPr>
          <w:rFonts w:ascii="Calibri" w:hAnsi="Calibri"/>
          <w:b/>
          <w:sz w:val="22"/>
        </w:rPr>
        <w:t>Recommendation:</w:t>
      </w:r>
      <w:r>
        <w:rPr>
          <w:rFonts w:ascii="Calibri" w:hAnsi="Calibri"/>
          <w:sz w:val="22"/>
        </w:rPr>
        <w:t xml:space="preserve"> Make Ford Pro the strategic differentiator by extending its model enterprise-wide.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Expand Pro Model to Blue</w:t>
      </w:r>
      <w:r>
        <w:rPr>
          <w:rFonts w:ascii="Calibri" w:hAnsi="Calibri"/>
          <w:sz w:val="22"/>
        </w:rPr>
        <w:t>: Apply software/services approach to consumer vehicles; develop subscription telematics for F-150 retail customers (fleet management for individuals)</w:t>
      </w:r>
    </w:p>
    <w:p>
      <w:pPr>
        <w:jc w:val="both"/>
      </w:pPr>
      <w:r>
        <w:rPr>
          <w:rFonts w:ascii="Calibri" w:hAnsi="Calibri"/>
          <w:sz w:val="22"/>
        </w:rPr>
        <w:t xml:space="preserve">2. </w:t>
      </w:r>
      <w:r>
        <w:rPr>
          <w:rFonts w:ascii="Calibri" w:hAnsi="Calibri"/>
          <w:b/>
          <w:sz w:val="22"/>
        </w:rPr>
        <w:t>Integrated EV Solutions</w:t>
      </w:r>
      <w:r>
        <w:rPr>
          <w:rFonts w:ascii="Calibri" w:hAnsi="Calibri"/>
          <w:sz w:val="22"/>
        </w:rPr>
        <w:t>: Bundle Model e commercial EVs with Pro fleet software; offer charging infrastructure as service; provide total cost of ownership calculators showing EV savings</w:t>
      </w:r>
    </w:p>
    <w:p>
      <w:pPr>
        <w:jc w:val="both"/>
      </w:pPr>
      <w:r>
        <w:rPr>
          <w:rFonts w:ascii="Calibri" w:hAnsi="Calibri"/>
          <w:sz w:val="22"/>
        </w:rPr>
        <w:t xml:space="preserve">3. </w:t>
      </w:r>
      <w:r>
        <w:rPr>
          <w:rFonts w:ascii="Calibri" w:hAnsi="Calibri"/>
          <w:b/>
          <w:sz w:val="22"/>
        </w:rPr>
        <w:t>B2B2C Strategy</w:t>
      </w:r>
      <w:r>
        <w:rPr>
          <w:rFonts w:ascii="Calibri" w:hAnsi="Calibri"/>
          <w:sz w:val="22"/>
        </w:rPr>
        <w:t>: Use Pro commercial relationships to reach consumer customers; fleet drivers become brand ambassadors; employee purchase programs through commercial customers</w:t>
      </w:r>
    </w:p>
    <w:p>
      <w:pPr>
        <w:jc w:val="both"/>
      </w:pPr>
      <w:r>
        <w:rPr>
          <w:rFonts w:ascii="Calibri" w:hAnsi="Calibri"/>
          <w:sz w:val="22"/>
        </w:rPr>
        <w:t xml:space="preserve">4. </w:t>
      </w:r>
      <w:r>
        <w:rPr>
          <w:rFonts w:ascii="Calibri" w:hAnsi="Calibri"/>
          <w:b/>
          <w:sz w:val="22"/>
        </w:rPr>
        <w:t>Data Monetization</w:t>
      </w:r>
      <w:r>
        <w:rPr>
          <w:rFonts w:ascii="Calibri" w:hAnsi="Calibri"/>
          <w:sz w:val="22"/>
        </w:rPr>
        <w:t>: Aggregate anonymized fleet data for urban planning insights; sell predictive maintenance data to parts suppliers; offer benchmarking services to fleet managers</w:t>
      </w:r>
    </w:p>
    <w:p>
      <w:pPr>
        <w:jc w:val="both"/>
      </w:pPr>
      <w:r>
        <w:rPr>
          <w:rFonts w:ascii="Calibri" w:hAnsi="Calibri"/>
          <w:b/>
          <w:sz w:val="22"/>
        </w:rPr>
        <w:t>Expected Outcome:</w:t>
      </w:r>
      <w:r>
        <w:rPr>
          <w:rFonts w:ascii="Calibri" w:hAnsi="Calibri"/>
          <w:sz w:val="22"/>
        </w:rPr>
        <w:t xml:space="preserve"> Ford Pro differentiates Ford from all competitors—none have equivalent commercial/software integration—creating sustainable competitive "moat."</w:t>
      </w:r>
    </w:p>
    <w:p>
      <w:pPr>
        <w:jc w:val="both"/>
      </w:pPr>
      <w:r>
        <w:rPr>
          <w:rFonts w:ascii="Calibri" w:hAnsi="Calibri"/>
          <w:b/>
          <w:sz w:val="22"/>
        </w:rPr>
        <w:t>Strategic Logic:</w:t>
      </w:r>
      <w:r>
        <w:rPr>
          <w:rFonts w:ascii="Calibri" w:hAnsi="Calibri"/>
          <w:sz w:val="22"/>
        </w:rPr>
        <w:t xml:space="preserve"> Operations strategy resource-based view (Casadesus-Masanell, 2007) suggests sustainable competitive advantage derives from unique, hard-to-imitate capabilities.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