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 xml:space="preserve">Ford Motor Company's transformation under CEO Jim Farley exemplifies strategic management model evolution in the automotive industry's most disruptive period. This analysis applies </w:t>
      </w:r>
      <w:r>
        <w:rPr>
          <w:rFonts w:ascii="Calibri" w:hAnsi="Calibri"/>
          <w:b/>
          <w:sz w:val="22"/>
        </w:rPr>
        <w:t>Birkinshaw and Goddard's (2009) MIT Sloan management model framework</w:t>
      </w:r>
      <w:r>
        <w:rPr>
          <w:rFonts w:ascii="Calibri" w:hAnsi="Calibri"/>
          <w:sz w:val="22"/>
        </w:rPr>
        <w:t xml:space="preserve"> and </w:t>
      </w:r>
      <w:r>
        <w:rPr>
          <w:rFonts w:ascii="Calibri" w:hAnsi="Calibri"/>
          <w:b/>
          <w:sz w:val="22"/>
        </w:rPr>
        <w:t>Nieto-Rodriguez's Strategy Implementation Roadmap</w:t>
      </w:r>
      <w:r>
        <w:rPr>
          <w:rFonts w:ascii="Calibri" w:hAnsi="Calibri"/>
          <w:sz w:val="22"/>
        </w:rPr>
        <w:t xml:space="preserve"> to evaluate Ford's Ford+ plan execution and organizational effectiveness.</w:t>
      </w:r>
    </w:p>
    <w:p>
      <w:pPr>
        <w:jc w:val="both"/>
      </w:pPr>
      <w:r>
        <w:rPr>
          <w:rFonts w:ascii="Calibri" w:hAnsi="Calibri"/>
          <w:b/>
          <w:sz w:val="22"/>
        </w:rPr>
        <w:t>Key Findings:</w:t>
      </w:r>
    </w:p>
    <w:p>
      <w:pPr>
        <w:jc w:val="both"/>
      </w:pPr>
      <w:r>
        <w:rPr>
          <w:rFonts w:ascii="Calibri" w:hAnsi="Calibri"/>
          <w:sz w:val="22"/>
        </w:rPr>
        <w:t xml:space="preserve">Ford successfully transitioned from a traditional hierarchical management model (2020) to a </w:t>
      </w:r>
      <w:r>
        <w:rPr>
          <w:rFonts w:ascii="Calibri" w:hAnsi="Calibri"/>
          <w:b/>
          <w:sz w:val="22"/>
        </w:rPr>
        <w:t>hybrid approach</w:t>
      </w:r>
      <w:r>
        <w:rPr>
          <w:rFonts w:ascii="Calibri" w:hAnsi="Calibri"/>
          <w:sz w:val="22"/>
        </w:rPr>
        <w:t xml:space="preserve"> balancing </w:t>
      </w:r>
      <w:r>
        <w:rPr>
          <w:rFonts w:ascii="Calibri" w:hAnsi="Calibri"/>
          <w:b/>
          <w:sz w:val="22"/>
        </w:rPr>
        <w:t>obliquity</w:t>
      </w:r>
      <w:r>
        <w:rPr>
          <w:rFonts w:ascii="Calibri" w:hAnsi="Calibri"/>
          <w:sz w:val="22"/>
        </w:rPr>
        <w:t xml:space="preserve"> (purpose-driven mission) with </w:t>
      </w:r>
      <w:r>
        <w:rPr>
          <w:rFonts w:ascii="Calibri" w:hAnsi="Calibri"/>
          <w:b/>
          <w:sz w:val="22"/>
        </w:rPr>
        <w:t>goal setting</w:t>
      </w:r>
      <w:r>
        <w:rPr>
          <w:rFonts w:ascii="Calibri" w:hAnsi="Calibri"/>
          <w:sz w:val="22"/>
        </w:rPr>
        <w:t xml:space="preserve"> (financial targets), </w:t>
      </w:r>
      <w:r>
        <w:rPr>
          <w:rFonts w:ascii="Calibri" w:hAnsi="Calibri"/>
          <w:b/>
          <w:sz w:val="22"/>
        </w:rPr>
        <w:t>intrinsic and extrinsic motivation</w:t>
      </w:r>
      <w:r>
        <w:rPr>
          <w:rFonts w:ascii="Calibri" w:hAnsi="Calibri"/>
          <w:sz w:val="22"/>
        </w:rPr>
        <w:t xml:space="preserve">, </w:t>
      </w:r>
      <w:r>
        <w:rPr>
          <w:rFonts w:ascii="Calibri" w:hAnsi="Calibri"/>
          <w:b/>
          <w:sz w:val="22"/>
        </w:rPr>
        <w:t>emergent and bureaucratic coordination</w:t>
      </w:r>
      <w:r>
        <w:rPr>
          <w:rFonts w:ascii="Calibri" w:hAnsi="Calibri"/>
          <w:sz w:val="22"/>
        </w:rPr>
        <w:t xml:space="preserve">, and </w:t>
      </w:r>
      <w:r>
        <w:rPr>
          <w:rFonts w:ascii="Calibri" w:hAnsi="Calibri"/>
          <w:b/>
          <w:sz w:val="22"/>
        </w:rPr>
        <w:t>collective wisdom with hierarchical oversight</w:t>
      </w:r>
      <w:r>
        <w:rPr>
          <w:rFonts w:ascii="Calibri" w:hAnsi="Calibri"/>
          <w:sz w:val="22"/>
        </w:rPr>
        <w:t xml:space="preserve"> (2022-2025). The March 2022 organizational restructure into three business units—Ford Blue (ICE/hybrid), Ford Model e (EVs/software), and Ford Pro (commercial)—represents </w:t>
      </w:r>
      <w:r>
        <w:rPr>
          <w:rFonts w:ascii="Calibri" w:hAnsi="Calibri"/>
          <w:b/>
          <w:sz w:val="22"/>
        </w:rPr>
        <w:t>directed strategy</w:t>
      </w:r>
      <w:r>
        <w:rPr>
          <w:rFonts w:ascii="Calibri" w:hAnsi="Calibri"/>
          <w:sz w:val="22"/>
        </w:rPr>
        <w:t xml:space="preserve"> creating conditions for </w:t>
      </w:r>
      <w:r>
        <w:rPr>
          <w:rFonts w:ascii="Calibri" w:hAnsi="Calibri"/>
          <w:b/>
          <w:sz w:val="22"/>
        </w:rPr>
        <w:t>emergent strategy</w:t>
      </w:r>
      <w:r>
        <w:rPr>
          <w:rFonts w:ascii="Calibri" w:hAnsi="Calibri"/>
          <w:sz w:val="22"/>
        </w:rPr>
        <w:t xml:space="preserve"> within autonomous units.</w:t>
      </w:r>
    </w:p>
    <w:p>
      <w:pPr>
        <w:jc w:val="both"/>
      </w:pPr>
      <w:r>
        <w:rPr>
          <w:rFonts w:ascii="Calibri" w:hAnsi="Calibri"/>
          <w:b/>
          <w:sz w:val="22"/>
        </w:rPr>
        <w:t>Strategy implementation assessment yields an overall score of 3.3/5.0</w:t>
      </w:r>
      <w:r>
        <w:rPr>
          <w:rFonts w:ascii="Calibri" w:hAnsi="Calibri"/>
          <w:sz w:val="22"/>
        </w:rPr>
        <w:t>, indicating moderate effectiveness with significant variation: Leadership execution (4/5) and business model innovation (4/5) demonstrate strength, while employee engagement (2/5) represents critical weakness.  Ford Pro's $9B EBIT (2024) validates the strategic approach, while Ford Model e's -$5.4B loss reveals execution challenges.</w:t>
      </w:r>
    </w:p>
    <w:p>
      <w:pPr>
        <w:jc w:val="both"/>
      </w:pPr>
      <w:r>
        <w:rPr>
          <w:rFonts w:ascii="Calibri" w:hAnsi="Calibri"/>
          <w:b/>
          <w:sz w:val="22"/>
        </w:rPr>
        <w:t>Critical recommendation:</w:t>
      </w:r>
      <w:r>
        <w:rPr>
          <w:rFonts w:ascii="Calibri" w:hAnsi="Calibri"/>
          <w:sz w:val="22"/>
        </w:rPr>
        <w:t xml:space="preserve"> Ford must stabilize its management model on a sustainable hybrid approach, accelerate Model e profitability through a three-horizon strategy, and rebuild employee engagement to support cultural transformation. The February 2025 leadership changes—appointing Marin Gjaja as Chief Strategy Officer and John Lawler as Vice Chair-Strategy—signal recognition that business unit autonomy requires strategic coordination.</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 xml:space="preserve">Applying </w:t>
      </w:r>
      <w:r>
        <w:rPr>
          <w:rFonts w:ascii="Calibri" w:hAnsi="Calibri"/>
          <w:b/>
          <w:sz w:val="22"/>
        </w:rPr>
        <w:t>Porter's Five Forces</w:t>
      </w:r>
      <w:r>
        <w:rPr>
          <w:rFonts w:ascii="Calibri" w:hAnsi="Calibri"/>
          <w:sz w:val="22"/>
        </w:rPr>
        <w:t>,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w:t>
      </w:r>
      <w:r>
        <w:rPr>
          <w:rFonts w:ascii="Calibri" w:hAnsi="Calibri"/>
          <w:b/>
          <w:sz w:val="22"/>
        </w:rPr>
        <w:t>oblique objectives</w:t>
      </w:r>
      <w:r>
        <w:rPr>
          <w:rFonts w:ascii="Calibri" w:hAnsi="Calibri"/>
          <w:sz w:val="22"/>
        </w:rPr>
        <w:t xml:space="preserve"> (Kay, 1998)—pursuing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w:t>
      </w:r>
      <w:r>
        <w:rPr>
          <w:rFonts w:ascii="Calibri" w:hAnsi="Calibri"/>
          <w:b/>
          <w:sz w:val="22"/>
        </w:rPr>
        <w:t>directed strategy</w:t>
      </w:r>
      <w:r>
        <w:rPr>
          <w:rFonts w:ascii="Calibri" w:hAnsi="Calibri"/>
          <w:sz w:val="22"/>
        </w:rPr>
        <w:t xml:space="preserve"> (top-down reorganization) creating infrastructure for </w:t>
      </w:r>
      <w:r>
        <w:rPr>
          <w:rFonts w:ascii="Calibri" w:hAnsi="Calibri"/>
          <w:b/>
          <w:sz w:val="22"/>
        </w:rPr>
        <w:t>emergent strategy</w:t>
      </w:r>
      <w:r>
        <w:rPr>
          <w:rFonts w:ascii="Calibri" w:hAnsi="Calibri"/>
          <w:sz w:val="22"/>
        </w:rPr>
        <w:t xml:space="preserve">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b/>
          <w:sz w:val="22"/>
        </w:rPr>
        <w:t>Table 1: Management Structure Evolution (2020-2025)</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Year</w:t>
            </w:r>
          </w:p>
        </w:tc>
        <w:tc>
          <w:tcPr>
            <w:tcW w:type="dxa" w:w="1337"/>
            <w:shd w:fill="00095B"/>
          </w:tcPr>
          <w:p>
            <w:r>
              <w:rPr>
                <w:b/>
                <w:color w:val="FFFFFF"/>
              </w:rPr>
              <w:t>CEO</w:t>
            </w:r>
          </w:p>
        </w:tc>
        <w:tc>
          <w:tcPr>
            <w:tcW w:type="dxa" w:w="1337"/>
            <w:shd w:fill="00095B"/>
          </w:tcPr>
          <w:p>
            <w:r>
              <w:rPr>
                <w:b/>
                <w:color w:val="FFFFFF"/>
              </w:rPr>
              <w:t>CFO</w:t>
            </w:r>
          </w:p>
        </w:tc>
        <w:tc>
          <w:tcPr>
            <w:tcW w:type="dxa" w:w="1337"/>
            <w:shd w:fill="00095B"/>
          </w:tcPr>
          <w:p>
            <w:r>
              <w:rPr>
                <w:b/>
                <w:color w:val="FFFFFF"/>
              </w:rPr>
              <w:t>Business_Model</w:t>
            </w:r>
          </w:p>
        </w:tc>
        <w:tc>
          <w:tcPr>
            <w:tcW w:type="dxa" w:w="1337"/>
            <w:shd w:fill="00095B"/>
          </w:tcPr>
          <w:p>
            <w:r>
              <w:rPr>
                <w:b/>
                <w:color w:val="FFFFFF"/>
              </w:rPr>
              <w:t>Key_Strategic_Initiative</w:t>
            </w:r>
          </w:p>
        </w:tc>
        <w:tc>
          <w:tcPr>
            <w:tcW w:type="dxa" w:w="1337"/>
            <w:shd w:fill="00095B"/>
          </w:tcPr>
          <w:p>
            <w:r>
              <w:rPr>
                <w:b/>
                <w:color w:val="FFFFFF"/>
              </w:rPr>
              <w:t>Total_Employees_K</w:t>
            </w:r>
          </w:p>
        </w:tc>
        <w:tc>
          <w:tcPr>
            <w:tcW w:type="dxa" w:w="1337"/>
            <w:shd w:fill="00095B"/>
          </w:tcPr>
          <w:p>
            <w:r>
              <w:rPr>
                <w:b/>
                <w:color w:val="FFFFFF"/>
              </w:rPr>
              <w:t>Organizational_Changes</w:t>
            </w:r>
          </w:p>
        </w:tc>
      </w:tr>
      <w:tr>
        <w:tc>
          <w:tcPr>
            <w:tcW w:type="dxa" w:w="1337"/>
          </w:tcPr>
          <w:p>
            <w:r>
              <w:t>2020</w:t>
            </w:r>
          </w:p>
        </w:tc>
        <w:tc>
          <w:tcPr>
            <w:tcW w:type="dxa" w:w="1337"/>
          </w:tcPr>
          <w:p>
            <w:r>
              <w:t>Jim Farley (Oct 2020-present)</w:t>
            </w:r>
          </w:p>
        </w:tc>
        <w:tc>
          <w:tcPr>
            <w:tcW w:type="dxa" w:w="1337"/>
          </w:tcPr>
          <w:p>
            <w:r>
              <w:t>John Lawler</w:t>
            </w:r>
          </w:p>
        </w:tc>
        <w:tc>
          <w:tcPr>
            <w:tcW w:type="dxa" w:w="1337"/>
          </w:tcPr>
          <w:p>
            <w:r>
              <w:t>Traditional Automotive Segment Structure</w:t>
            </w:r>
          </w:p>
        </w:tc>
        <w:tc>
          <w:tcPr>
            <w:tcW w:type="dxa" w:w="1337"/>
          </w:tcPr>
          <w:p>
            <w:r>
              <w:t>Product-first turnaround, EV announcement</w:t>
            </w:r>
          </w:p>
        </w:tc>
        <w:tc>
          <w:tcPr>
            <w:tcW w:type="dxa" w:w="1337"/>
          </w:tcPr>
          <w:p>
            <w:r>
              <w:t>186</w:t>
            </w:r>
          </w:p>
        </w:tc>
        <w:tc>
          <w:tcPr>
            <w:tcW w:type="dxa" w:w="1337"/>
          </w:tcPr>
          <w:p>
            <w:r>
              <w:t>Farley becomes CEO, emphasis on profitability</w:t>
            </w:r>
          </w:p>
        </w:tc>
      </w:tr>
      <w:tr>
        <w:tc>
          <w:tcPr>
            <w:tcW w:type="dxa" w:w="1337"/>
          </w:tcPr>
          <w:p>
            <w:r>
              <w:t>2021</w:t>
            </w:r>
          </w:p>
        </w:tc>
        <w:tc>
          <w:tcPr>
            <w:tcW w:type="dxa" w:w="1337"/>
          </w:tcPr>
          <w:p>
            <w:r>
              <w:t>Jim Farley</w:t>
            </w:r>
          </w:p>
        </w:tc>
        <w:tc>
          <w:tcPr>
            <w:tcW w:type="dxa" w:w="1337"/>
          </w:tcPr>
          <w:p>
            <w:r>
              <w:t>John Lawler</w:t>
            </w:r>
          </w:p>
        </w:tc>
        <w:tc>
          <w:tcPr>
            <w:tcW w:type="dxa" w:w="1337"/>
          </w:tcPr>
          <w:p>
            <w:r>
              <w:t>Ford+ Plan Announced (May 2021)</w:t>
            </w:r>
          </w:p>
        </w:tc>
        <w:tc>
          <w:tcPr>
            <w:tcW w:type="dxa" w:w="1337"/>
          </w:tcPr>
          <w:p>
            <w:r>
              <w:t>Ford+ plan, EV acceleration, customer relationships</w:t>
            </w:r>
          </w:p>
        </w:tc>
        <w:tc>
          <w:tcPr>
            <w:tcW w:type="dxa" w:w="1337"/>
          </w:tcPr>
          <w:p>
            <w:r>
              <w:t>183</w:t>
            </w:r>
          </w:p>
        </w:tc>
        <w:tc>
          <w:tcPr>
            <w:tcW w:type="dxa" w:w="1337"/>
          </w:tcPr>
          <w:p>
            <w:r>
              <w:t>Ford+ plan unveiled, signals upcoming restructure</w:t>
            </w:r>
          </w:p>
        </w:tc>
      </w:tr>
      <w:tr>
        <w:tc>
          <w:tcPr>
            <w:tcW w:type="dxa" w:w="1337"/>
          </w:tcPr>
          <w:p>
            <w:r>
              <w:t>2022</w:t>
            </w:r>
          </w:p>
        </w:tc>
        <w:tc>
          <w:tcPr>
            <w:tcW w:type="dxa" w:w="1337"/>
          </w:tcPr>
          <w:p>
            <w:r>
              <w:t>Jim Farley</w:t>
            </w:r>
          </w:p>
        </w:tc>
        <w:tc>
          <w:tcPr>
            <w:tcW w:type="dxa" w:w="1337"/>
          </w:tcPr>
          <w:p>
            <w:r>
              <w:t>John Lawler</w:t>
            </w:r>
          </w:p>
        </w:tc>
        <w:tc>
          <w:tcPr>
            <w:tcW w:type="dxa" w:w="1337"/>
          </w:tcPr>
          <w:p>
            <w:r>
              <w:t>Three Business Units: Blue/Model e/Pro (Mar 2022)</w:t>
            </w:r>
          </w:p>
        </w:tc>
        <w:tc>
          <w:tcPr>
            <w:tcW w:type="dxa" w:w="1337"/>
          </w:tcPr>
          <w:p>
            <w:r>
              <w:t>Business unit separation, EV investments</w:t>
            </w:r>
          </w:p>
        </w:tc>
        <w:tc>
          <w:tcPr>
            <w:tcW w:type="dxa" w:w="1337"/>
          </w:tcPr>
          <w:p>
            <w:r>
              <w:t>173</w:t>
            </w:r>
          </w:p>
        </w:tc>
        <w:tc>
          <w:tcPr>
            <w:tcW w:type="dxa" w:w="1337"/>
          </w:tcPr>
          <w:p>
            <w:r>
              <w:t>Major restructuring into 3 business units</w:t>
            </w:r>
          </w:p>
        </w:tc>
      </w:tr>
      <w:tr>
        <w:tc>
          <w:tcPr>
            <w:tcW w:type="dxa" w:w="1337"/>
          </w:tcPr>
          <w:p>
            <w:r>
              <w:t>2023</w:t>
            </w:r>
          </w:p>
        </w:tc>
        <w:tc>
          <w:tcPr>
            <w:tcW w:type="dxa" w:w="1337"/>
          </w:tcPr>
          <w:p>
            <w:r>
              <w:t>Jim Farley</w:t>
            </w:r>
          </w:p>
        </w:tc>
        <w:tc>
          <w:tcPr>
            <w:tcW w:type="dxa" w:w="1337"/>
          </w:tcPr>
          <w:p>
            <w:r>
              <w:t>John Lawler</w:t>
            </w:r>
          </w:p>
        </w:tc>
        <w:tc>
          <w:tcPr>
            <w:tcW w:type="dxa" w:w="1337"/>
          </w:tcPr>
          <w:p>
            <w:r>
              <w:t>Blue/Model e/Pro Maturation</w:t>
            </w:r>
          </w:p>
        </w:tc>
        <w:tc>
          <w:tcPr>
            <w:tcW w:type="dxa" w:w="1337"/>
          </w:tcPr>
          <w:p>
            <w:r>
              <w:t>Commercial leadership (Pro), EV cost reduction</w:t>
            </w:r>
          </w:p>
        </w:tc>
        <w:tc>
          <w:tcPr>
            <w:tcW w:type="dxa" w:w="1337"/>
          </w:tcPr>
          <w:p>
            <w:r>
              <w:t>177</w:t>
            </w:r>
          </w:p>
        </w:tc>
        <w:tc>
          <w:tcPr>
            <w:tcW w:type="dxa" w:w="1337"/>
          </w:tcPr>
          <w:p>
            <w:r>
              <w:t>Further organizational streamlining</w:t>
            </w:r>
          </w:p>
        </w:tc>
      </w:tr>
      <w:tr>
        <w:tc>
          <w:tcPr>
            <w:tcW w:type="dxa" w:w="1337"/>
          </w:tcPr>
          <w:p>
            <w:r>
              <w:t>2024</w:t>
            </w:r>
          </w:p>
        </w:tc>
        <w:tc>
          <w:tcPr>
            <w:tcW w:type="dxa" w:w="1337"/>
          </w:tcPr>
          <w:p>
            <w:r>
              <w:t>Jim Farley</w:t>
            </w:r>
          </w:p>
        </w:tc>
        <w:tc>
          <w:tcPr>
            <w:tcW w:type="dxa" w:w="1337"/>
          </w:tcPr>
          <w:p>
            <w:r>
              <w:t>Sherry House (Feb 2025)</w:t>
            </w:r>
          </w:p>
        </w:tc>
        <w:tc>
          <w:tcPr>
            <w:tcW w:type="dxa" w:w="1337"/>
          </w:tcPr>
          <w:p>
            <w:r>
              <w:t>Blue/Model e/Pro + Ford Next</w:t>
            </w:r>
          </w:p>
        </w:tc>
        <w:tc>
          <w:tcPr>
            <w:tcW w:type="dxa" w:w="1337"/>
          </w:tcPr>
          <w:p>
            <w:r>
              <w:t>Cost discipline, performance culture, strategic focus</w:t>
            </w:r>
          </w:p>
        </w:tc>
        <w:tc>
          <w:tcPr>
            <w:tcW w:type="dxa" w:w="1337"/>
          </w:tcPr>
          <w:p>
            <w:r>
              <w:t>171</w:t>
            </w:r>
          </w:p>
        </w:tc>
        <w:tc>
          <w:tcPr>
            <w:tcW w:type="dxa" w:w="1337"/>
          </w:tcPr>
          <w:p>
            <w:r>
              <w:t>2025 leadership changes: House CFO, Lawler Vice Chair-Strategy, Gjaja CSO</w:t>
            </w:r>
          </w:p>
        </w:tc>
      </w:tr>
    </w:tbl>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pStyle w:val="Heading2"/>
      </w:pPr>
      <w:r>
        <w:rPr>
          <w:rFonts w:ascii="Calibri" w:hAnsi="Calibri"/>
          <w:color w:val="003478"/>
        </w:rPr>
        <w:t>Theoretical Framework</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81). They identify four dimensions, each with two polar approaches:</w:t>
      </w:r>
    </w:p>
    <w:p>
      <w:pPr>
        <w:jc w:val="both"/>
      </w:pPr>
      <w:r>
        <w:rPr>
          <w:rFonts w:ascii="Calibri" w:hAnsi="Calibri"/>
          <w:sz w:val="22"/>
        </w:rPr>
        <w:t xml:space="preserve">1. </w:t>
      </w:r>
      <w:r>
        <w:rPr>
          <w:rFonts w:ascii="Calibri" w:hAnsi="Calibri"/>
          <w:b/>
          <w:sz w:val="22"/>
        </w:rPr>
        <w:t>Objectives</w:t>
      </w:r>
      <w:r>
        <w:rPr>
          <w:rFonts w:ascii="Calibri" w:hAnsi="Calibri"/>
          <w:sz w:val="22"/>
        </w:rPr>
        <w:t>: Goal Setting (direct targets) ↔ Obliquity (higher-order purpose)</w:t>
      </w:r>
    </w:p>
    <w:p>
      <w:pPr>
        <w:jc w:val="both"/>
      </w:pPr>
      <w:r>
        <w:rPr>
          <w:rFonts w:ascii="Calibri" w:hAnsi="Calibri"/>
          <w:sz w:val="22"/>
        </w:rPr>
        <w:t xml:space="preserve">2. </w:t>
      </w:r>
      <w:r>
        <w:rPr>
          <w:rFonts w:ascii="Calibri" w:hAnsi="Calibri"/>
          <w:b/>
          <w:sz w:val="22"/>
        </w:rPr>
        <w:t>Motivation</w:t>
      </w:r>
      <w:r>
        <w:rPr>
          <w:rFonts w:ascii="Calibri" w:hAnsi="Calibri"/>
          <w:sz w:val="22"/>
        </w:rPr>
        <w:t>: Extrinsic (compensation) ↔ Intrinsic (achievement, purpose)</w:t>
      </w:r>
    </w:p>
    <w:p>
      <w:pPr>
        <w:jc w:val="both"/>
      </w:pPr>
      <w:r>
        <w:rPr>
          <w:rFonts w:ascii="Calibri" w:hAnsi="Calibri"/>
          <w:sz w:val="22"/>
        </w:rPr>
        <w:t xml:space="preserve">3. </w:t>
      </w:r>
      <w:r>
        <w:rPr>
          <w:rFonts w:ascii="Calibri" w:hAnsi="Calibri"/>
          <w:b/>
          <w:sz w:val="22"/>
        </w:rPr>
        <w:t>Coordination</w:t>
      </w:r>
      <w:r>
        <w:rPr>
          <w:rFonts w:ascii="Calibri" w:hAnsi="Calibri"/>
          <w:sz w:val="22"/>
        </w:rPr>
        <w:t>: Bureaucracy (formal processes) ↔ Emergence (spontaneous self-organization)</w:t>
      </w:r>
    </w:p>
    <w:p>
      <w:pPr>
        <w:jc w:val="both"/>
      </w:pPr>
      <w:r>
        <w:rPr>
          <w:rFonts w:ascii="Calibri" w:hAnsi="Calibri"/>
          <w:sz w:val="22"/>
        </w:rPr>
        <w:t xml:space="preserve">4. </w:t>
      </w:r>
      <w:r>
        <w:rPr>
          <w:rFonts w:ascii="Calibri" w:hAnsi="Calibri"/>
          <w:b/>
          <w:sz w:val="22"/>
        </w:rPr>
        <w:t>Decision-Making</w:t>
      </w:r>
      <w:r>
        <w:rPr>
          <w:rFonts w:ascii="Calibri" w:hAnsi="Calibri"/>
          <w:sz w:val="22"/>
        </w:rPr>
        <w:t>: Hierarchy (top-down authority) ↔ Collective Wisdom (distributed knowledge)</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w:t>
      </w:r>
      <w:r>
        <w:rPr>
          <w:rFonts w:ascii="Calibri" w:hAnsi="Calibri"/>
          <w:b/>
          <w:sz w:val="22"/>
        </w:rPr>
        <w:t>goal setting</w:t>
      </w:r>
      <w:r>
        <w:rPr>
          <w:rFonts w:ascii="Calibri" w:hAnsi="Calibri"/>
          <w:sz w:val="22"/>
        </w:rPr>
        <w:t xml:space="preserve">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w:t>
      </w:r>
      <w:r>
        <w:rPr>
          <w:rFonts w:ascii="Calibri" w:hAnsi="Calibri"/>
          <w:b/>
          <w:sz w:val="22"/>
        </w:rPr>
        <w:t>oblique objectives</w:t>
      </w:r>
      <w:r>
        <w:rPr>
          <w:rFonts w:ascii="Calibri" w:hAnsi="Calibri"/>
          <w:sz w:val="22"/>
        </w:rPr>
        <w:t>: "Help build a better world, where every person is free to move and pursue their dreams" (Ford Motor Company, 2025, p. 1). This parallels IKEA's "better everyday life" approach that Kay (1998)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w:t>
      </w:r>
      <w:r>
        <w:rPr>
          <w:rFonts w:ascii="Calibri" w:hAnsi="Calibri"/>
          <w:b/>
          <w:sz w:val="22"/>
        </w:rPr>
        <w:t>goal setting</w:t>
      </w:r>
      <w:r>
        <w:rPr>
          <w:rFonts w:ascii="Calibri" w:hAnsi="Calibri"/>
          <w:sz w:val="22"/>
        </w:rPr>
        <w:t xml:space="preserve"> (Ford Authority, 2025). While necessary for financial discipline, this risks undermining the purpose-driven motivation that attracted talent to Model e's EV mission.</w:t>
      </w:r>
    </w:p>
    <w:p>
      <w:pPr>
        <w:jc w:val="both"/>
      </w:pPr>
      <w:r>
        <w:rPr>
          <w:rFonts w:ascii="Calibri" w:hAnsi="Calibri"/>
          <w:b/>
          <w:sz w:val="22"/>
        </w:rPr>
        <w:t>Analysis:</w:t>
      </w:r>
      <w:r>
        <w:rPr>
          <w:rFonts w:ascii="Calibri" w:hAnsi="Calibri"/>
          <w:sz w:val="22"/>
        </w:rPr>
        <w:t xml:space="preserve"> Both approaches are necessary. Obliquity provides direction and inspiration (especially for innovation in Model e); goal setting ensures accountability (critical for Ford Pro's commercial discipline). Optimal balance remains elusive.</w:t>
      </w:r>
    </w:p>
    <w:p>
      <w:pPr>
        <w:pStyle w:val="Heading2"/>
      </w:pPr>
      <w:r>
        <w:rPr>
          <w:rFonts w:ascii="Calibri" w:hAnsi="Calibri"/>
          <w:color w:val="003478"/>
        </w:rPr>
        <w:t>Dimension 2: Motivating Individuals — Balancing Extrinsic and Intrinsic</w:t>
      </w:r>
    </w:p>
    <w:p>
      <w:pPr>
        <w:jc w:val="both"/>
      </w:pPr>
      <w:r>
        <w:rPr>
          <w:rFonts w:ascii="Calibri" w:hAnsi="Calibri"/>
          <w:sz w:val="22"/>
        </w:rPr>
        <w:t xml:space="preserve">McGregor's (1960) Theory X assumes workers need </w:t>
      </w:r>
      <w:r>
        <w:rPr>
          <w:rFonts w:ascii="Calibri" w:hAnsi="Calibri"/>
          <w:b/>
          <w:sz w:val="22"/>
        </w:rPr>
        <w:t>extrinsic motivation</w:t>
      </w:r>
      <w:r>
        <w:rPr>
          <w:rFonts w:ascii="Calibri" w:hAnsi="Calibri"/>
          <w:sz w:val="22"/>
        </w:rPr>
        <w:t xml:space="preserve"> (compensation, bonuses), while Theory Y emphasizes </w:t>
      </w:r>
      <w:r>
        <w:rPr>
          <w:rFonts w:ascii="Calibri" w:hAnsi="Calibri"/>
          <w:b/>
          <w:sz w:val="22"/>
        </w:rPr>
        <w:t>intrinsic motivation</w:t>
      </w:r>
      <w:r>
        <w:rPr>
          <w:rFonts w:ascii="Calibri" w:hAnsi="Calibri"/>
          <w:sz w:val="22"/>
        </w:rPr>
        <w:t xml:space="preserve"> (achievement, purpose, peer recognition).</w:t>
      </w:r>
    </w:p>
    <w:p>
      <w:pPr>
        <w:jc w:val="both"/>
      </w:pPr>
      <w:r>
        <w:rPr>
          <w:rFonts w:ascii="Calibri" w:hAnsi="Calibri"/>
          <w:b/>
          <w:sz w:val="22"/>
        </w:rPr>
        <w:t>Pre-2021:</w:t>
      </w:r>
      <w:r>
        <w:rPr>
          <w:rFonts w:ascii="Calibri" w:hAnsi="Calibri"/>
          <w:sz w:val="22"/>
        </w:rPr>
        <w:t xml:space="preserve"> Ford relied primarily on </w:t>
      </w:r>
      <w:r>
        <w:rPr>
          <w:rFonts w:ascii="Calibri" w:hAnsi="Calibri"/>
          <w:b/>
          <w:sz w:val="22"/>
        </w:rPr>
        <w:t>extrinsic motivation</w:t>
      </w:r>
      <w:r>
        <w:rPr>
          <w:rFonts w:ascii="Calibri" w:hAnsi="Calibri"/>
          <w:sz w:val="22"/>
        </w:rPr>
        <w:t xml:space="preserve">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w:t>
      </w:r>
      <w:r>
        <w:rPr>
          <w:rFonts w:ascii="Calibri" w:hAnsi="Calibri"/>
          <w:b/>
          <w:sz w:val="22"/>
        </w:rPr>
        <w:t>intrinsic elements</w:t>
      </w:r>
      <w:r>
        <w:rPr>
          <w:rFonts w:ascii="Calibri" w:hAnsi="Calibri"/>
          <w:sz w:val="22"/>
        </w:rPr>
        <w:t>: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w:t>
      </w:r>
      <w:r>
        <w:rPr>
          <w:rFonts w:ascii="Calibri" w:hAnsi="Calibri"/>
          <w:b/>
          <w:sz w:val="22"/>
        </w:rPr>
        <w:t>extrinsic</w:t>
      </w:r>
      <w:r>
        <w:rPr>
          <w:rFonts w:ascii="Calibri" w:hAnsi="Calibri"/>
          <w:sz w:val="22"/>
        </w:rPr>
        <w:t>). Kay Hart's 2025 promotion to Model e General Manager exemplifies this balance—intrinsic motivation (EV pioneer status from leading Team Edison) combined with career advancement (</w:t>
      </w:r>
      <w:r>
        <w:rPr>
          <w:rFonts w:ascii="Calibri" w:hAnsi="Calibri"/>
          <w:b/>
          <w:sz w:val="22"/>
        </w:rPr>
        <w:t>extrinsic</w:t>
      </w:r>
      <w:r>
        <w:rPr>
          <w:rFonts w:ascii="Calibri" w:hAnsi="Calibri"/>
          <w:sz w:val="22"/>
        </w:rPr>
        <w:t>)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w:t>
      </w:r>
      <w:r>
        <w:rPr>
          <w:rFonts w:ascii="Calibri" w:hAnsi="Calibri"/>
          <w:b/>
          <w:sz w:val="22"/>
        </w:rPr>
        <w:t>performance-focused extrinsic</w:t>
      </w:r>
      <w:r>
        <w:rPr>
          <w:rFonts w:ascii="Calibri" w:hAnsi="Calibri"/>
          <w:sz w:val="22"/>
        </w:rPr>
        <w:t xml:space="preserve"> motivation risks reducing the intrinsic commitment needed for cultural transformation.</w:t>
      </w:r>
    </w:p>
    <w:p>
      <w:pPr>
        <w:jc w:val="both"/>
      </w:pPr>
      <w:r>
        <w:rPr>
          <w:rFonts w:ascii="Calibri" w:hAnsi="Calibri"/>
          <w:sz w:val="22"/>
        </w:rPr>
        <w:t>Eikenberry's (2021) distinction applies: "Commitment is 'I want to'; compliance is 'I have to.'" Ford's 2025 approach risks shifting from commitment to compliance precisely when transformation requires discretionary effort.</w:t>
      </w:r>
    </w:p>
    <w:p>
      <w:pPr>
        <w:jc w:val="both"/>
      </w:pPr>
      <w:r>
        <w:rPr>
          <w:rFonts w:ascii="Calibri" w:hAnsi="Calibri"/>
          <w:b/>
          <w:sz w:val="22"/>
        </w:rPr>
        <w:t>Analysis:</w:t>
      </w:r>
      <w:r>
        <w:rPr>
          <w:rFonts w:ascii="Calibri" w:hAnsi="Calibri"/>
          <w:sz w:val="22"/>
        </w:rPr>
        <w:t xml:space="preserve"> 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b/>
          <w:sz w:val="22"/>
        </w:rPr>
        <w:t>Pre-2021 Bureaucracy:</w:t>
      </w:r>
      <w:r>
        <w:rPr>
          <w:rFonts w:ascii="Calibri" w:hAnsi="Calibri"/>
          <w:sz w:val="22"/>
        </w:rPr>
        <w:t xml:space="preserve"> Ford operated through classic automotive hierarchy with centralized decision-making, functional silos (engineering, manufacturing, sales), and a single "Automotive segment" structure (Ford Motor Company, 2021).</w:t>
      </w:r>
    </w:p>
    <w:p>
      <w:pPr>
        <w:jc w:val="both"/>
      </w:pPr>
      <w:r>
        <w:rPr>
          <w:rFonts w:ascii="Calibri" w:hAnsi="Calibri"/>
          <w:b/>
          <w:sz w:val="22"/>
        </w:rPr>
        <w:t>2022-2024 Emergence:</w:t>
      </w:r>
      <w:r>
        <w:rPr>
          <w:rFonts w:ascii="Calibri" w:hAnsi="Calibri"/>
          <w:sz w:val="22"/>
        </w:rPr>
        <w:t xml:space="preserve"> The business unit structure enabled </w:t>
      </w:r>
      <w:r>
        <w:rPr>
          <w:rFonts w:ascii="Calibri" w:hAnsi="Calibri"/>
          <w:b/>
          <w:sz w:val="22"/>
        </w:rPr>
        <w:t>emergent coordination</w:t>
      </w:r>
      <w:r>
        <w:rPr>
          <w:rFonts w:ascii="Calibri" w:hAnsi="Calibri"/>
          <w:sz w:val="22"/>
        </w:rPr>
        <w:t xml:space="preserve"> through:</w:t>
      </w:r>
    </w:p>
    <w:p>
      <w:pPr>
        <w:jc w:val="both"/>
      </w:pPr>
      <w:r>
        <w:rPr>
          <w:rFonts w:ascii="Calibri" w:hAnsi="Calibri"/>
          <w:sz w:val="22"/>
        </w:rPr>
        <w:t xml:space="preserve">- </w:t>
      </w:r>
      <w:r>
        <w:rPr>
          <w:rFonts w:ascii="Calibri" w:hAnsi="Calibri"/>
          <w:b/>
          <w:sz w:val="22"/>
        </w:rPr>
        <w:t>Ford Blue</w:t>
      </w:r>
      <w:r>
        <w:rPr>
          <w:rFonts w:ascii="Calibri" w:hAnsi="Calibri"/>
          <w:sz w:val="22"/>
        </w:rPr>
        <w:t>: Autonomous P&amp;L focused on cash generation from ICE vehicles using traditional manufacturing coordination</w:t>
      </w:r>
    </w:p>
    <w:p>
      <w:pPr>
        <w:jc w:val="both"/>
      </w:pPr>
      <w:r>
        <w:rPr>
          <w:rFonts w:ascii="Calibri" w:hAnsi="Calibri"/>
          <w:sz w:val="22"/>
        </w:rPr>
        <w:t xml:space="preserve">- </w:t>
      </w:r>
      <w:r>
        <w:rPr>
          <w:rFonts w:ascii="Calibri" w:hAnsi="Calibri"/>
          <w:b/>
          <w:sz w:val="22"/>
        </w:rPr>
        <w:t>Ford Model e</w:t>
      </w:r>
      <w:r>
        <w:rPr>
          <w:rFonts w:ascii="Calibri" w:hAnsi="Calibri"/>
          <w:sz w:val="22"/>
        </w:rPr>
        <w:t>: Startup-like autonomy for "unbridled innovation" with agile software development and rapid iteration</w:t>
      </w:r>
    </w:p>
    <w:p>
      <w:pPr>
        <w:jc w:val="both"/>
      </w:pPr>
      <w:r>
        <w:rPr>
          <w:rFonts w:ascii="Calibri" w:hAnsi="Calibri"/>
          <w:sz w:val="22"/>
        </w:rPr>
        <w:t xml:space="preserve">- </w:t>
      </w:r>
      <w:r>
        <w:rPr>
          <w:rFonts w:ascii="Calibri" w:hAnsi="Calibri"/>
          <w:b/>
          <w:sz w:val="22"/>
        </w:rPr>
        <w:t>Ford Pro</w:t>
      </w:r>
      <w:r>
        <w:rPr>
          <w:rFonts w:ascii="Calibri" w:hAnsi="Calibri"/>
          <w:sz w:val="22"/>
        </w:rPr>
        <w:t>: Commercial customer-centric solutions teams developing unique capabilities (fleet telematics, services)</w:t>
      </w:r>
    </w:p>
    <w:p>
      <w:pPr>
        <w:jc w:val="both"/>
      </w:pPr>
      <w:r>
        <w:rPr>
          <w:rFonts w:ascii="Calibri" w:hAnsi="Calibri"/>
          <w:sz w:val="22"/>
        </w:rPr>
        <w:t xml:space="preserve">This aligns with </w:t>
      </w:r>
      <w:r>
        <w:rPr>
          <w:rFonts w:ascii="Calibri" w:hAnsi="Calibri"/>
          <w:b/>
          <w:sz w:val="22"/>
        </w:rPr>
        <w:t>Resource-Based View</w:t>
      </w:r>
      <w:r>
        <w:rPr>
          <w:rFonts w:ascii="Calibri" w:hAnsi="Calibri"/>
          <w:sz w:val="22"/>
        </w:rPr>
        <w:t xml:space="preserve"> (Wernerfelt, 1984): business units develop distinctive capabilities—Pro's fleet software, Model e's battery technology, Blue's manufacturing scale—creating sustainable competitive advantage.</w:t>
      </w:r>
    </w:p>
    <w:p>
      <w:pPr>
        <w:jc w:val="both"/>
      </w:pPr>
      <w:r>
        <w:rPr>
          <w:rFonts w:ascii="Calibri" w:hAnsi="Calibri"/>
          <w:b/>
          <w:sz w:val="22"/>
        </w:rPr>
        <w:t>Operations strategy concepts</w:t>
      </w:r>
      <w:r>
        <w:rPr>
          <w:rFonts w:ascii="Calibri" w:hAnsi="Calibri"/>
          <w:sz w:val="22"/>
        </w:rPr>
        <w:t xml:space="preserve"> illuminate this coordination approach:</w:t>
      </w:r>
    </w:p>
    <w:p>
      <w:pPr>
        <w:jc w:val="both"/>
      </w:pPr>
      <w:r>
        <w:rPr>
          <w:rFonts w:ascii="Calibri" w:hAnsi="Calibri"/>
          <w:sz w:val="22"/>
        </w:rPr>
        <w:t xml:space="preserve">- </w:t>
      </w:r>
      <w:r>
        <w:rPr>
          <w:rFonts w:ascii="Calibri" w:hAnsi="Calibri"/>
          <w:b/>
          <w:sz w:val="22"/>
        </w:rPr>
        <w:t>Economies of Scale</w:t>
      </w:r>
      <w:r>
        <w:rPr>
          <w:rFonts w:ascii="Calibri" w:hAnsi="Calibri"/>
          <w:sz w:val="22"/>
        </w:rPr>
        <w:t>: Blue achieves manufacturing scale; Pro leverages that infrastructure without duplicating facilities</w:t>
      </w:r>
    </w:p>
    <w:p>
      <w:pPr>
        <w:jc w:val="both"/>
      </w:pPr>
      <w:r>
        <w:rPr>
          <w:rFonts w:ascii="Calibri" w:hAnsi="Calibri"/>
          <w:sz w:val="22"/>
        </w:rPr>
        <w:t xml:space="preserve">- </w:t>
      </w:r>
      <w:r>
        <w:rPr>
          <w:rFonts w:ascii="Calibri" w:hAnsi="Calibri"/>
          <w:b/>
          <w:sz w:val="22"/>
        </w:rPr>
        <w:t>Learning Curve</w:t>
      </w:r>
      <w:r>
        <w:rPr>
          <w:rFonts w:ascii="Calibri" w:hAnsi="Calibri"/>
          <w:sz w:val="22"/>
        </w:rPr>
        <w:t>: Model e climbing the cost curve on EVs (still losing $5.4B but per-unit costs improving) (Ford Motor Company, 2025)</w:t>
      </w:r>
    </w:p>
    <w:p>
      <w:pPr>
        <w:jc w:val="both"/>
      </w:pPr>
      <w:r>
        <w:rPr>
          <w:rFonts w:ascii="Calibri" w:hAnsi="Calibri"/>
          <w:b/>
          <w:sz w:val="22"/>
        </w:rPr>
        <w:t>2025 Balance:</w:t>
      </w:r>
      <w:r>
        <w:rPr>
          <w:rFonts w:ascii="Calibri" w:hAnsi="Calibri"/>
          <w:sz w:val="22"/>
        </w:rPr>
        <w:t xml:space="preserve"> Gjaja's Chief Strategy Officer role coordinates strategy across units (centralization) while units retain separate P&amp;L (autonomy). Frick's expanded role overseeing all three units signals integration opportunity while Kay Hart's Model e GM position maintains operational focus (Ford Media Center, 2025).</w:t>
      </w:r>
    </w:p>
    <w:p>
      <w:pPr>
        <w:jc w:val="both"/>
      </w:pPr>
      <w:r>
        <w:rPr>
          <w:rFonts w:ascii="Calibri" w:hAnsi="Calibri"/>
          <w:b/>
          <w:sz w:val="22"/>
        </w:rPr>
        <w:t>Analysis:</w:t>
      </w:r>
      <w:r>
        <w:rPr>
          <w:rFonts w:ascii="Calibri" w:hAnsi="Calibri"/>
          <w:sz w:val="22"/>
        </w:rPr>
        <w:t xml:space="preserve">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b/>
          <w:sz w:val="22"/>
        </w:rPr>
        <w:t>Pre-2021 Hierarchy:</w:t>
      </w:r>
      <w:r>
        <w:rPr>
          <w:rFonts w:ascii="Calibri" w:hAnsi="Calibri"/>
          <w:sz w:val="22"/>
        </w:rPr>
        <w:t xml:space="preserve"> Pure top-down decision-making with CEO-driven strategy, centralized approval processes, and limited delegation (Ford Motor Company, 2021).</w:t>
      </w:r>
    </w:p>
    <w:p>
      <w:pPr>
        <w:jc w:val="both"/>
      </w:pPr>
      <w:r>
        <w:rPr>
          <w:rFonts w:ascii="Calibri" w:hAnsi="Calibri"/>
          <w:b/>
          <w:sz w:val="22"/>
        </w:rPr>
        <w:t>2021-2024 Hybrid:</w:t>
      </w:r>
      <w:r>
        <w:rPr>
          <w:rFonts w:ascii="Calibri" w:hAnsi="Calibri"/>
          <w:sz w:val="22"/>
        </w:rPr>
        <w:t xml:space="preserve"> Ford adopted </w:t>
      </w:r>
      <w:r>
        <w:rPr>
          <w:rFonts w:ascii="Calibri" w:hAnsi="Calibri"/>
          <w:b/>
          <w:sz w:val="22"/>
        </w:rPr>
        <w:t>collective wisdom</w:t>
      </w:r>
      <w:r>
        <w:rPr>
          <w:rFonts w:ascii="Calibri" w:hAnsi="Calibri"/>
          <w:sz w:val="22"/>
        </w:rPr>
        <w:t xml:space="preserve"> within hierarchical oversight:</w:t>
      </w:r>
    </w:p>
    <w:p>
      <w:pPr>
        <w:jc w:val="both"/>
      </w:pPr>
      <w:r>
        <w:rPr>
          <w:rFonts w:ascii="Calibri" w:hAnsi="Calibri"/>
          <w:sz w:val="22"/>
        </w:rPr>
        <w:t xml:space="preserve">- </w:t>
      </w:r>
      <w:r>
        <w:rPr>
          <w:rFonts w:ascii="Calibri" w:hAnsi="Calibri"/>
          <w:b/>
          <w:sz w:val="22"/>
        </w:rPr>
        <w:t>Unit Autonomy</w:t>
      </w:r>
      <w:r>
        <w:rPr>
          <w:rFonts w:ascii="Calibri" w:hAnsi="Calibri"/>
          <w:sz w:val="22"/>
        </w:rPr>
        <w:t>: Business unit presidents made operational decisions, product planning decentralized, investment authority within unit P&amp;L budgets</w:t>
      </w:r>
    </w:p>
    <w:p>
      <w:pPr>
        <w:jc w:val="both"/>
      </w:pPr>
      <w:r>
        <w:rPr>
          <w:rFonts w:ascii="Calibri" w:hAnsi="Calibri"/>
          <w:sz w:val="22"/>
        </w:rPr>
        <w:t xml:space="preserve">- </w:t>
      </w:r>
      <w:r>
        <w:rPr>
          <w:rFonts w:ascii="Calibri" w:hAnsi="Calibri"/>
          <w:b/>
          <w:sz w:val="22"/>
        </w:rPr>
        <w:t>Strategic Oversight</w:t>
      </w:r>
      <w:r>
        <w:rPr>
          <w:rFonts w:ascii="Calibri" w:hAnsi="Calibri"/>
          <w:sz w:val="22"/>
        </w:rPr>
        <w:t>: Farley retained ultimate authority on capital allocation, overall EV investment ($50B commitment), and brand strategy</w:t>
      </w:r>
    </w:p>
    <w:p>
      <w:pPr>
        <w:jc w:val="both"/>
      </w:pPr>
      <w:r>
        <w:rPr>
          <w:rFonts w:ascii="Calibri" w:hAnsi="Calibri"/>
          <w:sz w:val="22"/>
        </w:rPr>
        <w:t>Ford Pro customer advisory councils informed product development (collective wisdom from end-users), while Farley's 2024 directive to slow some EV investments demonstrates hierarchical authority when strategic coherence requires it (CNBC, 2024).</w:t>
      </w:r>
    </w:p>
    <w:p>
      <w:pPr>
        <w:jc w:val="both"/>
      </w:pPr>
      <w:r>
        <w:rPr>
          <w:rFonts w:ascii="Calibri" w:hAnsi="Calibri"/>
          <w:b/>
          <w:sz w:val="22"/>
        </w:rPr>
        <w:t>2025 Recentralization:</w:t>
      </w:r>
      <w:r>
        <w:rPr>
          <w:rFonts w:ascii="Calibri" w:hAnsi="Calibri"/>
          <w:sz w:val="22"/>
        </w:rPr>
        <w:t xml:space="preserve"> Gjaja's CSO reporting to both Farley and Lawler creates centralized strategy function. Lawler's Vice Chair-Strategy role elevates strategic decisions above unit level. This addresses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business units from conflicting strategies) (Ford Media Center, 2025).</w:t>
      </w:r>
    </w:p>
    <w:p>
      <w:pPr>
        <w:jc w:val="both"/>
      </w:pPr>
      <w:r>
        <w:rPr>
          <w:rFonts w:ascii="Calibri" w:hAnsi="Calibri"/>
          <w:b/>
          <w:sz w:val="22"/>
        </w:rPr>
        <w:t>Analysis:</w:t>
      </w:r>
      <w:r>
        <w:rPr>
          <w:rFonts w:ascii="Calibri" w:hAnsi="Calibri"/>
          <w:sz w:val="22"/>
        </w:rPr>
        <w:t xml:space="preserve"> Effective management models balance both poles. Ford's 2022-2024 lean toward collective wisdom; 2025 correction toward hierarchy suggests the company is actively learning and adapting rather than rigidly adhering to one model.</w:t>
      </w:r>
    </w:p>
    <w:p>
      <w:pPr>
        <w:pStyle w:val="Heading2"/>
      </w:pPr>
      <w:r>
        <w:rPr>
          <w:rFonts w:ascii="Calibri" w:hAnsi="Calibri"/>
          <w:color w:val="003478"/>
        </w:rPr>
        <w:t>Management Model Comparison</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shd w:fill="00095B"/>
          </w:tcPr>
          <w:p>
            <w:r>
              <w:rPr>
                <w:b/>
                <w:color w:val="FFFFFF"/>
              </w:rPr>
              <w:t>Dimension</w:t>
            </w:r>
          </w:p>
        </w:tc>
        <w:tc>
          <w:tcPr>
            <w:tcW w:type="dxa" w:w="2340"/>
            <w:shd w:fill="00095B"/>
          </w:tcPr>
          <w:p>
            <w:r>
              <w:rPr>
                <w:b/>
                <w:color w:val="FFFFFF"/>
              </w:rPr>
              <w:t>2020 (Pre-Ford+)</w:t>
            </w:r>
          </w:p>
        </w:tc>
        <w:tc>
          <w:tcPr>
            <w:tcW w:type="dxa" w:w="2340"/>
            <w:shd w:fill="00095B"/>
          </w:tcPr>
          <w:p>
            <w:r>
              <w:rPr>
                <w:b/>
                <w:color w:val="FFFFFF"/>
              </w:rPr>
              <w:t>2022-2024 (Ford+)</w:t>
            </w:r>
          </w:p>
        </w:tc>
        <w:tc>
          <w:tcPr>
            <w:tcW w:type="dxa" w:w="2340"/>
            <w:shd w:fill="00095B"/>
          </w:tcPr>
          <w:p>
            <w:r>
              <w:rPr>
                <w:b/>
                <w:color w:val="FFFFFF"/>
              </w:rPr>
              <w:t>2025 (Refinement)</w:t>
            </w:r>
          </w:p>
        </w:tc>
      </w:tr>
      <w:tr>
        <w:tc>
          <w:tcPr>
            <w:tcW w:type="dxa" w:w="2340"/>
          </w:tcPr>
          <w:p>
            <w:r>
              <w:t>**Objectives**</w:t>
            </w:r>
          </w:p>
        </w:tc>
        <w:tc>
          <w:tcPr>
            <w:tcW w:type="dxa" w:w="2340"/>
          </w:tcPr>
          <w:p>
            <w:r>
              <w:t>Goal Setting (pure financial)</w:t>
            </w:r>
          </w:p>
        </w:tc>
        <w:tc>
          <w:tcPr>
            <w:tcW w:type="dxa" w:w="2340"/>
          </w:tcPr>
          <w:p>
            <w:r>
              <w:t>Obliquity + Goals (purpose + targets)</w:t>
            </w:r>
          </w:p>
        </w:tc>
        <w:tc>
          <w:tcPr>
            <w:tcW w:type="dxa" w:w="2340"/>
          </w:tcPr>
          <w:p>
            <w:r>
              <w:t>Goal Setting emphasis</w:t>
            </w:r>
          </w:p>
        </w:tc>
      </w:tr>
      <w:tr>
        <w:tc>
          <w:tcPr>
            <w:tcW w:type="dxa" w:w="2340"/>
          </w:tcPr>
          <w:p>
            <w:r>
              <w:t>**Motivation**</w:t>
            </w:r>
          </w:p>
        </w:tc>
        <w:tc>
          <w:tcPr>
            <w:tcW w:type="dxa" w:w="2340"/>
          </w:tcPr>
          <w:p>
            <w:r>
              <w:t>Extrinsic</w:t>
            </w:r>
          </w:p>
        </w:tc>
        <w:tc>
          <w:tcPr>
            <w:tcW w:type="dxa" w:w="2340"/>
          </w:tcPr>
          <w:p>
            <w:r>
              <w:t>Balanced (purpose + pay)</w:t>
            </w:r>
          </w:p>
        </w:tc>
        <w:tc>
          <w:tcPr>
            <w:tcW w:type="dxa" w:w="2340"/>
          </w:tcPr>
          <w:p>
            <w:r>
              <w:t>Extrinsic focus (bonus cuts)</w:t>
            </w:r>
          </w:p>
        </w:tc>
      </w:tr>
      <w:tr>
        <w:tc>
          <w:tcPr>
            <w:tcW w:type="dxa" w:w="2340"/>
          </w:tcPr>
          <w:p>
            <w:r>
              <w:t>**Coordination**</w:t>
            </w:r>
          </w:p>
        </w:tc>
        <w:tc>
          <w:tcPr>
            <w:tcW w:type="dxa" w:w="2340"/>
          </w:tcPr>
          <w:p>
            <w:r>
              <w:t>Bureaucracy</w:t>
            </w:r>
          </w:p>
        </w:tc>
        <w:tc>
          <w:tcPr>
            <w:tcW w:type="dxa" w:w="2340"/>
          </w:tcPr>
          <w:p>
            <w:r>
              <w:t>Emergence (unit autonomy)</w:t>
            </w:r>
          </w:p>
        </w:tc>
        <w:tc>
          <w:tcPr>
            <w:tcW w:type="dxa" w:w="2340"/>
          </w:tcPr>
          <w:p>
            <w:r>
              <w:t>Balanced (oversight + autonomy)</w:t>
            </w:r>
          </w:p>
        </w:tc>
      </w:tr>
      <w:tr>
        <w:tc>
          <w:tcPr>
            <w:tcW w:type="dxa" w:w="2340"/>
          </w:tcPr>
          <w:p>
            <w:r>
              <w:t>**Decision-Making**</w:t>
            </w:r>
          </w:p>
        </w:tc>
        <w:tc>
          <w:tcPr>
            <w:tcW w:type="dxa" w:w="2340"/>
          </w:tcPr>
          <w:p>
            <w:r>
              <w:t>Hierarchy</w:t>
            </w:r>
          </w:p>
        </w:tc>
        <w:tc>
          <w:tcPr>
            <w:tcW w:type="dxa" w:w="2340"/>
          </w:tcPr>
          <w:p>
            <w:r>
              <w:t>Collective Wisdom</w:t>
            </w:r>
          </w:p>
        </w:tc>
        <w:tc>
          <w:tcPr>
            <w:tcW w:type="dxa" w:w="2340"/>
          </w:tcPr>
          <w:p>
            <w:r>
              <w:t>Hierarchy (strategic centralization)</w:t>
            </w:r>
          </w:p>
        </w:tc>
      </w:tr>
      <w:tr>
        <w:tc>
          <w:tcPr>
            <w:tcW w:type="dxa" w:w="2340"/>
          </w:tcPr>
          <w:p>
            <w:r>
              <w:t>**Overall Characterization**</w:t>
            </w:r>
          </w:p>
        </w:tc>
        <w:tc>
          <w:tcPr>
            <w:tcW w:type="dxa" w:w="2340"/>
          </w:tcPr>
          <w:p>
            <w:r>
              <w:t>Traditional Hierarchy</w:t>
            </w:r>
          </w:p>
        </w:tc>
        <w:tc>
          <w:tcPr>
            <w:tcW w:type="dxa" w:w="2340"/>
          </w:tcPr>
          <w:p>
            <w:r>
              <w:t>Hybrid Innovation</w:t>
            </w:r>
          </w:p>
        </w:tc>
        <w:tc>
          <w:tcPr>
            <w:tcW w:type="dxa" w:w="2340"/>
          </w:tcPr>
          <w:p>
            <w:r>
              <w:t>Disciplined Balance</w:t>
            </w:r>
          </w:p>
        </w:tc>
      </w:tr>
    </w:tbl>
    <w:p/>
    <w:p>
      <w:pPr>
        <w:jc w:val="both"/>
      </w:pPr>
      <w:r>
        <w:rPr>
          <w:rFonts w:ascii="Calibri" w:hAnsi="Calibri"/>
          <w:b/>
          <w:sz w:val="22"/>
        </w:rPr>
        <w:t>Key Insight:</w:t>
      </w:r>
      <w:r>
        <w:rPr>
          <w:rFonts w:ascii="Calibri" w:hAnsi="Calibri"/>
          <w:sz w:val="22"/>
        </w:rPr>
        <w:t xml:space="preserve"> Ford's management model evolution demonstrates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b/>
          <w:sz w:val="22"/>
        </w:rPr>
        <w:t>Table 5: Management Model Comparison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Dimension</w:t>
            </w:r>
          </w:p>
        </w:tc>
        <w:tc>
          <w:tcPr>
            <w:tcW w:type="dxa" w:w="1872"/>
            <w:shd w:fill="00095B"/>
          </w:tcPr>
          <w:p>
            <w:r>
              <w:rPr>
                <w:b/>
                <w:color w:val="FFFFFF"/>
              </w:rPr>
              <w:t>2020_Approach</w:t>
            </w:r>
          </w:p>
        </w:tc>
        <w:tc>
          <w:tcPr>
            <w:tcW w:type="dxa" w:w="1872"/>
            <w:shd w:fill="00095B"/>
          </w:tcPr>
          <w:p>
            <w:r>
              <w:rPr>
                <w:b/>
                <w:color w:val="FFFFFF"/>
              </w:rPr>
              <w:t>2021_Approach</w:t>
            </w:r>
          </w:p>
        </w:tc>
        <w:tc>
          <w:tcPr>
            <w:tcW w:type="dxa" w:w="1872"/>
            <w:shd w:fill="00095B"/>
          </w:tcPr>
          <w:p>
            <w:r>
              <w:rPr>
                <w:b/>
                <w:color w:val="FFFFFF"/>
              </w:rPr>
              <w:t>2022_2024_Approach</w:t>
            </w:r>
          </w:p>
        </w:tc>
        <w:tc>
          <w:tcPr>
            <w:tcW w:type="dxa" w:w="1872"/>
            <w:shd w:fill="00095B"/>
          </w:tcPr>
          <w:p>
            <w:r>
              <w:rPr>
                <w:b/>
                <w:color w:val="FFFFFF"/>
              </w:rPr>
              <w:t>2025_Evolution</w:t>
            </w:r>
          </w:p>
        </w:tc>
      </w:tr>
      <w:tr>
        <w:tc>
          <w:tcPr>
            <w:tcW w:type="dxa" w:w="1872"/>
          </w:tcPr>
          <w:p>
            <w:r>
              <w:t>Objectives</w:t>
            </w:r>
          </w:p>
        </w:tc>
        <w:tc>
          <w:tcPr>
            <w:tcW w:type="dxa" w:w="1872"/>
          </w:tcPr>
          <w:p>
            <w:r>
              <w:t>Goal Setting (short-term financial targets)</w:t>
            </w:r>
          </w:p>
        </w:tc>
        <w:tc>
          <w:tcPr>
            <w:tcW w:type="dxa" w:w="1872"/>
          </w:tcPr>
          <w:p>
            <w:r>
              <w:t>Hybrid (Ford+ vision + financial goals)</w:t>
            </w:r>
          </w:p>
        </w:tc>
        <w:tc>
          <w:tcPr>
            <w:tcW w:type="dxa" w:w="1872"/>
          </w:tcPr>
          <w:p>
            <w:r>
              <w:t>Obliquity (customer freedom, better world) + Targets</w:t>
            </w:r>
          </w:p>
        </w:tc>
        <w:tc>
          <w:tcPr>
            <w:tcW w:type="dxa" w:w="1872"/>
          </w:tcPr>
          <w:p>
            <w:r>
              <w:t>Goal Setting (cost, performance) + Vision</w:t>
            </w:r>
          </w:p>
        </w:tc>
      </w:tr>
      <w:tr>
        <w:tc>
          <w:tcPr>
            <w:tcW w:type="dxa" w:w="1872"/>
          </w:tcPr>
          <w:p>
            <w:r>
              <w:t>Motivation</w:t>
            </w:r>
          </w:p>
        </w:tc>
        <w:tc>
          <w:tcPr>
            <w:tcW w:type="dxa" w:w="1872"/>
          </w:tcPr>
          <w:p>
            <w:r>
              <w:t>Extrinsic (compensation, bonuses)</w:t>
            </w:r>
          </w:p>
        </w:tc>
        <w:tc>
          <w:tcPr>
            <w:tcW w:type="dxa" w:w="1872"/>
          </w:tcPr>
          <w:p>
            <w:r>
              <w:t>Balanced (purpose + compensation)</w:t>
            </w:r>
          </w:p>
        </w:tc>
        <w:tc>
          <w:tcPr>
            <w:tcW w:type="dxa" w:w="1872"/>
          </w:tcPr>
          <w:p>
            <w:r>
              <w:t>Intrinsic emphasis (innovation, purpose) + Extrinsic</w:t>
            </w:r>
          </w:p>
        </w:tc>
        <w:tc>
          <w:tcPr>
            <w:tcW w:type="dxa" w:w="1872"/>
          </w:tcPr>
          <w:p>
            <w:r>
              <w:t>Extrinsic (performance bonuses cut for underperformers)</w:t>
            </w:r>
          </w:p>
        </w:tc>
      </w:tr>
      <w:tr>
        <w:tc>
          <w:tcPr>
            <w:tcW w:type="dxa" w:w="1872"/>
          </w:tcPr>
          <w:p>
            <w:r>
              <w:t>Coordination</w:t>
            </w:r>
          </w:p>
        </w:tc>
        <w:tc>
          <w:tcPr>
            <w:tcW w:type="dxa" w:w="1872"/>
          </w:tcPr>
          <w:p>
            <w:r>
              <w:t>Bureaucracy (traditional OEM hierarchy)</w:t>
            </w:r>
          </w:p>
        </w:tc>
        <w:tc>
          <w:tcPr>
            <w:tcW w:type="dxa" w:w="1872"/>
          </w:tcPr>
          <w:p>
            <w:r>
              <w:t>Emerging (Ford+ signals change)</w:t>
            </w:r>
          </w:p>
        </w:tc>
        <w:tc>
          <w:tcPr>
            <w:tcW w:type="dxa" w:w="1872"/>
          </w:tcPr>
          <w:p>
            <w:r>
              <w:t>Emergence (business unit autonomy) + Coordination</w:t>
            </w:r>
          </w:p>
        </w:tc>
        <w:tc>
          <w:tcPr>
            <w:tcW w:type="dxa" w:w="1872"/>
          </w:tcPr>
          <w:p>
            <w:r>
              <w:t>Balanced (autonomy + accountability)</w:t>
            </w:r>
          </w:p>
        </w:tc>
      </w:tr>
      <w:tr>
        <w:tc>
          <w:tcPr>
            <w:tcW w:type="dxa" w:w="1872"/>
          </w:tcPr>
          <w:p>
            <w:r>
              <w:t>Decision Making</w:t>
            </w:r>
          </w:p>
        </w:tc>
        <w:tc>
          <w:tcPr>
            <w:tcW w:type="dxa" w:w="1872"/>
          </w:tcPr>
          <w:p>
            <w:r>
              <w:t>Hierarchy (top-down, CEO-driven)</w:t>
            </w:r>
          </w:p>
        </w:tc>
        <w:tc>
          <w:tcPr>
            <w:tcW w:type="dxa" w:w="1872"/>
          </w:tcPr>
          <w:p>
            <w:r>
              <w:t>Hierarchy with consultation</w:t>
            </w:r>
          </w:p>
        </w:tc>
        <w:tc>
          <w:tcPr>
            <w:tcW w:type="dxa" w:w="1872"/>
          </w:tcPr>
          <w:p>
            <w:r>
              <w:t>Collective Wisdom (unit leaders) + Executive oversight</w:t>
            </w:r>
          </w:p>
        </w:tc>
        <w:tc>
          <w:tcPr>
            <w:tcW w:type="dxa" w:w="1872"/>
          </w:tcPr>
          <w:p>
            <w:r>
              <w:t>Strategic centralization (Gjaja CSO, Lawler strategy)</w:t>
            </w:r>
          </w:p>
        </w:tc>
      </w:tr>
    </w:tbl>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b/>
          <w:sz w:val="22"/>
        </w:rPr>
        <w:t>Strategic Pillars:</w:t>
      </w:r>
    </w:p>
    <w:p>
      <w:pPr>
        <w:jc w:val="both"/>
      </w:pPr>
      <w:r>
        <w:rPr>
          <w:rFonts w:ascii="Calibri" w:hAnsi="Calibri"/>
          <w:sz w:val="22"/>
        </w:rPr>
        <w:t xml:space="preserve">1. </w:t>
      </w:r>
      <w:r>
        <w:rPr>
          <w:rFonts w:ascii="Calibri" w:hAnsi="Calibri"/>
          <w:b/>
          <w:sz w:val="22"/>
        </w:rPr>
        <w:t>Existing Strengths</w:t>
      </w:r>
      <w:r>
        <w:rPr>
          <w:rFonts w:ascii="Calibri" w:hAnsi="Calibri"/>
          <w:sz w:val="22"/>
        </w:rPr>
        <w:t>: Iconic brands (F-150 best-selling vehicle 47 years), manufacturing scale (4.5M units), dealer network (9,006 dealerships)</w:t>
      </w:r>
    </w:p>
    <w:p>
      <w:pPr>
        <w:jc w:val="both"/>
      </w:pPr>
      <w:r>
        <w:rPr>
          <w:rFonts w:ascii="Calibri" w:hAnsi="Calibri"/>
          <w:sz w:val="22"/>
        </w:rPr>
        <w:t xml:space="preserve">2. </w:t>
      </w:r>
      <w:r>
        <w:rPr>
          <w:rFonts w:ascii="Calibri" w:hAnsi="Calibri"/>
          <w:b/>
          <w:sz w:val="22"/>
        </w:rPr>
        <w:t>New Capabilities</w:t>
      </w:r>
      <w:r>
        <w:rPr>
          <w:rFonts w:ascii="Calibri" w:hAnsi="Calibri"/>
          <w:sz w:val="22"/>
        </w:rPr>
        <w:t>: Software platforms, connectivity, EV technology, subscription services</w:t>
      </w:r>
    </w:p>
    <w:p>
      <w:pPr>
        <w:jc w:val="both"/>
      </w:pPr>
      <w:r>
        <w:rPr>
          <w:rFonts w:ascii="Calibri" w:hAnsi="Calibri"/>
          <w:sz w:val="22"/>
        </w:rPr>
        <w:t xml:space="preserve">3. </w:t>
      </w:r>
      <w:r>
        <w:rPr>
          <w:rFonts w:ascii="Calibri" w:hAnsi="Calibri"/>
          <w:b/>
          <w:sz w:val="22"/>
        </w:rPr>
        <w:t>Always-On Relationships</w:t>
      </w:r>
      <w:r>
        <w:rPr>
          <w:rFonts w:ascii="Calibri" w:hAnsi="Calibri"/>
          <w:sz w:val="22"/>
        </w:rPr>
        <w:t>: FordPass app, over-the-air updates, fleet telematics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w:t>
      </w:r>
    </w:p>
    <w:p>
      <w:pPr>
        <w:jc w:val="both"/>
      </w:pPr>
      <w:r>
        <w:rPr>
          <w:rFonts w:ascii="Calibri" w:hAnsi="Calibri"/>
          <w:sz w:val="22"/>
        </w:rPr>
        <w:t xml:space="preserve">- </w:t>
      </w:r>
      <w:r>
        <w:rPr>
          <w:rFonts w:ascii="Calibri" w:hAnsi="Calibri"/>
          <w:b/>
          <w:sz w:val="22"/>
        </w:rPr>
        <w:t>Sherry House (CFO)</w:t>
      </w:r>
      <w:r>
        <w:rPr>
          <w:rFonts w:ascii="Calibri" w:hAnsi="Calibri"/>
          <w:sz w:val="22"/>
        </w:rPr>
        <w:t>: External investment banking experience brings fresh financial perspective beyond traditional automotive finance</w:t>
      </w:r>
    </w:p>
    <w:p>
      <w:pPr>
        <w:jc w:val="both"/>
      </w:pPr>
      <w:r>
        <w:rPr>
          <w:rFonts w:ascii="Calibri" w:hAnsi="Calibri"/>
          <w:sz w:val="22"/>
        </w:rPr>
        <w:t xml:space="preserve">- </w:t>
      </w:r>
      <w:r>
        <w:rPr>
          <w:rFonts w:ascii="Calibri" w:hAnsi="Calibri"/>
          <w:b/>
          <w:sz w:val="22"/>
        </w:rPr>
        <w:t>Marin Gjaja (CSO)</w:t>
      </w:r>
      <w:r>
        <w:rPr>
          <w:rFonts w:ascii="Calibri" w:hAnsi="Calibri"/>
          <w:sz w:val="22"/>
        </w:rPr>
        <w:t>: 25 years at Boston Consulting Group provides world-class strategy capability</w:t>
      </w:r>
    </w:p>
    <w:p>
      <w:pPr>
        <w:jc w:val="both"/>
      </w:pPr>
      <w:r>
        <w:rPr>
          <w:rFonts w:ascii="Calibri" w:hAnsi="Calibri"/>
          <w:sz w:val="22"/>
        </w:rPr>
        <w:t xml:space="preserve">- </w:t>
      </w:r>
      <w:r>
        <w:rPr>
          <w:rFonts w:ascii="Calibri" w:hAnsi="Calibri"/>
          <w:b/>
          <w:sz w:val="22"/>
        </w:rPr>
        <w:t>John Lawler (Vice Chair-Strategy)</w:t>
      </w:r>
      <w:r>
        <w:rPr>
          <w:rFonts w:ascii="Calibri" w:hAnsi="Calibri"/>
          <w:sz w:val="22"/>
        </w:rPr>
        <w:t>: Long Ford tenure provides institutional knowledge, balancing external expertise with internal continuity</w:t>
      </w:r>
    </w:p>
    <w:p>
      <w:pPr>
        <w:jc w:val="both"/>
      </w:pPr>
      <w:r>
        <w:rPr>
          <w:rFonts w:ascii="Calibri" w:hAnsi="Calibri"/>
          <w:b/>
          <w:sz w:val="22"/>
        </w:rPr>
        <w:t>Leadership Challenges:</w:t>
      </w:r>
      <w:r>
        <w:rPr>
          <w:rFonts w:ascii="Calibri" w:hAnsi="Calibri"/>
          <w:sz w:val="22"/>
        </w:rPr>
        <w:t xml:space="preserve"> Rapid C-suite changes (six major roles, February 2025) create uncertainty. The 2023 UAW strike (46 days) indicates labor-management tensions despite transformation rhetoric (The Detroit News, 2024).</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(2021)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w:t>
      </w:r>
    </w:p>
    <w:p>
      <w:pPr>
        <w:jc w:val="both"/>
      </w:pPr>
      <w:r>
        <w:rPr>
          <w:rFonts w:ascii="Calibri" w:hAnsi="Calibri"/>
          <w:b/>
          <w:sz w:val="22"/>
        </w:rPr>
        <w:t>Performance Measurement Systems:</w:t>
      </w:r>
    </w:p>
    <w:p>
      <w:pPr>
        <w:jc w:val="both"/>
      </w:pPr>
      <w:r>
        <w:rPr>
          <w:rFonts w:ascii="Calibri" w:hAnsi="Calibri"/>
          <w:sz w:val="22"/>
        </w:rPr>
        <w:t xml:space="preserve">- </w:t>
      </w:r>
      <w:r>
        <w:rPr>
          <w:rFonts w:ascii="Calibri" w:hAnsi="Calibri"/>
          <w:b/>
          <w:sz w:val="22"/>
        </w:rPr>
        <w:t>Business Unit Dashboards</w:t>
      </w:r>
      <w:r>
        <w:rPr>
          <w:rFonts w:ascii="Calibri" w:hAnsi="Calibri"/>
          <w:sz w:val="22"/>
        </w:rPr>
        <w:t>: EBIT, margins, subscription revenue, customer retention</w:t>
      </w:r>
    </w:p>
    <w:p>
      <w:pPr>
        <w:jc w:val="both"/>
      </w:pPr>
      <w:r>
        <w:rPr>
          <w:rFonts w:ascii="Calibri" w:hAnsi="Calibri"/>
          <w:sz w:val="22"/>
        </w:rPr>
        <w:t xml:space="preserve">- </w:t>
      </w:r>
      <w:r>
        <w:rPr>
          <w:rFonts w:ascii="Calibri" w:hAnsi="Calibri"/>
          <w:b/>
          <w:sz w:val="22"/>
        </w:rPr>
        <w:t>Corporate KPIs</w:t>
      </w:r>
      <w:r>
        <w:rPr>
          <w:rFonts w:ascii="Calibri" w:hAnsi="Calibri"/>
          <w:sz w:val="22"/>
        </w:rPr>
        <w:t>: Revenue, EBIT, net income, free cash flow, ROIC, market share, customer satisfaction</w:t>
      </w:r>
    </w:p>
    <w:p>
      <w:pPr>
        <w:jc w:val="both"/>
      </w:pPr>
      <w:r>
        <w:rPr>
          <w:rFonts w:ascii="Calibri" w:hAnsi="Calibri"/>
          <w:sz w:val="22"/>
        </w:rPr>
        <w:t xml:space="preserve">- </w:t>
      </w:r>
      <w:r>
        <w:rPr>
          <w:rFonts w:ascii="Calibri" w:hAnsi="Calibri"/>
          <w:b/>
          <w:sz w:val="22"/>
        </w:rPr>
        <w:t>Real-Time Tracking</w:t>
      </w:r>
      <w:r>
        <w:rPr>
          <w:rFonts w:ascii="Calibri" w:hAnsi="Calibri"/>
          <w:sz w:val="22"/>
        </w:rPr>
        <w:t>: Manufacturing KPIs, dealer inventory, sales data</w:t>
      </w:r>
    </w:p>
    <w:p>
      <w:pPr>
        <w:jc w:val="both"/>
      </w:pPr>
      <w:r>
        <w:rPr>
          <w:rFonts w:ascii="Calibri" w:hAnsi="Calibri"/>
          <w:sz w:val="22"/>
        </w:rPr>
        <w:t xml:space="preserve">- </w:t>
      </w:r>
      <w:r>
        <w:rPr>
          <w:rFonts w:ascii="Calibri" w:hAnsi="Calibri"/>
          <w:b/>
          <w:sz w:val="22"/>
        </w:rPr>
        <w:t>Quarterly/Annual Cadence</w:t>
      </w:r>
      <w:r>
        <w:rPr>
          <w:rFonts w:ascii="Calibri" w:hAnsi="Calibri"/>
          <w:sz w:val="22"/>
        </w:rPr>
        <w:t>: Earnings calls with detailed segment breakdowns</w:t>
      </w:r>
    </w:p>
    <w:p>
      <w:pPr>
        <w:jc w:val="both"/>
      </w:pPr>
      <w:r>
        <w:rPr>
          <w:rFonts w:ascii="Calibri" w:hAnsi="Calibri"/>
          <w:b/>
          <w:sz w:val="22"/>
        </w:rPr>
        <w:t>Performance Gaps:</w:t>
      </w:r>
      <w:r>
        <w:rPr>
          <w:rFonts w:ascii="Calibri" w:hAnsi="Calibri"/>
          <w:sz w:val="22"/>
        </w:rPr>
        <w:t xml:space="preserve"> No public employee engagement metrics; EV profitability path timeline unclear.</w:t>
      </w:r>
    </w:p>
    <w:p>
      <w:pPr>
        <w:jc w:val="both"/>
      </w:pPr>
      <w:r>
        <w:rPr>
          <w:rFonts w:ascii="Calibri" w:hAnsi="Calibri"/>
          <w:b/>
          <w:sz w:val="22"/>
        </w:rPr>
        <w:t>Score Rationale:</w:t>
      </w:r>
      <w:r>
        <w:rPr>
          <w:rFonts w:ascii="Calibri" w:hAnsi="Calibri"/>
          <w:sz w:val="22"/>
        </w:rPr>
        <w:t xml:space="preserve"> Excellent measurement systems and transparency, but strategic gaps (engagement metrics, EV timeline) prevent excellent rating.</w:t>
      </w:r>
    </w:p>
    <w:p>
      <w:pPr>
        <w:pStyle w:val="Heading2"/>
      </w:pPr>
      <w:r>
        <w:rPr>
          <w:rFonts w:ascii="Calibri" w:hAnsi="Calibri"/>
          <w:color w:val="003478"/>
        </w:rPr>
        <w:t>Key Performance Indicators (2020-2024)</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Metric</w:t>
            </w:r>
          </w:p>
        </w:tc>
        <w:tc>
          <w:tcPr>
            <w:tcW w:type="dxa" w:w="1872"/>
            <w:shd w:fill="00095B"/>
          </w:tcPr>
          <w:p>
            <w:r>
              <w:rPr>
                <w:b/>
                <w:color w:val="FFFFFF"/>
              </w:rPr>
              <w:t>2020</w:t>
            </w:r>
          </w:p>
        </w:tc>
        <w:tc>
          <w:tcPr>
            <w:tcW w:type="dxa" w:w="1872"/>
            <w:shd w:fill="00095B"/>
          </w:tcPr>
          <w:p>
            <w:r>
              <w:rPr>
                <w:b/>
                <w:color w:val="FFFFFF"/>
              </w:rPr>
              <w:t>2024</w:t>
            </w:r>
          </w:p>
        </w:tc>
        <w:tc>
          <w:tcPr>
            <w:tcW w:type="dxa" w:w="1872"/>
            <w:shd w:fill="00095B"/>
          </w:tcPr>
          <w:p>
            <w:r>
              <w:rPr>
                <w:b/>
                <w:color w:val="FFFFFF"/>
              </w:rPr>
              <w:t>Change</w:t>
            </w:r>
          </w:p>
        </w:tc>
        <w:tc>
          <w:tcPr>
            <w:tcW w:type="dxa" w:w="1872"/>
            <w:shd w:fill="00095B"/>
          </w:tcPr>
          <w:p>
            <w:r>
              <w:rPr>
                <w:b/>
                <w:color w:val="FFFFFF"/>
              </w:rPr>
              <w:t>Assessment</w:t>
            </w:r>
          </w:p>
        </w:tc>
      </w:tr>
      <w:tr>
        <w:tc>
          <w:tcPr>
            <w:tcW w:type="dxa" w:w="1872"/>
          </w:tcPr>
          <w:p>
            <w:r>
              <w:t>Revenue ($B)</w:t>
            </w:r>
          </w:p>
        </w:tc>
        <w:tc>
          <w:tcPr>
            <w:tcW w:type="dxa" w:w="1872"/>
          </w:tcPr>
          <w:p>
            <w:r>
              <w:t>127.1</w:t>
            </w:r>
          </w:p>
        </w:tc>
        <w:tc>
          <w:tcPr>
            <w:tcW w:type="dxa" w:w="1872"/>
          </w:tcPr>
          <w:p>
            <w:r>
              <w:t>185.0</w:t>
            </w:r>
          </w:p>
        </w:tc>
        <w:tc>
          <w:tcPr>
            <w:tcW w:type="dxa" w:w="1872"/>
          </w:tcPr>
          <w:p>
            <w:r>
              <w:t>+45.6%</w:t>
            </w:r>
          </w:p>
        </w:tc>
        <w:tc>
          <w:tcPr>
            <w:tcW w:type="dxa" w:w="1872"/>
          </w:tcPr>
          <w:p>
            <w:r>
              <w:t>✓ Excellent</w:t>
            </w:r>
          </w:p>
        </w:tc>
      </w:tr>
      <w:tr>
        <w:tc>
          <w:tcPr>
            <w:tcW w:type="dxa" w:w="1872"/>
          </w:tcPr>
          <w:p>
            <w:r>
              <w:t>EBIT ($B)</w:t>
            </w:r>
          </w:p>
        </w:tc>
        <w:tc>
          <w:tcPr>
            <w:tcW w:type="dxa" w:w="1872"/>
          </w:tcPr>
          <w:p>
            <w:r>
              <w:t>-2.9</w:t>
            </w:r>
          </w:p>
        </w:tc>
        <w:tc>
          <w:tcPr>
            <w:tcW w:type="dxa" w:w="1872"/>
          </w:tcPr>
          <w:p>
            <w:r>
              <w:t>11.3</w:t>
            </w:r>
          </w:p>
        </w:tc>
        <w:tc>
          <w:tcPr>
            <w:tcW w:type="dxa" w:w="1872"/>
          </w:tcPr>
          <w:p>
            <w:r>
              <w:t>Positive swing</w:t>
            </w:r>
          </w:p>
        </w:tc>
        <w:tc>
          <w:tcPr>
            <w:tcW w:type="dxa" w:w="1872"/>
          </w:tcPr>
          <w:p>
            <w:r>
              <w:t>✓ Strong recovery</w:t>
            </w:r>
          </w:p>
        </w:tc>
      </w:tr>
      <w:tr>
        <w:tc>
          <w:tcPr>
            <w:tcW w:type="dxa" w:w="1872"/>
          </w:tcPr>
          <w:p>
            <w:r>
              <w:t>Net Income ($B)</w:t>
            </w:r>
          </w:p>
        </w:tc>
        <w:tc>
          <w:tcPr>
            <w:tcW w:type="dxa" w:w="1872"/>
          </w:tcPr>
          <w:p>
            <w:r>
              <w:t>-1.3</w:t>
            </w:r>
          </w:p>
        </w:tc>
        <w:tc>
          <w:tcPr>
            <w:tcW w:type="dxa" w:w="1872"/>
          </w:tcPr>
          <w:p>
            <w:r>
              <w:t>6.6</w:t>
            </w:r>
          </w:p>
        </w:tc>
        <w:tc>
          <w:tcPr>
            <w:tcW w:type="dxa" w:w="1872"/>
          </w:tcPr>
          <w:p>
            <w:r>
              <w:t>Positive swing</w:t>
            </w:r>
          </w:p>
        </w:tc>
        <w:tc>
          <w:tcPr>
            <w:tcW w:type="dxa" w:w="1872"/>
          </w:tcPr>
          <w:p>
            <w:r>
              <w:t>✓ Profitable</w:t>
            </w:r>
          </w:p>
        </w:tc>
      </w:tr>
      <w:tr>
        <w:tc>
          <w:tcPr>
            <w:tcW w:type="dxa" w:w="1872"/>
          </w:tcPr>
          <w:p>
            <w:r>
              <w:t>R&amp;D Spending ($B)</w:t>
            </w:r>
          </w:p>
        </w:tc>
        <w:tc>
          <w:tcPr>
            <w:tcW w:type="dxa" w:w="1872"/>
          </w:tcPr>
          <w:p>
            <w:r>
              <w:t>6.7</w:t>
            </w:r>
          </w:p>
        </w:tc>
        <w:tc>
          <w:tcPr>
            <w:tcW w:type="dxa" w:w="1872"/>
          </w:tcPr>
          <w:p>
            <w:r>
              <w:t>8.5</w:t>
            </w:r>
          </w:p>
        </w:tc>
        <w:tc>
          <w:tcPr>
            <w:tcW w:type="dxa" w:w="1872"/>
          </w:tcPr>
          <w:p>
            <w:r>
              <w:t>+26.9%</w:t>
            </w:r>
          </w:p>
        </w:tc>
        <w:tc>
          <w:tcPr>
            <w:tcW w:type="dxa" w:w="1872"/>
          </w:tcPr>
          <w:p>
            <w:r>
              <w:t>✓ Innovation investment</w:t>
            </w:r>
          </w:p>
        </w:tc>
      </w:tr>
      <w:tr>
        <w:tc>
          <w:tcPr>
            <w:tcW w:type="dxa" w:w="1872"/>
          </w:tcPr>
          <w:p>
            <w:r>
              <w:t>U.S. Market Share (%)</w:t>
            </w:r>
          </w:p>
        </w:tc>
        <w:tc>
          <w:tcPr>
            <w:tcW w:type="dxa" w:w="1872"/>
          </w:tcPr>
          <w:p>
            <w:r>
              <w:t>13.2</w:t>
            </w:r>
          </w:p>
        </w:tc>
        <w:tc>
          <w:tcPr>
            <w:tcW w:type="dxa" w:w="1872"/>
          </w:tcPr>
          <w:p>
            <w:r>
              <w:t>14.2</w:t>
            </w:r>
          </w:p>
        </w:tc>
        <w:tc>
          <w:tcPr>
            <w:tcW w:type="dxa" w:w="1872"/>
          </w:tcPr>
          <w:p>
            <w:r>
              <w:t>+1.0 pts</w:t>
            </w:r>
          </w:p>
        </w:tc>
        <w:tc>
          <w:tcPr>
            <w:tcW w:type="dxa" w:w="1872"/>
          </w:tcPr>
          <w:p>
            <w:r>
              <w:t>✓ Growing</w:t>
            </w:r>
          </w:p>
        </w:tc>
      </w:tr>
      <w:tr>
        <w:tc>
          <w:tcPr>
            <w:tcW w:type="dxa" w:w="1872"/>
          </w:tcPr>
          <w:p>
            <w:r>
              <w:t>Employees (thousands)</w:t>
            </w:r>
          </w:p>
        </w:tc>
        <w:tc>
          <w:tcPr>
            <w:tcW w:type="dxa" w:w="1872"/>
          </w:tcPr>
          <w:p>
            <w:r>
              <w:t>186</w:t>
            </w:r>
          </w:p>
        </w:tc>
        <w:tc>
          <w:tcPr>
            <w:tcW w:type="dxa" w:w="1872"/>
          </w:tcPr>
          <w:p>
            <w:r>
              <w:t>171</w:t>
            </w:r>
          </w:p>
        </w:tc>
        <w:tc>
          <w:tcPr>
            <w:tcW w:type="dxa" w:w="1872"/>
          </w:tcPr>
          <w:p>
            <w:r>
              <w:t>-8.1%</w:t>
            </w:r>
          </w:p>
        </w:tc>
        <w:tc>
          <w:tcPr>
            <w:tcW w:type="dxa" w:w="1872"/>
          </w:tcPr>
          <w:p>
            <w:r>
              <w:t>✗ Workforce reduction</w:t>
            </w:r>
          </w:p>
        </w:tc>
      </w:tr>
      <w:tr>
        <w:tc>
          <w:tcPr>
            <w:tcW w:type="dxa" w:w="1872"/>
          </w:tcPr>
          <w:p>
            <w:r>
              <w:t>Wholesale Units (M)</w:t>
            </w:r>
          </w:p>
        </w:tc>
        <w:tc>
          <w:tcPr>
            <w:tcW w:type="dxa" w:w="1872"/>
          </w:tcPr>
          <w:p>
            <w:r>
              <w:t>4.2</w:t>
            </w:r>
          </w:p>
        </w:tc>
        <w:tc>
          <w:tcPr>
            <w:tcW w:type="dxa" w:w="1872"/>
          </w:tcPr>
          <w:p>
            <w:r>
              <w:t>4.5</w:t>
            </w:r>
          </w:p>
        </w:tc>
        <w:tc>
          <w:tcPr>
            <w:tcW w:type="dxa" w:w="1872"/>
          </w:tcPr>
          <w:p>
            <w:r>
              <w:t>+7.1%</w:t>
            </w:r>
          </w:p>
        </w:tc>
        <w:tc>
          <w:tcPr>
            <w:tcW w:type="dxa" w:w="1872"/>
          </w:tcPr>
          <w:p>
            <w:r>
              <w:t>✓ Volume growth</w:t>
            </w:r>
          </w:p>
        </w:tc>
      </w:tr>
    </w:tbl>
    <w:p/>
    <w:p>
      <w:pPr>
        <w:jc w:val="both"/>
      </w:pPr>
      <w:r>
        <w:rPr>
          <w:rFonts w:ascii="Calibri" w:hAnsi="Calibri"/>
          <w:sz w:val="22"/>
        </w:rPr>
        <w:t>*Source: Ford Motor Company 10-K Reports, 2021-2025*</w:t>
      </w:r>
    </w:p>
    <w:p>
      <w:pPr>
        <w:jc w:val="both"/>
      </w:pPr>
      <w:r>
        <w:rPr>
          <w:rFonts w:ascii="Calibri" w:hAnsi="Calibri"/>
          <w:b/>
          <w:sz w:val="22"/>
        </w:rPr>
        <w:t>Table 4: Key Performance Indicators (2020-2024)</w:t>
      </w:r>
    </w:p>
    <w:tbl>
      <w:tblPr>
        <w:tblStyle w:val="LightGrid-Accent1"/>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shd w:fill="00095B"/>
          </w:tcPr>
          <w:p>
            <w:r>
              <w:rPr>
                <w:b/>
                <w:color w:val="FFFFFF"/>
              </w:rPr>
              <w:t>Year</w:t>
            </w:r>
          </w:p>
        </w:tc>
        <w:tc>
          <w:tcPr>
            <w:tcW w:type="dxa" w:w="1170"/>
            <w:shd w:fill="00095B"/>
          </w:tcPr>
          <w:p>
            <w:r>
              <w:rPr>
                <w:b/>
                <w:color w:val="FFFFFF"/>
              </w:rPr>
              <w:t>Revenue_Billions</w:t>
            </w:r>
          </w:p>
        </w:tc>
        <w:tc>
          <w:tcPr>
            <w:tcW w:type="dxa" w:w="1170"/>
            <w:shd w:fill="00095B"/>
          </w:tcPr>
          <w:p>
            <w:r>
              <w:rPr>
                <w:b/>
                <w:color w:val="FFFFFF"/>
              </w:rPr>
              <w:t>Net_Income_Millions</w:t>
            </w:r>
          </w:p>
        </w:tc>
        <w:tc>
          <w:tcPr>
            <w:tcW w:type="dxa" w:w="1170"/>
            <w:shd w:fill="00095B"/>
          </w:tcPr>
          <w:p>
            <w:r>
              <w:rPr>
                <w:b/>
                <w:color w:val="FFFFFF"/>
              </w:rPr>
              <w:t>EBIT_Millions</w:t>
            </w:r>
          </w:p>
        </w:tc>
        <w:tc>
          <w:tcPr>
            <w:tcW w:type="dxa" w:w="1170"/>
            <w:shd w:fill="00095B"/>
          </w:tcPr>
          <w:p>
            <w:r>
              <w:rPr>
                <w:b/>
                <w:color w:val="FFFFFF"/>
              </w:rPr>
              <w:t>RD_Spending_Billions</w:t>
            </w:r>
          </w:p>
        </w:tc>
        <w:tc>
          <w:tcPr>
            <w:tcW w:type="dxa" w:w="1170"/>
            <w:shd w:fill="00095B"/>
          </w:tcPr>
          <w:p>
            <w:r>
              <w:rPr>
                <w:b/>
                <w:color w:val="FFFFFF"/>
              </w:rPr>
              <w:t>Market_Share_US_Percent</w:t>
            </w:r>
          </w:p>
        </w:tc>
        <w:tc>
          <w:tcPr>
            <w:tcW w:type="dxa" w:w="1170"/>
            <w:shd w:fill="00095B"/>
          </w:tcPr>
          <w:p>
            <w:r>
              <w:rPr>
                <w:b/>
                <w:color w:val="FFFFFF"/>
              </w:rPr>
              <w:t>Employee_Count_Thousands</w:t>
            </w:r>
          </w:p>
        </w:tc>
        <w:tc>
          <w:tcPr>
            <w:tcW w:type="dxa" w:w="1170"/>
            <w:shd w:fill="00095B"/>
          </w:tcPr>
          <w:p>
            <w:r>
              <w:rPr>
                <w:b/>
                <w:color w:val="FFFFFF"/>
              </w:rPr>
              <w:t>Wholesale_Units_Millions</w:t>
            </w:r>
          </w:p>
        </w:tc>
      </w:tr>
      <w:tr>
        <w:tc>
          <w:tcPr>
            <w:tcW w:type="dxa" w:w="1170"/>
          </w:tcPr>
          <w:p>
            <w:r>
              <w:t>2020</w:t>
            </w:r>
          </w:p>
        </w:tc>
        <w:tc>
          <w:tcPr>
            <w:tcW w:type="dxa" w:w="1170"/>
          </w:tcPr>
          <w:p>
            <w:r>
              <w:t>127.1</w:t>
            </w:r>
          </w:p>
        </w:tc>
        <w:tc>
          <w:tcPr>
            <w:tcW w:type="dxa" w:w="1170"/>
          </w:tcPr>
          <w:p>
            <w:r>
              <w:t>-1279</w:t>
            </w:r>
          </w:p>
        </w:tc>
        <w:tc>
          <w:tcPr>
            <w:tcW w:type="dxa" w:w="1170"/>
          </w:tcPr>
          <w:p>
            <w:r>
              <w:t>-2874</w:t>
            </w:r>
          </w:p>
        </w:tc>
        <w:tc>
          <w:tcPr>
            <w:tcW w:type="dxa" w:w="1170"/>
          </w:tcPr>
          <w:p>
            <w:r>
              <w:t>6.7</w:t>
            </w:r>
          </w:p>
        </w:tc>
        <w:tc>
          <w:tcPr>
            <w:tcW w:type="dxa" w:w="1170"/>
          </w:tcPr>
          <w:p>
            <w:r>
              <w:t>13.2</w:t>
            </w:r>
          </w:p>
        </w:tc>
        <w:tc>
          <w:tcPr>
            <w:tcW w:type="dxa" w:w="1170"/>
          </w:tcPr>
          <w:p>
            <w:r>
              <w:t>186</w:t>
            </w:r>
          </w:p>
        </w:tc>
        <w:tc>
          <w:tcPr>
            <w:tcW w:type="dxa" w:w="1170"/>
          </w:tcPr>
          <w:p>
            <w:r>
              <w:t>4.2</w:t>
            </w:r>
          </w:p>
        </w:tc>
      </w:tr>
      <w:tr>
        <w:tc>
          <w:tcPr>
            <w:tcW w:type="dxa" w:w="1170"/>
          </w:tcPr>
          <w:p>
            <w:r>
              <w:t>2021</w:t>
            </w:r>
          </w:p>
        </w:tc>
        <w:tc>
          <w:tcPr>
            <w:tcW w:type="dxa" w:w="1170"/>
          </w:tcPr>
          <w:p>
            <w:r>
              <w:t>136.3</w:t>
            </w:r>
          </w:p>
        </w:tc>
        <w:tc>
          <w:tcPr>
            <w:tcW w:type="dxa" w:w="1170"/>
          </w:tcPr>
          <w:p>
            <w:r>
              <w:t>17900</w:t>
            </w:r>
          </w:p>
        </w:tc>
        <w:tc>
          <w:tcPr>
            <w:tcW w:type="dxa" w:w="1170"/>
          </w:tcPr>
          <w:p>
            <w:r>
              <w:t>10466</w:t>
            </w:r>
          </w:p>
        </w:tc>
        <w:tc>
          <w:tcPr>
            <w:tcW w:type="dxa" w:w="1170"/>
          </w:tcPr>
          <w:p>
            <w:r>
              <w:t>7.0</w:t>
            </w:r>
          </w:p>
        </w:tc>
        <w:tc>
          <w:tcPr>
            <w:tcW w:type="dxa" w:w="1170"/>
          </w:tcPr>
          <w:p>
            <w:r>
              <w:t>13.4</w:t>
            </w:r>
          </w:p>
        </w:tc>
        <w:tc>
          <w:tcPr>
            <w:tcW w:type="dxa" w:w="1170"/>
          </w:tcPr>
          <w:p>
            <w:r>
              <w:t>183</w:t>
            </w:r>
          </w:p>
        </w:tc>
        <w:tc>
          <w:tcPr>
            <w:tcW w:type="dxa" w:w="1170"/>
          </w:tcPr>
          <w:p>
            <w:r>
              <w:t>4.0</w:t>
            </w:r>
          </w:p>
        </w:tc>
      </w:tr>
      <w:tr>
        <w:tc>
          <w:tcPr>
            <w:tcW w:type="dxa" w:w="1170"/>
          </w:tcPr>
          <w:p>
            <w:r>
              <w:t>2022</w:t>
            </w:r>
          </w:p>
        </w:tc>
        <w:tc>
          <w:tcPr>
            <w:tcW w:type="dxa" w:w="1170"/>
          </w:tcPr>
          <w:p>
            <w:r>
              <w:t>156.2</w:t>
            </w:r>
          </w:p>
        </w:tc>
        <w:tc>
          <w:tcPr>
            <w:tcW w:type="dxa" w:w="1170"/>
          </w:tcPr>
          <w:p>
            <w:r>
              <w:t>1981</w:t>
            </w:r>
          </w:p>
        </w:tc>
        <w:tc>
          <w:tcPr>
            <w:tcW w:type="dxa" w:w="1170"/>
          </w:tcPr>
          <w:p>
            <w:r>
              <w:t>10900</w:t>
            </w:r>
          </w:p>
        </w:tc>
        <w:tc>
          <w:tcPr>
            <w:tcW w:type="dxa" w:w="1170"/>
          </w:tcPr>
          <w:p>
            <w:r>
              <w:t>7.6</w:t>
            </w:r>
          </w:p>
        </w:tc>
        <w:tc>
          <w:tcPr>
            <w:tcW w:type="dxa" w:w="1170"/>
          </w:tcPr>
          <w:p>
            <w:r>
              <w:t>13.6</w:t>
            </w:r>
          </w:p>
        </w:tc>
        <w:tc>
          <w:tcPr>
            <w:tcW w:type="dxa" w:w="1170"/>
          </w:tcPr>
          <w:p>
            <w:r>
              <w:t>173</w:t>
            </w:r>
          </w:p>
        </w:tc>
        <w:tc>
          <w:tcPr>
            <w:tcW w:type="dxa" w:w="1170"/>
          </w:tcPr>
          <w:p>
            <w:r>
              <w:t>4.2</w:t>
            </w:r>
          </w:p>
        </w:tc>
      </w:tr>
      <w:tr>
        <w:tc>
          <w:tcPr>
            <w:tcW w:type="dxa" w:w="1170"/>
          </w:tcPr>
          <w:p>
            <w:r>
              <w:t>2023</w:t>
            </w:r>
          </w:p>
        </w:tc>
        <w:tc>
          <w:tcPr>
            <w:tcW w:type="dxa" w:w="1170"/>
          </w:tcPr>
          <w:p>
            <w:r>
              <w:t>176.2</w:t>
            </w:r>
          </w:p>
        </w:tc>
        <w:tc>
          <w:tcPr>
            <w:tcW w:type="dxa" w:w="1170"/>
          </w:tcPr>
          <w:p>
            <w:r>
              <w:t>4300</w:t>
            </w:r>
          </w:p>
        </w:tc>
        <w:tc>
          <w:tcPr>
            <w:tcW w:type="dxa" w:w="1170"/>
          </w:tcPr>
          <w:p>
            <w:r>
              <w:t>11200</w:t>
            </w:r>
          </w:p>
        </w:tc>
        <w:tc>
          <w:tcPr>
            <w:tcW w:type="dxa" w:w="1170"/>
          </w:tcPr>
          <w:p>
            <w:r>
              <w:t>8.2</w:t>
            </w:r>
          </w:p>
        </w:tc>
        <w:tc>
          <w:tcPr>
            <w:tcW w:type="dxa" w:w="1170"/>
          </w:tcPr>
          <w:p>
            <w:r>
              <w:t>13.9</w:t>
            </w:r>
          </w:p>
        </w:tc>
        <w:tc>
          <w:tcPr>
            <w:tcW w:type="dxa" w:w="1170"/>
          </w:tcPr>
          <w:p>
            <w:r>
              <w:t>177</w:t>
            </w:r>
          </w:p>
        </w:tc>
        <w:tc>
          <w:tcPr>
            <w:tcW w:type="dxa" w:w="1170"/>
          </w:tcPr>
          <w:p>
            <w:r>
              <w:t>4.4</w:t>
            </w:r>
          </w:p>
        </w:tc>
      </w:tr>
      <w:tr>
        <w:tc>
          <w:tcPr>
            <w:tcW w:type="dxa" w:w="1170"/>
          </w:tcPr>
          <w:p>
            <w:r>
              <w:t>2024</w:t>
            </w:r>
          </w:p>
        </w:tc>
        <w:tc>
          <w:tcPr>
            <w:tcW w:type="dxa" w:w="1170"/>
          </w:tcPr>
          <w:p>
            <w:r>
              <w:t>185.0</w:t>
            </w:r>
          </w:p>
        </w:tc>
        <w:tc>
          <w:tcPr>
            <w:tcW w:type="dxa" w:w="1170"/>
          </w:tcPr>
          <w:p>
            <w:r>
              <w:t>6600</w:t>
            </w:r>
          </w:p>
        </w:tc>
        <w:tc>
          <w:tcPr>
            <w:tcW w:type="dxa" w:w="1170"/>
          </w:tcPr>
          <w:p>
            <w:r>
              <w:t>11300</w:t>
            </w:r>
          </w:p>
        </w:tc>
        <w:tc>
          <w:tcPr>
            <w:tcW w:type="dxa" w:w="1170"/>
          </w:tcPr>
          <w:p>
            <w:r>
              <w:t>8.5</w:t>
            </w:r>
          </w:p>
        </w:tc>
        <w:tc>
          <w:tcPr>
            <w:tcW w:type="dxa" w:w="1170"/>
          </w:tcPr>
          <w:p>
            <w:r>
              <w:t>14.2</w:t>
            </w:r>
          </w:p>
        </w:tc>
        <w:tc>
          <w:tcPr>
            <w:tcW w:type="dxa" w:w="1170"/>
          </w:tcPr>
          <w:p>
            <w:r>
              <w:t>171</w:t>
            </w:r>
          </w:p>
        </w:tc>
        <w:tc>
          <w:tcPr>
            <w:tcW w:type="dxa" w:w="1170"/>
          </w:tcPr>
          <w:p>
            <w:r>
              <w:t>4.5</w:t>
            </w:r>
          </w:p>
        </w:tc>
      </w:tr>
    </w:tbl>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(2021) distinction applies: "Compliance is 'I have to,' commitment is 'I want to.'" Cost cuts drive compliance, not the commitment needed for transformation.</w:t>
      </w:r>
    </w:p>
    <w:p>
      <w:pPr>
        <w:pStyle w:val="Heading2"/>
      </w:pPr>
      <w:r>
        <w:rPr>
          <w:rFonts w:ascii="Calibri" w:hAnsi="Calibri"/>
          <w:color w:val="003478"/>
        </w:rPr>
        <w:t>Challenge 3: Labor Relations Complexity</w:t>
      </w:r>
    </w:p>
    <w:p>
      <w:pPr>
        <w:jc w:val="both"/>
      </w:pPr>
      <w:r>
        <w:rPr>
          <w:rFonts w:ascii="Calibri" w:hAnsi="Calibri"/>
          <w:sz w:val="22"/>
        </w:rPr>
        <w:t>The 2023 UAW strike (46 days) and ongoing wage negotiations occur as EV transition threatens ~30% job reductions in manufacturing (The Detroit News, 2024). Union fears about job losses create resistance to the very strategy Ford needs for long-term competitiveness.</w:t>
      </w:r>
    </w:p>
    <w:p>
      <w:pPr>
        <w:jc w:val="both"/>
      </w:pPr>
      <w:r>
        <w:rPr>
          <w:rFonts w:ascii="Calibri" w:hAnsi="Calibri"/>
          <w:b/>
          <w:sz w:val="22"/>
        </w:rPr>
        <w:t>Management Model Implication:</w:t>
      </w:r>
      <w:r>
        <w:rPr>
          <w:rFonts w:ascii="Calibri" w:hAnsi="Calibri"/>
          <w:sz w:val="22"/>
        </w:rPr>
        <w:t xml:space="preserve"> </w:t>
      </w:r>
      <w:r>
        <w:rPr>
          <w:rFonts w:ascii="Calibri" w:hAnsi="Calibri"/>
          <w:b/>
          <w:sz w:val="22"/>
        </w:rPr>
        <w:t>Hierarchy</w:t>
      </w:r>
      <w:r>
        <w:rPr>
          <w:rFonts w:ascii="Calibri" w:hAnsi="Calibri"/>
          <w:sz w:val="22"/>
        </w:rPr>
        <w:t xml:space="preserve"> (management decides EV strategy unilaterally) versus </w:t>
      </w:r>
      <w:r>
        <w:rPr>
          <w:rFonts w:ascii="Calibri" w:hAnsi="Calibri"/>
          <w:b/>
          <w:sz w:val="22"/>
        </w:rPr>
        <w:t>Collective wisdom</w:t>
      </w:r>
      <w:r>
        <w:rPr>
          <w:rFonts w:ascii="Calibri" w:hAnsi="Calibri"/>
          <w:sz w:val="22"/>
        </w:rPr>
        <w:t xml:space="preserve"> (worker input on transition planning) creates conflict. Improved stakeholder management could transform adversarial relationship into collaborative transition planning.</w:t>
      </w:r>
    </w:p>
    <w:p>
      <w:pPr>
        <w:pStyle w:val="Heading2"/>
      </w:pPr>
      <w:r>
        <w:rPr>
          <w:rFonts w:ascii="Calibri" w:hAnsi="Calibri"/>
          <w:color w:val="003478"/>
        </w:rPr>
        <w:t>Challenge 4: Multi-Front Competitive Threats</w:t>
      </w:r>
    </w:p>
    <w:p>
      <w:pPr>
        <w:jc w:val="both"/>
      </w:pPr>
      <w:r>
        <w:rPr>
          <w:rFonts w:ascii="Calibri" w:hAnsi="Calibri"/>
          <w:b/>
          <w:sz w:val="22"/>
        </w:rPr>
        <w:t>Tesla</w:t>
      </w:r>
      <w:r>
        <w:rPr>
          <w:rFonts w:ascii="Calibri" w:hAnsi="Calibri"/>
          <w:sz w:val="22"/>
        </w:rPr>
        <w:t xml:space="preserve"> offers direct-sales model (no dealer markup), software expertise, and brand cachet. The Cybertruck directly competes with F-150 Lightning in Ford's core truck segment.</w:t>
      </w:r>
    </w:p>
    <w:p>
      <w:pPr>
        <w:jc w:val="both"/>
      </w:pPr>
      <w:r>
        <w:rPr>
          <w:rFonts w:ascii="Calibri" w:hAnsi="Calibri"/>
          <w:b/>
          <w:sz w:val="22"/>
        </w:rPr>
        <w:t>Chinese OEMs</w:t>
      </w:r>
      <w:r>
        <w:rPr>
          <w:rFonts w:ascii="Calibri" w:hAnsi="Calibri"/>
          <w:sz w:val="22"/>
        </w:rPr>
        <w:t xml:space="preserve"> (BYD, NIO, Geely) produce low-cost EVs with government support and advanced technology. If Chinese EVs enter the U.S. market, price competition intensifies dramatically.</w:t>
      </w:r>
    </w:p>
    <w:p>
      <w:pPr>
        <w:jc w:val="both"/>
      </w:pPr>
      <w:r>
        <w:rPr>
          <w:rFonts w:ascii="Calibri" w:hAnsi="Calibri"/>
          <w:b/>
          <w:sz w:val="22"/>
        </w:rPr>
        <w:t>Traditional OEMs</w:t>
      </w:r>
      <w:r>
        <w:rPr>
          <w:rFonts w:ascii="Calibri" w:hAnsi="Calibri"/>
          <w:sz w:val="22"/>
        </w:rPr>
        <w:t xml:space="preserve"> (GM, Stellantis, Toyota) face similar challenges with similar strategies, creating risk of commodity competition without differentiation.</w:t>
      </w:r>
    </w:p>
    <w:p>
      <w:pPr>
        <w:jc w:val="both"/>
      </w:pPr>
      <w:r>
        <w:rPr>
          <w:rFonts w:ascii="Calibri" w:hAnsi="Calibri"/>
          <w:b/>
          <w:sz w:val="22"/>
        </w:rPr>
        <w:t>Tech Companies</w:t>
      </w:r>
      <w:r>
        <w:rPr>
          <w:rFonts w:ascii="Calibri" w:hAnsi="Calibri"/>
          <w:sz w:val="22"/>
        </w:rPr>
        <w:t xml:space="preserve"> (Apple, Google) develop mobility software and autonomous technology, potentially reducing vehicles to commodity platforms while software captures value.</w:t>
      </w:r>
    </w:p>
    <w:p>
      <w:pPr>
        <w:jc w:val="both"/>
      </w:pPr>
      <w:r>
        <w:rPr>
          <w:rFonts w:ascii="Calibri" w:hAnsi="Calibri"/>
          <w:b/>
          <w:sz w:val="22"/>
        </w:rPr>
        <w:t>Strategic Risk:</w:t>
      </w:r>
      <w:r>
        <w:rPr>
          <w:rFonts w:ascii="Calibri" w:hAnsi="Calibri"/>
          <w:sz w:val="22"/>
        </w:rPr>
        <w:t xml:space="preserve"> Ford becomes stuck in the middle—unable to match Tesla on innovation, Chinese manufacturers on cost, or Toyota on quality.</w:t>
      </w:r>
    </w:p>
    <w:p>
      <w:pPr>
        <w:jc w:val="both"/>
      </w:pPr>
      <w:r>
        <w:rPr>
          <w:rFonts w:ascii="Calibri" w:hAnsi="Calibri"/>
          <w:b/>
          <w:sz w:val="22"/>
        </w:rPr>
        <w:t>Management Model Implication:</w:t>
      </w:r>
      <w:r>
        <w:rPr>
          <w:rFonts w:ascii="Calibri" w:hAnsi="Calibri"/>
          <w:sz w:val="22"/>
        </w:rPr>
        <w:t xml:space="preserve"> Ford's hybrid management model (obliquity + goals, emergence + oversight) attempts differentiation through organizational capability. However, if competitors copy this model, the advantage disappears.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w:t>
      </w:r>
      <w:r>
        <w:rPr>
          <w:rFonts w:ascii="Calibri" w:hAnsi="Calibri"/>
          <w:b/>
          <w:sz w:val="22"/>
        </w:rPr>
        <w:t>economies of scale</w:t>
      </w:r>
      <w:r>
        <w:rPr>
          <w:rFonts w:ascii="Calibri" w:hAnsi="Calibri"/>
          <w:sz w:val="22"/>
        </w:rPr>
        <w:t xml:space="preserve"> (higher volume lowers per-unit costs) and </w:t>
      </w:r>
      <w:r>
        <w:rPr>
          <w:rFonts w:ascii="Calibri" w:hAnsi="Calibri"/>
          <w:b/>
          <w:sz w:val="22"/>
        </w:rPr>
        <w:t>learning curve</w:t>
      </w:r>
      <w:r>
        <w:rPr>
          <w:rFonts w:ascii="Calibri" w:hAnsi="Calibri"/>
          <w:sz w:val="22"/>
        </w:rPr>
        <w:t xml:space="prese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(2021)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w:t>
      </w:r>
      <w:r>
        <w:rPr>
          <w:rFonts w:ascii="Calibri" w:hAnsi="Calibri"/>
          <w:b/>
          <w:sz w:val="22"/>
        </w:rPr>
        <w:t>resource-based view</w:t>
      </w:r>
      <w:r>
        <w:rPr>
          <w:rFonts w:ascii="Calibri" w:hAnsi="Calibri"/>
          <w:sz w:val="22"/>
        </w:rPr>
        <w:t xml:space="preserve"> (Wernerfelt, 1984) suggests sustainable competitive advantage derives from unique, hard-to-imitate capabilities. Ford Pro's integration of vehicles, software, and services represents exactly such a capability.</w:t>
      </w:r>
    </w:p>
    <w:p>
      <w:pPr>
        <w:pStyle w:val="Heading2"/>
      </w:pPr>
      <w:r>
        <w:rPr>
          <w:rFonts w:ascii="Calibri" w:hAnsi="Calibri"/>
          <w:color w:val="003478"/>
        </w:rPr>
        <w:t>Implementation Timeline</w:t>
      </w:r>
    </w:p>
    <w:p>
      <w:pPr>
        <w:jc w:val="both"/>
      </w:pPr>
      <w:r>
        <w:rPr>
          <w:rFonts w:ascii="Calibri" w:hAnsi="Calibri"/>
          <w:b/>
          <w:sz w:val="22"/>
        </w:rPr>
        <w:t>Q2 2025</w:t>
      </w:r>
      <w:r>
        <w:rPr>
          <w:rFonts w:ascii="Calibri" w:hAnsi="Calibri"/>
          <w:sz w:val="22"/>
        </w:rPr>
        <w:t>: Management model stabilization (decision authority matrix); Model e cost reduction initiatives launch; employee engagement listening tour</w:t>
      </w:r>
    </w:p>
    <w:p>
      <w:pPr>
        <w:jc w:val="both"/>
      </w:pPr>
      <w:r>
        <w:rPr>
          <w:rFonts w:ascii="Calibri" w:hAnsi="Calibri"/>
          <w:b/>
          <w:sz w:val="22"/>
        </w:rPr>
        <w:t>Q3 2025</w:t>
      </w:r>
      <w:r>
        <w:rPr>
          <w:rFonts w:ascii="Calibri" w:hAnsi="Calibri"/>
          <w:sz w:val="22"/>
        </w:rPr>
        <w:t>: EV reskilling program announcement; Ford Pro expansion plan; quarterly strategic alignment process</w:t>
      </w:r>
    </w:p>
    <w:p>
      <w:pPr>
        <w:jc w:val="both"/>
      </w:pPr>
      <w:r>
        <w:rPr>
          <w:rFonts w:ascii="Calibri" w:hAnsi="Calibri"/>
          <w:b/>
          <w:sz w:val="22"/>
        </w:rPr>
        <w:t>Q4 2025</w:t>
      </w:r>
      <w:r>
        <w:rPr>
          <w:rFonts w:ascii="Calibri" w:hAnsi="Calibri"/>
          <w:sz w:val="22"/>
        </w:rPr>
        <w:t>: Bonus policy revision; affordable EV product announcement; UAW partnership on workforce transition</w:t>
      </w:r>
    </w:p>
    <w:p>
      <w:pPr>
        <w:jc w:val="both"/>
      </w:pPr>
      <w:r>
        <w:rPr>
          <w:rFonts w:ascii="Calibri" w:hAnsi="Calibri"/>
          <w:b/>
          <w:sz w:val="22"/>
        </w:rPr>
        <w:t>2026</w:t>
      </w:r>
      <w:r>
        <w:rPr>
          <w:rFonts w:ascii="Calibri" w:hAnsi="Calibri"/>
          <w:sz w:val="22"/>
        </w:rPr>
        <w:t>: Model e losses declining toward breakeven; employee engagement metrics improving; Ford Pro integrated EV solutions in market</w:t>
      </w:r>
    </w:p>
    <w:p>
      <w:pPr>
        <w:jc w:val="both"/>
      </w:pPr>
      <w:r>
        <w:rPr>
          <w:rFonts w:ascii="Calibri" w:hAnsi="Calibri"/>
          <w:b/>
          <w:sz w:val="22"/>
        </w:rPr>
        <w:t>Success Metrics</w:t>
      </w:r>
      <w:r>
        <w:rPr>
          <w:rFonts w:ascii="Calibri" w:hAnsi="Calibri"/>
          <w:sz w:val="22"/>
        </w:rPr>
        <w:t>: Employee engagement ((2/5) → (4/5)); Model e EBIT (-$5.4B → -$1.5B → $0 by 2027); Ford Pro EBIT ($9B → $11B); Stock price ($9.89 → $15+)</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w:t>
      </w:r>
    </w:p>
    <w:p>
      <w:pPr>
        <w:jc w:val="both"/>
      </w:pPr>
      <w:r>
        <w:rPr>
          <w:rFonts w:ascii="Calibri" w:hAnsi="Calibri"/>
          <w:sz w:val="22"/>
        </w:rPr>
        <w:t xml:space="preserve">- </w:t>
      </w:r>
      <w:r>
        <w:rPr>
          <w:rFonts w:ascii="Calibri" w:hAnsi="Calibri"/>
          <w:b/>
          <w:sz w:val="22"/>
        </w:rPr>
        <w:t>Objectives</w:t>
      </w:r>
      <w:r>
        <w:rPr>
          <w:rFonts w:ascii="Calibri" w:hAnsi="Calibri"/>
          <w:sz w:val="22"/>
        </w:rPr>
        <w:t>: Obliquity (purpose) with goal setting (targets)</w:t>
      </w:r>
    </w:p>
    <w:p>
      <w:pPr>
        <w:jc w:val="both"/>
      </w:pPr>
      <w:r>
        <w:rPr>
          <w:rFonts w:ascii="Calibri" w:hAnsi="Calibri"/>
          <w:sz w:val="22"/>
        </w:rPr>
        <w:t xml:space="preserve">- </w:t>
      </w:r>
      <w:r>
        <w:rPr>
          <w:rFonts w:ascii="Calibri" w:hAnsi="Calibri"/>
          <w:b/>
          <w:sz w:val="22"/>
        </w:rPr>
        <w:t>Motivation</w:t>
      </w:r>
      <w:r>
        <w:rPr>
          <w:rFonts w:ascii="Calibri" w:hAnsi="Calibri"/>
          <w:sz w:val="22"/>
        </w:rPr>
        <w:t>: Intrinsic (innovation) with extrinsic (compensation), though 2025 risks over-rotation</w:t>
      </w:r>
    </w:p>
    <w:p>
      <w:pPr>
        <w:jc w:val="both"/>
      </w:pPr>
      <w:r>
        <w:rPr>
          <w:rFonts w:ascii="Calibri" w:hAnsi="Calibri"/>
          <w:sz w:val="22"/>
        </w:rPr>
        <w:t xml:space="preserve">- </w:t>
      </w:r>
      <w:r>
        <w:rPr>
          <w:rFonts w:ascii="Calibri" w:hAnsi="Calibri"/>
          <w:b/>
          <w:sz w:val="22"/>
        </w:rPr>
        <w:t>Coordination</w:t>
      </w:r>
      <w:r>
        <w:rPr>
          <w:rFonts w:ascii="Calibri" w:hAnsi="Calibri"/>
          <w:sz w:val="22"/>
        </w:rPr>
        <w:t>: Business unit emergence with strategic oversight</w:t>
      </w:r>
    </w:p>
    <w:p>
      <w:pPr>
        <w:jc w:val="both"/>
      </w:pPr>
      <w:r>
        <w:rPr>
          <w:rFonts w:ascii="Calibri" w:hAnsi="Calibri"/>
          <w:sz w:val="22"/>
        </w:rPr>
        <w:t xml:space="preserve">- </w:t>
      </w:r>
      <w:r>
        <w:rPr>
          <w:rFonts w:ascii="Calibri" w:hAnsi="Calibri"/>
          <w:b/>
          <w:sz w:val="22"/>
        </w:rPr>
        <w:t>Decision-Making</w:t>
      </w:r>
      <w:r>
        <w:rPr>
          <w:rFonts w:ascii="Calibri" w:hAnsi="Calibri"/>
          <w:sz w:val="22"/>
        </w:rPr>
        <w:t>: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sz w:val="22"/>
        </w:rPr>
        <w:t xml:space="preserve">The </w:t>
      </w:r>
      <w:r>
        <w:rPr>
          <w:rFonts w:ascii="Calibri" w:hAnsi="Calibri"/>
          <w:b/>
          <w:sz w:val="22"/>
        </w:rPr>
        <w:t>performance paradox</w:t>
      </w:r>
      <w:r>
        <w:rPr>
          <w:rFonts w:ascii="Calibri" w:hAnsi="Calibri"/>
          <w:sz w:val="22"/>
        </w:rPr>
        <w:t xml:space="preserve"> defines Ford's challenge: Ford Pro ($9B EBIT, 2024) validates strategy; Ford Model e (-$5.4B loss) reveals execution difficulty; Ford Blue (22% EBIT decline) indicates core business pressure (Ford Motor Company, 2025).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p>
      <w:pPr>
        <w:jc w:val="both"/>
      </w:pPr>
      <w:r>
        <w:rPr>
          <w:rFonts w:ascii="Calibri" w:hAnsi="Calibri"/>
          <w:sz w:val="22"/>
        </w:rPr>
        <w:t>---</w:t>
      </w:r>
    </w:p>
    <w:p>
      <w:pPr>
        <w:jc w:val="both"/>
      </w:pPr>
      <w:r>
        <w:rPr>
          <w:rFonts w:ascii="Calibri" w:hAnsi="Calibri"/>
          <w:b/>
          <w:sz w:val="22"/>
        </w:rPr>
        <w:t>END OF MEMORANDUM</w:t>
      </w:r>
    </w:p>
    <w:p>
      <w:pPr>
        <w:jc w:val="both"/>
      </w:pPr>
      <w:r>
        <w:rPr>
          <w:rFonts w:ascii="Calibri" w:hAnsi="Calibri"/>
          <w:sz w:val="22"/>
        </w:rPr>
        <w:t>---</w:t>
      </w:r>
    </w:p>
    <w:p>
      <w:pPr>
        <w:pStyle w:val="Heading1"/>
      </w:pPr>
      <w:r>
        <w:rPr>
          <w:rFonts w:ascii="Calibri" w:hAnsi="Calibri"/>
          <w:color w:val="00005B"/>
        </w:rPr>
        <w:t>APPENDICES</w:t>
      </w:r>
    </w:p>
    <w:p>
      <w:pPr>
        <w:pStyle w:val="Heading2"/>
      </w:pPr>
      <w:r>
        <w:rPr>
          <w:rFonts w:ascii="Calibri" w:hAnsi="Calibri"/>
          <w:color w:val="003478"/>
        </w:rPr>
        <w:t>Appendix A: Data Tables</w:t>
      </w:r>
    </w:p>
    <w:p>
      <w:pPr>
        <w:jc w:val="both"/>
      </w:pPr>
      <w:r>
        <w:rPr>
          <w:rFonts w:ascii="Calibri" w:hAnsi="Calibri"/>
          <w:b/>
          <w:sz w:val="22"/>
        </w:rPr>
        <w:t>Table 1:</w:t>
      </w:r>
      <w:r>
        <w:rPr>
          <w:rFonts w:ascii="Calibri" w:hAnsi="Calibri"/>
          <w:sz w:val="22"/>
        </w:rPr>
        <w:t xml:space="preserve"> Management Structure Evolution (2020-2025)</w:t>
      </w:r>
    </w:p>
    <w:p>
      <w:pPr>
        <w:jc w:val="both"/>
      </w:pPr>
      <w:r>
        <w:rPr>
          <w:rFonts w:ascii="Calibri" w:hAnsi="Calibri"/>
          <w:b/>
          <w:sz w:val="22"/>
        </w:rPr>
        <w:t>Table 2:</w:t>
      </w:r>
      <w:r>
        <w:rPr>
          <w:rFonts w:ascii="Calibri" w:hAnsi="Calibri"/>
          <w:sz w:val="22"/>
        </w:rPr>
        <w:t xml:space="preserve"> Strategic Priorities Timeline (2020-2024)</w:t>
      </w:r>
    </w:p>
    <w:p>
      <w:pPr>
        <w:jc w:val="both"/>
      </w:pPr>
      <w:r>
        <w:rPr>
          <w:rFonts w:ascii="Calibri" w:hAnsi="Calibri"/>
          <w:b/>
          <w:sz w:val="22"/>
        </w:rPr>
        <w:t>Table 3:</w:t>
      </w:r>
      <w:r>
        <w:rPr>
          <w:rFonts w:ascii="Calibri" w:hAnsi="Calibri"/>
          <w:sz w:val="22"/>
        </w:rPr>
        <w:t xml:space="preserve"> Business Unit Performance (2022-2024)</w:t>
      </w:r>
    </w:p>
    <w:p>
      <w:pPr>
        <w:jc w:val="both"/>
      </w:pPr>
      <w:r>
        <w:rPr>
          <w:rFonts w:ascii="Calibri" w:hAnsi="Calibri"/>
          <w:b/>
          <w:sz w:val="22"/>
        </w:rPr>
        <w:t>Table 4:</w:t>
      </w:r>
      <w:r>
        <w:rPr>
          <w:rFonts w:ascii="Calibri" w:hAnsi="Calibri"/>
          <w:sz w:val="22"/>
        </w:rPr>
        <w:t xml:space="preserve"> Key Performance Indicators Dashboard (2020-2024)</w:t>
      </w:r>
    </w:p>
    <w:p>
      <w:pPr>
        <w:jc w:val="both"/>
      </w:pPr>
      <w:r>
        <w:rPr>
          <w:rFonts w:ascii="Calibri" w:hAnsi="Calibri"/>
          <w:b/>
          <w:sz w:val="22"/>
        </w:rPr>
        <w:t>Table 5:</w:t>
      </w:r>
      <w:r>
        <w:rPr>
          <w:rFonts w:ascii="Calibri" w:hAnsi="Calibri"/>
          <w:sz w:val="22"/>
        </w:rPr>
        <w:t xml:space="preserve"> Management Model Comparison Matrix</w:t>
      </w:r>
    </w:p>
    <w:p>
      <w:pPr>
        <w:pStyle w:val="Heading2"/>
      </w:pPr>
      <w:r>
        <w:rPr>
          <w:rFonts w:ascii="Calibri" w:hAnsi="Calibri"/>
          <w:color w:val="003478"/>
        </w:rPr>
        <w:t>Appendix B: Data Visualizations</w:t>
      </w:r>
    </w:p>
    <w:p>
      <w:pPr>
        <w:jc w:val="both"/>
      </w:pPr>
      <w:r>
        <w:rPr>
          <w:rFonts w:ascii="Calibri" w:hAnsi="Calibri"/>
          <w:b/>
          <w:sz w:val="22"/>
        </w:rPr>
        <w:t>Figure 1:</w:t>
      </w:r>
      <w:r>
        <w:rPr>
          <w:rFonts w:ascii="Calibri" w:hAnsi="Calibri"/>
          <w:sz w:val="22"/>
        </w:rPr>
        <w:t xml:space="preserve"> Ford+ Organizational Structure Diagram</w:t>
      </w:r>
    </w:p>
    <w:p>
      <w:pPr>
        <w:jc w:val="both"/>
      </w:pPr>
      <w:r>
        <w:rPr>
          <w:rFonts w:ascii="Calibri" w:hAnsi="Calibri"/>
          <w:b/>
          <w:sz w:val="22"/>
        </w:rPr>
        <w:t>Figure 2:</w:t>
      </w:r>
      <w:r>
        <w:rPr>
          <w:rFonts w:ascii="Calibri" w:hAnsi="Calibri"/>
          <w:sz w:val="22"/>
        </w:rPr>
        <w:t xml:space="preserve"> Management Model Radar Chart (4-Dimension Analysis)</w:t>
      </w:r>
    </w:p>
    <w:p>
      <w:pPr>
        <w:jc w:val="both"/>
      </w:pPr>
      <w:r>
        <w:rPr>
          <w:rFonts w:ascii="Calibri" w:hAnsi="Calibri"/>
          <w:b/>
          <w:sz w:val="22"/>
        </w:rPr>
        <w:t>Figure 3:</w:t>
      </w:r>
      <w:r>
        <w:rPr>
          <w:rFonts w:ascii="Calibri" w:hAnsi="Calibri"/>
          <w:sz w:val="22"/>
        </w:rPr>
        <w:t xml:space="preserve"> Business Unit Performance Trends (Revenue &amp; EBIT)</w:t>
      </w:r>
    </w:p>
    <w:p>
      <w:pPr>
        <w:jc w:val="both"/>
      </w:pPr>
      <w:r>
        <w:rPr>
          <w:rFonts w:ascii="Calibri" w:hAnsi="Calibri"/>
          <w:b/>
          <w:sz w:val="22"/>
        </w:rPr>
        <w:t>Figure 4:</w:t>
      </w:r>
      <w:r>
        <w:rPr>
          <w:rFonts w:ascii="Calibri" w:hAnsi="Calibri"/>
          <w:sz w:val="22"/>
        </w:rPr>
        <w:t xml:space="preserve"> KPI Dashboard (6-Panel Multi-Metric)</w:t>
      </w:r>
    </w:p>
    <w:p>
      <w:pPr>
        <w:jc w:val="both"/>
      </w:pPr>
      <w:r>
        <w:rPr>
          <w:rFonts w:ascii="Calibri" w:hAnsi="Calibri"/>
          <w:b/>
          <w:sz w:val="22"/>
        </w:rPr>
        <w:t>Figure 5:</w:t>
      </w:r>
      <w:r>
        <w:rPr>
          <w:rFonts w:ascii="Calibri" w:hAnsi="Calibri"/>
          <w:sz w:val="22"/>
        </w:rPr>
        <w:t xml:space="preserve"> Strategy Implementation Roadmap Heatmap</w:t>
      </w:r>
    </w:p>
    <w:p>
      <w:pPr>
        <w:jc w:val="both"/>
      </w:pPr>
      <w:r>
        <w:rPr>
          <w:rFonts w:ascii="Calibri" w:hAnsi="Calibri"/>
          <w:b/>
          <w:sz w:val="22"/>
        </w:rPr>
        <w:t>Figure 6:</w:t>
      </w:r>
      <w:r>
        <w:rPr>
          <w:rFonts w:ascii="Calibri" w:hAnsi="Calibri"/>
          <w:sz w:val="22"/>
        </w:rPr>
        <w:t xml:space="preserve"> Competitive Positioning Matrix</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