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sz w:val="22"/>
        </w:rPr>
        <w:t>Ford's overall financial value recovery demonstrates significant improvement from 2020-2024, with total revenue growing 45.6% from $127.1B to $185.0B and net income swinging from a -$1.3B loss to $6.6B profit (Ford Motor Company, 2025). EBIT recovered dramatically from -$2.9B in 2020 to $11.3B in 2024, signaling successful profitability management through a transformational period. However, this company-level performance masks highly divergent unit-level value creation that reveals both Ford's competitive strengths and critical vulnerabilities. Ford Pro emerges as a value creation leader with revenue growth of 17.8% from $45B (2022) to $53B (2024) and EBIT increasing 25% from $7.2B to $9B, yielding approximately 17% EBIT margin (Ford Motor Company, 2025)—a performance level exceeding most automotive competitors. Pro's value creation stems from the integration of vehicles with high-margin software services including telematics and fleet management, generating subscription revenue and service contracts that create recurring revenue streams. This product-service integration creates sustainable competitive advantage that traditional OEMs struggle to replicate.</w:t>
      </w:r>
    </w:p>
    <w:p>
      <w:pPr>
        <w:jc w:val="both"/>
      </w:pPr>
      <w:r>
        <w:rPr>
          <w:rFonts w:ascii="Calibri" w:hAnsi="Calibri"/>
          <w:sz w:val="22"/>
        </w:rPr>
        <w:t>In contrast, Ford Blue represents a cash cow in managed decline, with revenue declining 3.2% from $77.5B (2022) to $75.0B (2024) and EBIT falling 22.2% from $7.2B to $5.6B (Ford Motor Company, 2025). While Blue remains profitable and provides essential cash flow supporting the broader transformation, it faces the strategic dilemma of whether to invest aggressively to maintain competitiveness against German luxury OEMs and Japanese manufacturers, or to harvest maximum cash to fund EV transition—a choice with no ideal resolution. Most critically, Ford Model e represents value destruction that threatens entire Ford+ credibility. Model e revenue grew 133% from $3.0B (2022) to $7.0B (2024), seemingly positive growth, yet EBIT losses widened dramatically from -$2.1B to -$5.4B over the same period (Ford Motor Company, 2025). Industry reports estimate per-unit losses of $40,000-$50,000 (CNBC, 2023), meaning scale growth actually increases total losses. This unit economics deterioration raises an existential strategic question: At what point does continued funding of "strategic investment" become poor capital allocation that destroys rather than creates value? The shareholder market has answered this question skeptically. Stock price declined 21% from $12.54 (June 2024) to $9.89 (February 2025), with market capitalization of $38.5B appearing extraordinarily low relative to $185B annual revenue (Ford Motor Company, 2025), indicating investor skepticism about Ford+ value creation potential. Ford Pro's excellent value creation and Ford Blue's stability are substantially offset by Model e's expanding losses, creating the mixed value creation picture (3/5) that reflects neither excellence nor crisis, but rather a company in strategic transition with unclear ultimate profitability trajectory.</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