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oblique objectives (Birkinshaw &amp; Goddard, 2009)—pursuing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directed strategy (top-down reorganization) creating infrastructure for emergent strategy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They identify four dimensions, each with two polar approaches:</w:t>
      </w:r>
    </w:p>
    <w:p>
      <w:pPr>
        <w:jc w:val="both"/>
      </w:pPr>
      <w:r>
        <w:rPr>
          <w:rFonts w:ascii="Calibri" w:hAnsi="Calibri"/>
          <w:sz w:val="22"/>
        </w:rPr>
        <w:t>1. Objectives</w:t>
      </w:r>
    </w:p>
    <w:p>
      <w:pPr>
        <w:jc w:val="both"/>
      </w:pPr>
      <w:r>
        <w:rPr>
          <w:rFonts w:ascii="Calibri" w:hAnsi="Calibri"/>
          <w:sz w:val="22"/>
        </w:rPr>
        <w:t>2. Motivation</w:t>
      </w:r>
    </w:p>
    <w:p>
      <w:pPr>
        <w:jc w:val="both"/>
      </w:pPr>
      <w:r>
        <w:rPr>
          <w:rFonts w:ascii="Calibri" w:hAnsi="Calibri"/>
          <w:sz w:val="22"/>
        </w:rPr>
        <w:t>3. Coordination</w:t>
      </w:r>
    </w:p>
    <w:p>
      <w:pPr>
        <w:jc w:val="both"/>
      </w:pPr>
      <w:r>
        <w:rPr>
          <w:rFonts w:ascii="Calibri" w:hAnsi="Calibri"/>
          <w:sz w:val="22"/>
        </w:rPr>
        <w:t>4. Decision-Making</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Dimension</w:t>
            </w:r>
          </w:p>
        </w:tc>
        <w:tc>
          <w:tcPr>
            <w:tcW w:type="dxa" w:w="1872"/>
            <w:shd w:fill="00095B"/>
          </w:tcPr>
          <w:p>
            <w:r>
              <w:rPr>
                <w:b/>
                <w:color w:val="FFFFFF"/>
              </w:rPr>
              <w:t>2020 Approach</w:t>
            </w:r>
          </w:p>
        </w:tc>
        <w:tc>
          <w:tcPr>
            <w:tcW w:type="dxa" w:w="1872"/>
            <w:shd w:fill="00095B"/>
          </w:tcPr>
          <w:p>
            <w:r>
              <w:rPr>
                <w:b/>
                <w:color w:val="FFFFFF"/>
              </w:rPr>
              <w:t>2021 Approach</w:t>
            </w:r>
          </w:p>
        </w:tc>
        <w:tc>
          <w:tcPr>
            <w:tcW w:type="dxa" w:w="1872"/>
            <w:shd w:fill="00095B"/>
          </w:tcPr>
          <w:p>
            <w:r>
              <w:rPr>
                <w:b/>
                <w:color w:val="FFFFFF"/>
              </w:rPr>
              <w:t>2022-2024 Approach</w:t>
            </w:r>
          </w:p>
        </w:tc>
        <w:tc>
          <w:tcPr>
            <w:tcW w:type="dxa" w:w="1872"/>
            <w:shd w:fill="00095B"/>
          </w:tcPr>
          <w:p>
            <w:r>
              <w:rPr>
                <w:b/>
                <w:color w:val="FFFFFF"/>
              </w:rPr>
              <w:t>2025 Evolution</w:t>
            </w:r>
          </w:p>
        </w:tc>
      </w:tr>
      <w:tr>
        <w:tc>
          <w:tcPr>
            <w:tcW w:type="dxa" w:w="1872"/>
          </w:tcPr>
          <w:p>
            <w:r>
              <w:t>**Objectives**</w:t>
            </w:r>
          </w:p>
        </w:tc>
        <w:tc>
          <w:tcPr>
            <w:tcW w:type="dxa" w:w="1872"/>
          </w:tcPr>
          <w:p>
            <w:r>
              <w:t>Goal Setting (short-term financial targets)</w:t>
            </w:r>
          </w:p>
        </w:tc>
        <w:tc>
          <w:tcPr>
            <w:tcW w:type="dxa" w:w="1872"/>
          </w:tcPr>
          <w:p>
            <w:r>
              <w:t>Hybrid (Ford+ vision + financial goals)</w:t>
            </w:r>
          </w:p>
        </w:tc>
        <w:tc>
          <w:tcPr>
            <w:tcW w:type="dxa" w:w="1872"/>
          </w:tcPr>
          <w:p>
            <w:r>
              <w:t>Obliquity (customer freedom, better world) + Targets</w:t>
            </w:r>
          </w:p>
        </w:tc>
        <w:tc>
          <w:tcPr>
            <w:tcW w:type="dxa" w:w="1872"/>
          </w:tcPr>
          <w:p>
            <w:r>
              <w:t>Goal Setting (cost, performance) + Vision</w:t>
            </w:r>
          </w:p>
        </w:tc>
      </w:tr>
      <w:tr>
        <w:tc>
          <w:tcPr>
            <w:tcW w:type="dxa" w:w="1872"/>
          </w:tcPr>
          <w:p>
            <w:r>
              <w:t>**Motivation**</w:t>
            </w:r>
          </w:p>
        </w:tc>
        <w:tc>
          <w:tcPr>
            <w:tcW w:type="dxa" w:w="1872"/>
          </w:tcPr>
          <w:p>
            <w:r>
              <w:t>Extrinsic (compensation, bonuses)</w:t>
            </w:r>
          </w:p>
        </w:tc>
        <w:tc>
          <w:tcPr>
            <w:tcW w:type="dxa" w:w="1872"/>
          </w:tcPr>
          <w:p>
            <w:r>
              <w:t>Balanced (purpose + compensation)</w:t>
            </w:r>
          </w:p>
        </w:tc>
        <w:tc>
          <w:tcPr>
            <w:tcW w:type="dxa" w:w="1872"/>
          </w:tcPr>
          <w:p>
            <w:r>
              <w:t>Intrinsic emphasis (innovation, purpose) + Extrinsic</w:t>
            </w:r>
          </w:p>
        </w:tc>
        <w:tc>
          <w:tcPr>
            <w:tcW w:type="dxa" w:w="1872"/>
          </w:tcPr>
          <w:p>
            <w:r>
              <w:t>Extrinsic (performance bonuses cut for underperformers)</w:t>
            </w:r>
          </w:p>
        </w:tc>
      </w:tr>
      <w:tr>
        <w:tc>
          <w:tcPr>
            <w:tcW w:type="dxa" w:w="1872"/>
          </w:tcPr>
          <w:p>
            <w:r>
              <w:t>**Coordination**</w:t>
            </w:r>
          </w:p>
        </w:tc>
        <w:tc>
          <w:tcPr>
            <w:tcW w:type="dxa" w:w="1872"/>
          </w:tcPr>
          <w:p>
            <w:r>
              <w:t>Bureaucracy (traditional OEM hierarchy)</w:t>
            </w:r>
          </w:p>
        </w:tc>
        <w:tc>
          <w:tcPr>
            <w:tcW w:type="dxa" w:w="1872"/>
          </w:tcPr>
          <w:p>
            <w:r>
              <w:t>Emerging (Ford+ signals change)</w:t>
            </w:r>
          </w:p>
        </w:tc>
        <w:tc>
          <w:tcPr>
            <w:tcW w:type="dxa" w:w="1872"/>
          </w:tcPr>
          <w:p>
            <w:r>
              <w:t>Emergence (business unit autonomy) + Coordination</w:t>
            </w:r>
          </w:p>
        </w:tc>
        <w:tc>
          <w:tcPr>
            <w:tcW w:type="dxa" w:w="1872"/>
          </w:tcPr>
          <w:p>
            <w:r>
              <w:t>Balanced (autonomy + accountability)</w:t>
            </w:r>
          </w:p>
        </w:tc>
      </w:tr>
      <w:tr>
        <w:tc>
          <w:tcPr>
            <w:tcW w:type="dxa" w:w="1872"/>
          </w:tcPr>
          <w:p>
            <w:r>
              <w:t>**Decision Making**</w:t>
            </w:r>
          </w:p>
        </w:tc>
        <w:tc>
          <w:tcPr>
            <w:tcW w:type="dxa" w:w="1872"/>
          </w:tcPr>
          <w:p>
            <w:r>
              <w:t>Hierarchy (top-down, CEO-driven)</w:t>
            </w:r>
          </w:p>
        </w:tc>
        <w:tc>
          <w:tcPr>
            <w:tcW w:type="dxa" w:w="1872"/>
          </w:tcPr>
          <w:p>
            <w:r>
              <w:t>Hierarchy with consultation</w:t>
            </w:r>
          </w:p>
        </w:tc>
        <w:tc>
          <w:tcPr>
            <w:tcW w:type="dxa" w:w="1872"/>
          </w:tcPr>
          <w:p>
            <w:r>
              <w:t>Collective Wisdom (unit leaders) + Executive oversight</w:t>
            </w:r>
          </w:p>
        </w:tc>
        <w:tc>
          <w:tcPr>
            <w:tcW w:type="dxa" w:w="1872"/>
          </w:tcPr>
          <w:p>
            <w:r>
              <w:t>Strategic centralization (Gjaja CSO, Lawler strategy)</w:t>
            </w:r>
          </w:p>
        </w:tc>
      </w:tr>
    </w:tbl>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b/>
          <w:sz w:val="22"/>
        </w:rPr>
        <w:t>CEO Vision:</w:t>
      </w:r>
      <w:r>
        <w:rPr>
          <w:rFonts w:ascii="Calibri" w:hAnsi="Calibri"/>
          <w:sz w:val="22"/>
        </w:rPr>
        <w:t xml:space="preserve"> Farley demonstrates "Level 5 Leader" characteristics—personal humility combined with professional will (Collins, 2001). Executive Chairman Bill Ford described him as "intensively competitive" and "a transformational leader" (Quarterdeck, 2024). Wolfe Research analyst Rod Lache called Farley "one of the most lucid executives," "deeply and personally invested in the business" (Chief Executive, 2024).</w:t>
      </w:r>
    </w:p>
    <w:p>
      <w:pPr>
        <w:jc w:val="both"/>
      </w:pPr>
      <w:r>
        <w:rPr>
          <w:rFonts w:ascii="Calibri" w:hAnsi="Calibri"/>
          <w:b/>
          <w:sz w:val="22"/>
        </w:rPr>
        <w:t>Strategic Talent Deployment:</w:t>
      </w:r>
      <w:r>
        <w:rPr>
          <w:rFonts w:ascii="Calibri" w:hAnsi="Calibri"/>
          <w:sz w:val="22"/>
        </w:rPr>
        <w:t xml:space="preserve"> The 2025 leadership changes demonstrate sophisticated talent strategy across the C-suite. Sherry House's appointment as CFO brings external investment banking experience that provides fresh financial perspective beyond traditional automotive finance. Marin Gjaja's creation as Chief Strategy Officer leverages 25 years at Boston Consulting Group to provide world-class strategy capability. John Lawler's elevation to Vice Chair-Strategy maintains long Ford tenure, providing institutional knowledge that balances external expertise with internal continuity. However, these rapid C-suite changes—six major roles in February 2025—create organizational uncertainty. Additionally, the 2023 UAW strike (46 days) indicates persistent labor-management tensions despite transformation rhetoric (The Detroit News, 2024), suggesting that leadership excellence at the executive level has not yet translated into employee-level buy-in for the transformation.</w:t>
      </w:r>
    </w:p>
    <w:p>
      <w:pPr>
        <w:jc w:val="both"/>
      </w:pPr>
      <w:r>
        <w:rPr>
          <w:rFonts w:ascii="Calibri" w:hAnsi="Calibri"/>
          <w:b/>
          <w:sz w:val="22"/>
        </w:rPr>
        <w:t>Score Rationale:</w:t>
      </w:r>
      <w:r>
        <w:rPr>
          <w:rFonts w:ascii="Calibri" w:hAnsi="Calibri"/>
          <w:sz w:val="22"/>
        </w:rPr>
        <w:t xml:space="preserve"> Strong CEO vision and strategic talent deployment, but execution challenges (employee engagement, UAW relations) prevent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 xml:space="preserve">The three-unit structure successfully </w:t>
      </w:r>
      <w:r>
        <w:rPr>
          <w:rFonts w:ascii="Calibri" w:hAnsi="Calibri"/>
          <w:b/>
          <w:sz w:val="22"/>
        </w:rPr>
        <w:t>differentiates</w:t>
      </w:r>
      <w:r>
        <w:rPr>
          <w:rFonts w:ascii="Calibri" w:hAnsi="Calibri"/>
          <w:sz w:val="22"/>
        </w:rPr>
        <w:t xml:space="preserve"> customer value propositions, </w:t>
      </w:r>
      <w:r>
        <w:rPr>
          <w:rFonts w:ascii="Calibri" w:hAnsi="Calibri"/>
          <w:b/>
          <w:sz w:val="22"/>
        </w:rPr>
        <w:t>focuses</w:t>
      </w:r>
      <w:r>
        <w:rPr>
          <w:rFonts w:ascii="Calibri" w:hAnsi="Calibri"/>
          <w:sz w:val="22"/>
        </w:rPr>
        <w:t xml:space="preserve"> organizational capabilities, and </w:t>
      </w:r>
      <w:r>
        <w:rPr>
          <w:rFonts w:ascii="Calibri" w:hAnsi="Calibri"/>
          <w:b/>
          <w:sz w:val="22"/>
        </w:rPr>
        <w:t>allocates</w:t>
      </w:r>
      <w:r>
        <w:rPr>
          <w:rFonts w:ascii="Calibri" w:hAnsi="Calibri"/>
          <w:sz w:val="22"/>
        </w:rPr>
        <w:t xml:space="preserve"> resources strategically. However, </w:t>
      </w:r>
      <w:r>
        <w:rPr>
          <w:rFonts w:ascii="Calibri" w:hAnsi="Calibri"/>
          <w:b/>
          <w:sz w:val="22"/>
        </w:rPr>
        <w:t>internal complexity</w:t>
      </w:r>
      <w:r>
        <w:rPr>
          <w:rFonts w:ascii="Calibri" w:hAnsi="Calibri"/>
          <w:sz w:val="22"/>
        </w:rPr>
        <w:t xml:space="preserve"> from shared manufacturing creates transfer pricing challenges, </w:t>
      </w:r>
      <w:r>
        <w:rPr>
          <w:rFonts w:ascii="Calibri" w:hAnsi="Calibri"/>
          <w:b/>
          <w:sz w:val="22"/>
        </w:rPr>
        <w:t>brand confusion</w:t>
      </w:r>
      <w:r>
        <w:rPr>
          <w:rFonts w:ascii="Calibri" w:hAnsi="Calibri"/>
          <w:sz w:val="22"/>
        </w:rPr>
        <w:t xml:space="preserve"> exists as consumers don't perceive "Blue vs. Model e" distinctions, and </w:t>
      </w:r>
      <w:r>
        <w:rPr>
          <w:rFonts w:ascii="Calibri" w:hAnsi="Calibri"/>
          <w:b/>
          <w:sz w:val="22"/>
        </w:rPr>
        <w:t>cost duplication</w:t>
      </w:r>
      <w:r>
        <w:rPr>
          <w:rFonts w:ascii="Calibri" w:hAnsi="Calibri"/>
          <w:sz w:val="22"/>
        </w:rPr>
        <w:t xml:space="preserve"> occurs with three separate go-to-market strategies.</w:t>
      </w:r>
    </w:p>
    <w:p>
      <w:pPr>
        <w:jc w:val="both"/>
      </w:pPr>
      <w:r>
        <w:rPr>
          <w:rFonts w:ascii="Calibri" w:hAnsi="Calibri"/>
          <w:sz w:val="22"/>
        </w:rPr>
        <w:t xml:space="preserve">Applying </w:t>
      </w:r>
      <w:r>
        <w:rPr>
          <w:rFonts w:ascii="Calibri" w:hAnsi="Calibri"/>
          <w:b/>
          <w:sz w:val="22"/>
        </w:rPr>
        <w:t>directed versus emergent strategy</w:t>
      </w:r>
      <w:r>
        <w:rPr>
          <w:rFonts w:ascii="Calibri" w:hAnsi="Calibri"/>
          <w:sz w:val="22"/>
        </w:rPr>
        <w:t xml:space="preserve"> concepts: Ford+ represents directed strategy (Farley's 2021 vision, top-down reorganization), while business unit execution demonstrates emergent strategy (units adapting to market realities). Ford Pro discovered fleet software opportunity through customer interactions (bottom-up insight); Model e shifted EV strategy based on market demand (pivot from sedans to trucks/SUVs) (California Management Review, 2022).</w:t>
      </w:r>
    </w:p>
    <w:p>
      <w:pPr>
        <w:jc w:val="both"/>
      </w:pPr>
      <w:r>
        <w:rPr>
          <w:rFonts w:ascii="Calibri" w:hAnsi="Calibri"/>
          <w:b/>
          <w:sz w:val="22"/>
        </w:rPr>
        <w:t>Score Rationale:</w:t>
      </w:r>
      <w:r>
        <w:rPr>
          <w:rFonts w:ascii="Calibri" w:hAnsi="Calibri"/>
          <w:sz w:val="22"/>
        </w:rPr>
        <w:t xml:space="preserve"> Innovative structure with clear strategic logic, but execution complexity prevents excellent rating.</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w:t>
      </w:r>
    </w:p>
    <w:p>
      <w:pPr>
        <w:jc w:val="both"/>
      </w:pPr>
      <w:r>
        <w:rPr>
          <w:rFonts w:ascii="Calibri" w:hAnsi="Calibri"/>
          <w:b/>
          <w:sz w:val="22"/>
        </w:rPr>
        <w:t>Positive Indicators:</w:t>
      </w:r>
      <w:r>
        <w:rPr>
          <w:rFonts w:ascii="Calibri" w:hAnsi="Calibri"/>
          <w:sz w:val="22"/>
        </w:rPr>
        <w:t xml:space="preserve"> Attracting software developers to Model e; Bronco brand resurrection shows creative risk-taking; rapid EV strategy pivots demonstrate adaptability.</w:t>
      </w:r>
    </w:p>
    <w:p>
      <w:pPr>
        <w:jc w:val="both"/>
      </w:pPr>
      <w:r>
        <w:rPr>
          <w:rFonts w:ascii="Calibri" w:hAnsi="Calibri"/>
          <w:b/>
          <w:sz w:val="22"/>
        </w:rPr>
        <w:t>Negative Indicators:</w:t>
      </w:r>
      <w:r>
        <w:rPr>
          <w:rFonts w:ascii="Calibri" w:hAnsi="Calibri"/>
          <w:sz w:val="22"/>
        </w:rPr>
        <w:t xml:space="preserve"> 2023 UAW strike (46 days) indicates unresolved labor tensions; 2025 bonus cuts risk cultural backlash; workforce reduction from 186K (2020) to 171K (2024) includes involuntary turnover (Ford Motor Company, 2025).</w:t>
      </w:r>
    </w:p>
    <w:p>
      <w:pPr>
        <w:jc w:val="both"/>
      </w:pPr>
      <w:r>
        <w:rPr>
          <w:rFonts w:ascii="Calibri" w:hAnsi="Calibri"/>
          <w:sz w:val="22"/>
        </w:rPr>
        <w:t>Transforming 118-year automotive culture to tech culture requires generational time, not 3-4 years. Ford shows progress but faces significant resistance.</w:t>
      </w:r>
    </w:p>
    <w:p>
      <w:pPr>
        <w:jc w:val="both"/>
      </w:pPr>
      <w:r>
        <w:rPr>
          <w:rFonts w:ascii="Calibri" w:hAnsi="Calibri"/>
          <w:b/>
          <w:sz w:val="22"/>
        </w:rPr>
        <w:t>Score Rationale:</w:t>
      </w:r>
      <w:r>
        <w:rPr>
          <w:rFonts w:ascii="Calibri" w:hAnsi="Calibri"/>
          <w:sz w:val="22"/>
        </w:rPr>
        <w:t xml:space="preserve"> Movement in right direction, but UAW strike and bonus cuts indicate cultural transformation incomplete.</w:t>
      </w:r>
    </w:p>
    <w:p>
      <w:pPr>
        <w:pStyle w:val="Heading3"/>
      </w:pPr>
      <w:r>
        <w:rPr>
          <w:rFonts w:ascii="Calibri" w:hAnsi="Calibri"/>
          <w:color w:val="00509E"/>
        </w:rPr>
        <w:t>Pillar 5: Stakeholder Management (3/5)</w:t>
      </w:r>
    </w:p>
    <w:p>
      <w:pPr>
        <w:jc w:val="both"/>
      </w:pPr>
      <w:r>
        <w:rPr>
          <w:rFonts w:ascii="Calibri" w:hAnsi="Calibri"/>
          <w:sz w:val="22"/>
        </w:rPr>
        <w:t xml:space="preserve">Ford effectively communicates Ford+ plan through quarterly earnings, investor days, CEO town halls, and dealer councils. However, </w:t>
      </w:r>
      <w:r>
        <w:rPr>
          <w:rFonts w:ascii="Calibri" w:hAnsi="Calibri"/>
          <w:b/>
          <w:sz w:val="22"/>
        </w:rPr>
        <w:t>stakeholder buy-in</w:t>
      </w:r>
      <w:r>
        <w:rPr>
          <w:rFonts w:ascii="Calibri" w:hAnsi="Calibri"/>
          <w:sz w:val="22"/>
        </w:rPr>
        <w:t xml:space="preserve"> remains mixed:</w:t>
      </w:r>
    </w:p>
    <w:p>
      <w:pPr>
        <w:jc w:val="both"/>
      </w:pPr>
      <w:r>
        <w:rPr>
          <w:rFonts w:ascii="Calibri" w:hAnsi="Calibri"/>
          <w:sz w:val="22"/>
        </w:rPr>
        <w:t xml:space="preserve">- </w:t>
      </w:r>
      <w:r>
        <w:rPr>
          <w:rFonts w:ascii="Calibri" w:hAnsi="Calibri"/>
          <w:b/>
          <w:sz w:val="22"/>
        </w:rPr>
        <w:t>Shareholders</w:t>
      </w:r>
      <w:r>
        <w:rPr>
          <w:rFonts w:ascii="Calibri" w:hAnsi="Calibri"/>
          <w:sz w:val="22"/>
        </w:rPr>
        <w:t>: Stock decline suggests skepticism about Model e timeline</w:t>
      </w:r>
    </w:p>
    <w:p>
      <w:pPr>
        <w:jc w:val="both"/>
      </w:pPr>
      <w:r>
        <w:rPr>
          <w:rFonts w:ascii="Calibri" w:hAnsi="Calibri"/>
          <w:sz w:val="22"/>
        </w:rPr>
        <w:t xml:space="preserve">- </w:t>
      </w:r>
      <w:r>
        <w:rPr>
          <w:rFonts w:ascii="Calibri" w:hAnsi="Calibri"/>
          <w:b/>
          <w:sz w:val="22"/>
        </w:rPr>
        <w:t>Employees</w:t>
      </w:r>
      <w:r>
        <w:rPr>
          <w:rFonts w:ascii="Calibri" w:hAnsi="Calibri"/>
          <w:sz w:val="22"/>
        </w:rPr>
        <w:t>: Bonus cuts and workforce reduction undermine buy-in</w:t>
      </w:r>
    </w:p>
    <w:p>
      <w:pPr>
        <w:jc w:val="both"/>
      </w:pPr>
      <w:r>
        <w:rPr>
          <w:rFonts w:ascii="Calibri" w:hAnsi="Calibri"/>
          <w:sz w:val="22"/>
        </w:rPr>
        <w:t xml:space="preserve">- </w:t>
      </w:r>
      <w:r>
        <w:rPr>
          <w:rFonts w:ascii="Calibri" w:hAnsi="Calibri"/>
          <w:b/>
          <w:sz w:val="22"/>
        </w:rPr>
        <w:t>Dealers</w:t>
      </w:r>
      <w:r>
        <w:rPr>
          <w:rFonts w:ascii="Calibri" w:hAnsi="Calibri"/>
          <w:sz w:val="22"/>
        </w:rPr>
        <w:t>: EV direct-to-consumer exploration creates channel tension</w:t>
      </w:r>
    </w:p>
    <w:p>
      <w:pPr>
        <w:jc w:val="both"/>
      </w:pPr>
      <w:r>
        <w:rPr>
          <w:rFonts w:ascii="Calibri" w:hAnsi="Calibri"/>
          <w:sz w:val="22"/>
        </w:rPr>
        <w:t xml:space="preserve">- </w:t>
      </w:r>
      <w:r>
        <w:rPr>
          <w:rFonts w:ascii="Calibri" w:hAnsi="Calibri"/>
          <w:b/>
          <w:sz w:val="22"/>
        </w:rPr>
        <w:t>Suppliers</w:t>
      </w:r>
      <w:r>
        <w:rPr>
          <w:rFonts w:ascii="Calibri" w:hAnsi="Calibri"/>
          <w:sz w:val="22"/>
        </w:rPr>
        <w:t>: Strong relationships through battery partnerships</w:t>
      </w:r>
    </w:p>
    <w:p>
      <w:pPr>
        <w:jc w:val="both"/>
      </w:pPr>
      <w:r>
        <w:rPr>
          <w:rFonts w:ascii="Calibri" w:hAnsi="Calibri"/>
          <w:sz w:val="22"/>
        </w:rPr>
        <w:t xml:space="preserve">- </w:t>
      </w:r>
      <w:r>
        <w:rPr>
          <w:rFonts w:ascii="Calibri" w:hAnsi="Calibri"/>
          <w:b/>
          <w:sz w:val="22"/>
        </w:rPr>
        <w:t>UAW</w:t>
      </w:r>
      <w:r>
        <w:rPr>
          <w:rFonts w:ascii="Calibri" w:hAnsi="Calibri"/>
          <w:sz w:val="22"/>
        </w:rPr>
        <w:t>: 2023 strike indicates low buy-in on transition strategy</w:t>
      </w:r>
    </w:p>
    <w:p>
      <w:pPr>
        <w:jc w:val="both"/>
      </w:pPr>
      <w:r>
        <w:rPr>
          <w:rFonts w:ascii="Calibri" w:hAnsi="Calibri"/>
          <w:sz w:val="22"/>
        </w:rPr>
        <w:t xml:space="preserve">- </w:t>
      </w:r>
      <w:r>
        <w:rPr>
          <w:rFonts w:ascii="Calibri" w:hAnsi="Calibri"/>
          <w:b/>
          <w:sz w:val="22"/>
        </w:rPr>
        <w:t>Communities</w:t>
      </w:r>
      <w:r>
        <w:rPr>
          <w:rFonts w:ascii="Calibri" w:hAnsi="Calibri"/>
          <w:sz w:val="22"/>
        </w:rPr>
        <w:t>: Generally positive sustainability messaging</w:t>
      </w:r>
    </w:p>
    <w:p>
      <w:pPr>
        <w:jc w:val="both"/>
      </w:pPr>
      <w:r>
        <w:rPr>
          <w:rFonts w:ascii="Calibri" w:hAnsi="Calibri"/>
          <w:b/>
          <w:sz w:val="22"/>
        </w:rPr>
        <w:t>Score Rationale:</w:t>
      </w:r>
      <w:r>
        <w:rPr>
          <w:rFonts w:ascii="Calibri" w:hAnsi="Calibri"/>
          <w:sz w:val="22"/>
        </w:rPr>
        <w:t xml:space="preserve"> Communication adequate, but resistance (UAW strike, dealer concerns, stock decline) indicates incomplete stakeholder management.</w:t>
      </w:r>
    </w:p>
    <w:p>
      <w:pPr>
        <w:pStyle w:val="Heading3"/>
      </w:pPr>
      <w:r>
        <w:rPr>
          <w:rFonts w:ascii="Calibri" w:hAnsi="Calibri"/>
          <w:color w:val="00509E"/>
        </w:rPr>
        <w:t>Pillar 6: Employee Engagement (2/5) — **CRITICAL WEAKNESS**</w:t>
      </w:r>
    </w:p>
    <w:p>
      <w:pPr>
        <w:jc w:val="both"/>
      </w:pPr>
      <w:r>
        <w:rPr>
          <w:rFonts w:ascii="Calibri" w:hAnsi="Calibri"/>
          <w:b/>
          <w:sz w:val="22"/>
        </w:rPr>
        <w:t>Positive Factors:</w:t>
      </w:r>
      <w:r>
        <w:rPr>
          <w:rFonts w:ascii="Calibri" w:hAnsi="Calibri"/>
          <w:sz w:val="22"/>
        </w:rPr>
        <w:t xml:space="preserve"> Purpose-driven mission, Model e innovation work, iconic brand pride (F-150, Mustang).</w:t>
      </w:r>
    </w:p>
    <w:p>
      <w:pPr>
        <w:jc w:val="both"/>
      </w:pPr>
      <w:r>
        <w:rPr>
          <w:rFonts w:ascii="Calibri" w:hAnsi="Calibri"/>
          <w:b/>
          <w:sz w:val="22"/>
        </w:rPr>
        <w:t>Negative Factors:</w:t>
      </w:r>
      <w:r>
        <w:rPr>
          <w:rFonts w:ascii="Calibri" w:hAnsi="Calibri"/>
          <w:sz w:val="22"/>
        </w:rPr>
        <w:t xml:space="preserve"> Job insecurity (15,000 jobs lost), 2025 bonus cuts (~50% of middle managers), restructuring fatigue (2020, 2022, 2025 changes), union tensions from 2023 strike (Ford Motor Company, 2025; Ford Authority, 2025).</w:t>
      </w:r>
    </w:p>
    <w:p>
      <w:pPr>
        <w:jc w:val="both"/>
      </w:pPr>
      <w:r>
        <w:rPr>
          <w:rFonts w:ascii="Calibri" w:hAnsi="Calibri"/>
          <w:sz w:val="22"/>
        </w:rPr>
        <w:t>While Ford maintains 10 Employee Resource Groups, health and safety focus, and leadership development programs, the $1B cost savings directly contradicts engagement investment. Constant restructuring exhausts the workforce.</w:t>
      </w:r>
    </w:p>
    <w:p>
      <w:pPr>
        <w:jc w:val="both"/>
      </w:pPr>
      <w:r>
        <w:rPr>
          <w:rFonts w:ascii="Calibri" w:hAnsi="Calibri"/>
          <w:sz w:val="22"/>
        </w:rPr>
        <w:t>Eikenberry's (2019) guidance: "You must work harder to support and inspire your team, rather than just telling them what to do." Ford's 2025 actions (bonus cuts, restructuring) appear more "telling" than "inspiring."</w:t>
      </w:r>
    </w:p>
    <w:p>
      <w:pPr>
        <w:jc w:val="both"/>
      </w:pPr>
      <w:r>
        <w:rPr>
          <w:rFonts w:ascii="Calibri" w:hAnsi="Calibri"/>
          <w:b/>
          <w:sz w:val="22"/>
        </w:rPr>
        <w:t>Score Rationale:</w:t>
      </w:r>
      <w:r>
        <w:rPr>
          <w:rFonts w:ascii="Calibri" w:hAnsi="Calibri"/>
          <w:sz w:val="22"/>
        </w:rPr>
        <w:t xml:space="preserve"> Engagement declining due to cost-cutting and restructuring. This represents the highest-risk area for Ford+ implementation success.</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b/>
          <w:sz w:val="22"/>
        </w:rPr>
        <w:t>Overall SIR Score: 3.3/5.0 (Moderate Effectiveness)</w:t>
      </w:r>
    </w:p>
    <w:p>
      <w:pPr>
        <w:jc w:val="both"/>
      </w:pPr>
      <w:r>
        <w:rPr>
          <w:rFonts w:ascii="Calibri" w:hAnsi="Calibri"/>
          <w:sz w:val="22"/>
        </w:rPr>
        <w:t xml:space="preserve">Ford demonstrates </w:t>
      </w:r>
      <w:r>
        <w:rPr>
          <w:rFonts w:ascii="Calibri" w:hAnsi="Calibri"/>
          <w:b/>
          <w:sz w:val="22"/>
        </w:rPr>
        <w:t>strong strategic planning</w:t>
      </w:r>
      <w:r>
        <w:rPr>
          <w:rFonts w:ascii="Calibri" w:hAnsi="Calibri"/>
          <w:sz w:val="22"/>
        </w:rPr>
        <w:t xml:space="preserve"> (clear Ford+ vision, business unit structure) but </w:t>
      </w:r>
      <w:r>
        <w:rPr>
          <w:rFonts w:ascii="Calibri" w:hAnsi="Calibri"/>
          <w:b/>
          <w:sz w:val="22"/>
        </w:rPr>
        <w:t>uneven implementation execution</w:t>
      </w:r>
      <w:r>
        <w:rPr>
          <w:rFonts w:ascii="Calibri" w:hAnsi="Calibri"/>
          <w:sz w:val="22"/>
        </w:rPr>
        <w:t xml:space="preserve"> (employee engagement low, Model e losses widening, stakeholder buy-in mixed). The 2025 leadership changes address the weakest element—strategic coherence across business units—and could significantly improve implementation if successful.</w:t>
      </w:r>
    </w:p>
    <w:p>
      <w:pPr>
        <w:jc w:val="both"/>
      </w:pPr>
      <w:r>
        <w:rPr>
          <w:rFonts w:ascii="Calibri" w:hAnsi="Calibri"/>
          <w:b/>
          <w:sz w:val="22"/>
        </w:rPr>
        <w:t>Critical Risk:</w:t>
      </w:r>
      <w:r>
        <w:rPr>
          <w:rFonts w:ascii="Calibri" w:hAnsi="Calibri"/>
          <w:sz w:val="22"/>
        </w:rPr>
        <w:t xml:space="preserve"> Employee engagement decline threatens the entire Ford+ plan. No strategy succeeds without a willing workforce.</w:t>
      </w:r>
    </w:p>
    <w:p>
      <w:pPr>
        <w:jc w:val="both"/>
      </w:pPr>
      <w:r>
        <w:rPr>
          <w:rFonts w:ascii="Calibri" w:hAnsi="Calibri"/>
          <w:sz w:val="22"/>
        </w:rPr>
        <w:t>---</w:t>
      </w:r>
    </w:p>
    <w:p>
      <w:pPr>
        <w:pStyle w:val="Heading1"/>
      </w:pPr>
      <w:r>
        <w:rPr>
          <w:rFonts w:ascii="Calibri" w:hAnsi="Calibri"/>
          <w:color w:val="00005B"/>
        </w:rPr>
        <w:t>IV. CHALLENGES &amp; STRATEGIC RISKS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w:t>
      </w:r>
    </w:p>
    <w:p>
      <w:pPr>
        <w:jc w:val="both"/>
      </w:pPr>
      <w:r>
        <w:rPr>
          <w:rFonts w:ascii="Calibri" w:hAnsi="Calibri"/>
          <w:b/>
          <w:sz w:val="22"/>
        </w:rPr>
        <w:t>Strategic Dilemma:</w:t>
      </w:r>
      <w:r>
        <w:rPr>
          <w:rFonts w:ascii="Calibri" w:hAnsi="Calibri"/>
          <w:sz w:val="22"/>
        </w:rPr>
        <w:t xml:space="preserve"> Continue funding losses or pivot strategy? Continuing risks exhausting shareholder patience and capital; pivoting risks falling behind in critical technology transition.</w:t>
      </w:r>
    </w:p>
    <w:p>
      <w:pPr>
        <w:jc w:val="both"/>
      </w:pPr>
      <w:r>
        <w:rPr>
          <w:rFonts w:ascii="Calibri" w:hAnsi="Calibri"/>
          <w:b/>
          <w:sz w:val="22"/>
        </w:rPr>
        <w:t>Management Model Implication:</w:t>
      </w:r>
      <w:r>
        <w:rPr>
          <w:rFonts w:ascii="Calibri" w:hAnsi="Calibri"/>
          <w:sz w:val="22"/>
        </w:rPr>
        <w:t xml:space="preserve"> Emergent strategy (Model e autonomy) allowed losses to widen without sufficient oversight. The 2025 strategic centralization (Gjaja CSO) may impose needed discipline.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management model tension (Ford Authority, 2025). Root causes include profitability pressure from investors, EV investment cash drain, and competitive pricing pressure.</w:t>
      </w:r>
    </w:p>
    <w:p>
      <w:pPr>
        <w:jc w:val="both"/>
      </w:pPr>
      <w:r>
        <w:rPr>
          <w:rFonts w:ascii="Calibri" w:hAnsi="Calibri"/>
          <w:b/>
          <w:sz w:val="22"/>
        </w:rPr>
        <w:t>Strategic Risk:</w:t>
      </w:r>
      <w:r>
        <w:rPr>
          <w:rFonts w:ascii="Calibri" w:hAnsi="Calibri"/>
          <w:sz w:val="22"/>
        </w:rPr>
        <w:t xml:space="preserve"> Cost-cutting damages culture, innovation, and employee engagement—precisely the organizational capabilities needed for transformation.</w:t>
      </w:r>
    </w:p>
    <w:p>
      <w:pPr>
        <w:jc w:val="both"/>
      </w:pPr>
      <w:r>
        <w:rPr>
          <w:rFonts w:ascii="Calibri" w:hAnsi="Calibri"/>
          <w:b/>
          <w:sz w:val="22"/>
        </w:rPr>
        <w:t>Management Model Implication:</w:t>
      </w:r>
      <w:r>
        <w:rPr>
          <w:rFonts w:ascii="Calibri" w:hAnsi="Calibri"/>
          <w:sz w:val="22"/>
        </w:rPr>
        <w:t xml:space="preserve"> The shift from intrinsic motivation (purpose, innovation) to extrinsic pressure (performance, cost discipline) risks destroying cultural progress made 2021-2024. Eikenberry's (2019) distinction applies: "Compliance is 'I have to,' commitment is 'I want to.'" Cost cuts drive compliance, not the commitment needed for transformation.</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jc w:val="both"/>
      </w:pPr>
      <w:r>
        <w:rPr>
          <w:rFonts w:ascii="Calibri" w:hAnsi="Calibri"/>
          <w:sz w:val="22"/>
        </w:rPr>
        <w:t>---</w:t>
      </w:r>
    </w:p>
    <w:p>
      <w:pPr>
        <w:pStyle w:val="Heading1"/>
      </w:pPr>
      <w:r>
        <w:rPr>
          <w:rFonts w:ascii="Calibri" w:hAnsi="Calibri"/>
          <w:color w:val="00005B"/>
        </w:rPr>
        <w:t>V. STRATEGIC RECOMMENDATIONS</w:t>
      </w:r>
    </w:p>
    <w:p>
      <w:pPr>
        <w:pStyle w:val="Heading2"/>
      </w:pPr>
      <w:r>
        <w:rPr>
          <w:rFonts w:ascii="Calibri" w:hAnsi="Calibri"/>
          <w:color w:val="003478"/>
        </w:rPr>
        <w:t>Recommendation 1: Refine Management Model for Sustainable Balance</w:t>
      </w:r>
    </w:p>
    <w:p>
      <w:pPr>
        <w:jc w:val="both"/>
      </w:pPr>
      <w:r>
        <w:rPr>
          <w:rFonts w:ascii="Calibri" w:hAnsi="Calibri"/>
          <w:b/>
          <w:sz w:val="22"/>
        </w:rPr>
        <w:t>Issue:</w:t>
      </w:r>
      <w:r>
        <w:rPr>
          <w:rFonts w:ascii="Calibri" w:hAnsi="Calibri"/>
          <w:sz w:val="22"/>
        </w:rPr>
        <w:t xml:space="preserve"> Management model pendulum swinging excessively (2022 emergence → 2025 centralization).</w:t>
      </w:r>
    </w:p>
    <w:p>
      <w:pPr>
        <w:jc w:val="both"/>
      </w:pPr>
      <w:r>
        <w:rPr>
          <w:rFonts w:ascii="Calibri" w:hAnsi="Calibri"/>
          <w:b/>
          <w:sz w:val="22"/>
        </w:rPr>
        <w:t>Recommendation:</w:t>
      </w:r>
      <w:r>
        <w:rPr>
          <w:rFonts w:ascii="Calibri" w:hAnsi="Calibri"/>
          <w:sz w:val="22"/>
        </w:rPr>
        <w:t xml:space="preserve"> Stabilize on balanced hybrid model combining best elements of both poles.</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Objectives</w:t>
      </w:r>
      <w:r>
        <w:rPr>
          <w:rFonts w:ascii="Calibri" w:hAnsi="Calibri"/>
          <w:sz w:val="22"/>
        </w:rPr>
        <w:t>: Maintain oblique vision ("better world") while setting realistic unit targets (Model e breakeven by 2027)</w:t>
      </w:r>
    </w:p>
    <w:p>
      <w:pPr>
        <w:jc w:val="both"/>
      </w:pPr>
      <w:r>
        <w:rPr>
          <w:rFonts w:ascii="Calibri" w:hAnsi="Calibri"/>
          <w:sz w:val="22"/>
        </w:rPr>
        <w:t xml:space="preserve">2. </w:t>
      </w:r>
      <w:r>
        <w:rPr>
          <w:rFonts w:ascii="Calibri" w:hAnsi="Calibri"/>
          <w:b/>
          <w:sz w:val="22"/>
        </w:rPr>
        <w:t>Motivation</w:t>
      </w:r>
      <w:r>
        <w:rPr>
          <w:rFonts w:ascii="Calibri" w:hAnsi="Calibri"/>
          <w:sz w:val="22"/>
        </w:rPr>
        <w:t>: Restore intrinsic/extrinsic balance by reversing 2025 bonus cuts for top performers and implementing innovation rewards separate from financial bonuses</w:t>
      </w:r>
    </w:p>
    <w:p>
      <w:pPr>
        <w:jc w:val="both"/>
      </w:pPr>
      <w:r>
        <w:rPr>
          <w:rFonts w:ascii="Calibri" w:hAnsi="Calibri"/>
          <w:sz w:val="22"/>
        </w:rPr>
        <w:t xml:space="preserve">3. </w:t>
      </w:r>
      <w:r>
        <w:rPr>
          <w:rFonts w:ascii="Calibri" w:hAnsi="Calibri"/>
          <w:b/>
          <w:sz w:val="22"/>
        </w:rPr>
        <w:t>Coordination</w:t>
      </w:r>
      <w:r>
        <w:rPr>
          <w:rFonts w:ascii="Calibri" w:hAnsi="Calibri"/>
          <w:sz w:val="22"/>
        </w:rPr>
        <w:t>: Preserve business unit autonomy with strategic guardrails—Gjaja coordinates strategy but doesn't dictate tactics</w:t>
      </w:r>
    </w:p>
    <w:p>
      <w:pPr>
        <w:jc w:val="both"/>
      </w:pPr>
      <w:r>
        <w:rPr>
          <w:rFonts w:ascii="Calibri" w:hAnsi="Calibri"/>
          <w:sz w:val="22"/>
        </w:rPr>
        <w:t xml:space="preserve">4. </w:t>
      </w:r>
      <w:r>
        <w:rPr>
          <w:rFonts w:ascii="Calibri" w:hAnsi="Calibri"/>
          <w:b/>
          <w:sz w:val="22"/>
        </w:rPr>
        <w:t>Decision-Making</w:t>
      </w:r>
      <w:r>
        <w:rPr>
          <w:rFonts w:ascii="Calibri" w:hAnsi="Calibri"/>
          <w:sz w:val="22"/>
        </w:rPr>
        <w:t>: Clarify decision authority matrix (unit presidents: operations/pricing; CEO + CSO: capital allocation/brand strategy)</w:t>
      </w:r>
    </w:p>
    <w:p>
      <w:pPr>
        <w:jc w:val="both"/>
      </w:pPr>
      <w:r>
        <w:rPr>
          <w:rFonts w:ascii="Calibri" w:hAnsi="Calibri"/>
          <w:b/>
          <w:sz w:val="22"/>
        </w:rPr>
        <w:t>Expected Outcome:</w:t>
      </w:r>
      <w:r>
        <w:rPr>
          <w:rFonts w:ascii="Calibri" w:hAnsi="Calibri"/>
          <w:sz w:val="22"/>
        </w:rPr>
        <w:t xml:space="preserve"> Organizational stability, improved employee engagement (2/5 → 4/5), maintained innovation with added strategic coherence.</w:t>
      </w:r>
    </w:p>
    <w:p>
      <w:pPr>
        <w:jc w:val="both"/>
      </w:pPr>
      <w:r>
        <w:rPr>
          <w:rFonts w:ascii="Calibri" w:hAnsi="Calibri"/>
          <w:b/>
          <w:sz w:val="22"/>
        </w:rPr>
        <w:t>Theoretical Grounding:</w:t>
      </w:r>
      <w:r>
        <w:rPr>
          <w:rFonts w:ascii="Calibri" w:hAnsi="Calibri"/>
          <w:sz w:val="22"/>
        </w:rPr>
        <w:t xml:space="preserve"> Birkinshaw and Goddard (2009) note: "There is no one best management model." Effective organizations consciously choose positions on each dimension based on competitive context. Ford's challenge is finding sustainable balance rather than oscillating between extremes.</w:t>
      </w:r>
    </w:p>
    <w:p>
      <w:pPr>
        <w:pStyle w:val="Heading2"/>
      </w:pPr>
      <w:r>
        <w:rPr>
          <w:rFonts w:ascii="Calibri" w:hAnsi="Calibri"/>
          <w:color w:val="003478"/>
        </w:rPr>
        <w:t>Recommendation 2: Accelerate Model e Profitability Through Three-Horizon Strategy</w:t>
      </w:r>
    </w:p>
    <w:p>
      <w:pPr>
        <w:jc w:val="both"/>
      </w:pPr>
      <w:r>
        <w:rPr>
          <w:rFonts w:ascii="Calibri" w:hAnsi="Calibri"/>
          <w:b/>
          <w:sz w:val="22"/>
        </w:rPr>
        <w:t>Issue:</w:t>
      </w:r>
      <w:r>
        <w:rPr>
          <w:rFonts w:ascii="Calibri" w:hAnsi="Calibri"/>
          <w:sz w:val="22"/>
        </w:rPr>
        <w:t xml:space="preserve"> Model e -$5.4B loss unsustainable; EV transition strategically critical.</w:t>
      </w:r>
    </w:p>
    <w:p>
      <w:pPr>
        <w:jc w:val="both"/>
      </w:pPr>
      <w:r>
        <w:rPr>
          <w:rFonts w:ascii="Calibri" w:hAnsi="Calibri"/>
          <w:b/>
          <w:sz w:val="22"/>
        </w:rPr>
        <w:t>Recommendation:</w:t>
      </w:r>
      <w:r>
        <w:rPr>
          <w:rFonts w:ascii="Calibri" w:hAnsi="Calibri"/>
          <w:sz w:val="22"/>
        </w:rPr>
        <w:t xml:space="preserve"> Implement three-horizon approach balancing short-term cost reduction, medium-term product focus, and long-term revenue diversification.</w:t>
      </w:r>
    </w:p>
    <w:p>
      <w:pPr>
        <w:jc w:val="both"/>
      </w:pPr>
      <w:r>
        <w:rPr>
          <w:rFonts w:ascii="Calibri" w:hAnsi="Calibri"/>
          <w:b/>
          <w:sz w:val="22"/>
        </w:rPr>
        <w:t>Horizon 1 (2025-2026): Cost Reduction</w:t>
      </w:r>
    </w:p>
    <w:p>
      <w:pPr>
        <w:jc w:val="both"/>
      </w:pPr>
      <w:r>
        <w:rPr>
          <w:rFonts w:ascii="Calibri" w:hAnsi="Calibri"/>
          <w:sz w:val="22"/>
        </w:rPr>
        <w:t>- Reduce per-unit loss from $45,000 to $25,000 through battery cost reduction (scale, in-house production), manufacturing efficiency (learning curve acceleration), and platform sharing with Blue</w:t>
      </w:r>
    </w:p>
    <w:p>
      <w:pPr>
        <w:jc w:val="both"/>
      </w:pPr>
      <w:r>
        <w:rPr>
          <w:rFonts w:ascii="Calibri" w:hAnsi="Calibri"/>
          <w:sz w:val="22"/>
        </w:rPr>
        <w:t>- Target: -$3B losses (2025), -$1.5B (2026)</w:t>
      </w:r>
    </w:p>
    <w:p>
      <w:pPr>
        <w:jc w:val="both"/>
      </w:pPr>
      <w:r>
        <w:rPr>
          <w:rFonts w:ascii="Calibri" w:hAnsi="Calibri"/>
          <w:b/>
          <w:sz w:val="22"/>
        </w:rPr>
        <w:t>Horizon 2 (2026-2027): Selective Product Focus</w:t>
      </w:r>
    </w:p>
    <w:p>
      <w:pPr>
        <w:jc w:val="both"/>
      </w:pPr>
      <w:r>
        <w:rPr>
          <w:rFonts w:ascii="Calibri" w:hAnsi="Calibri"/>
          <w:sz w:val="22"/>
        </w:rPr>
        <w:t xml:space="preserve">- </w:t>
      </w:r>
      <w:r>
        <w:rPr>
          <w:rFonts w:ascii="Calibri" w:hAnsi="Calibri"/>
          <w:b/>
          <w:sz w:val="22"/>
        </w:rPr>
        <w:t>Prioritize</w:t>
      </w:r>
      <w:r>
        <w:rPr>
          <w:rFonts w:ascii="Calibri" w:hAnsi="Calibri"/>
          <w:sz w:val="22"/>
        </w:rPr>
        <w:t>: F-150 Lightning (truck market strength), commercial EVs (Pro synergy)</w:t>
      </w:r>
    </w:p>
    <w:p>
      <w:pPr>
        <w:jc w:val="both"/>
      </w:pPr>
      <w:r>
        <w:rPr>
          <w:rFonts w:ascii="Calibri" w:hAnsi="Calibri"/>
          <w:sz w:val="22"/>
        </w:rPr>
        <w:t xml:space="preserve">- </w:t>
      </w:r>
      <w:r>
        <w:rPr>
          <w:rFonts w:ascii="Calibri" w:hAnsi="Calibri"/>
          <w:b/>
          <w:sz w:val="22"/>
        </w:rPr>
        <w:t>Deprioritize</w:t>
      </w:r>
      <w:r>
        <w:rPr>
          <w:rFonts w:ascii="Calibri" w:hAnsi="Calibri"/>
          <w:sz w:val="22"/>
        </w:rPr>
        <w:t>: EV sedans (weak market, Tesla dominance)</w:t>
      </w:r>
    </w:p>
    <w:p>
      <w:pPr>
        <w:jc w:val="both"/>
      </w:pPr>
      <w:r>
        <w:rPr>
          <w:rFonts w:ascii="Calibri" w:hAnsi="Calibri"/>
          <w:sz w:val="22"/>
        </w:rPr>
        <w:t xml:space="preserve">- </w:t>
      </w:r>
      <w:r>
        <w:rPr>
          <w:rFonts w:ascii="Calibri" w:hAnsi="Calibri"/>
          <w:b/>
          <w:sz w:val="22"/>
        </w:rPr>
        <w:t>Launch</w:t>
      </w:r>
      <w:r>
        <w:rPr>
          <w:rFonts w:ascii="Calibri" w:hAnsi="Calibri"/>
          <w:sz w:val="22"/>
        </w:rPr>
        <w:t>: Affordable EV ($30-35K) using lower-cost battery technology</w:t>
      </w:r>
    </w:p>
    <w:p>
      <w:pPr>
        <w:jc w:val="both"/>
      </w:pPr>
      <w:r>
        <w:rPr>
          <w:rFonts w:ascii="Calibri" w:hAnsi="Calibri"/>
          <w:sz w:val="22"/>
        </w:rPr>
        <w:t>- Target: Breakeven by end of 2027</w:t>
      </w:r>
    </w:p>
    <w:p>
      <w:pPr>
        <w:jc w:val="both"/>
      </w:pPr>
      <w:r>
        <w:rPr>
          <w:rFonts w:ascii="Calibri" w:hAnsi="Calibri"/>
          <w:b/>
          <w:sz w:val="22"/>
        </w:rPr>
        <w:t>Horizon 3 (2027-2030): Software/Services Revenue</w:t>
      </w:r>
    </w:p>
    <w:p>
      <w:pPr>
        <w:jc w:val="both"/>
      </w:pPr>
      <w:r>
        <w:rPr>
          <w:rFonts w:ascii="Calibri" w:hAnsi="Calibri"/>
          <w:sz w:val="22"/>
        </w:rPr>
        <w:t>- Develop subscription services (BlueCruise autonomous features, over-the-air capability updates)</w:t>
      </w:r>
    </w:p>
    <w:p>
      <w:pPr>
        <w:jc w:val="both"/>
      </w:pPr>
      <w:r>
        <w:rPr>
          <w:rFonts w:ascii="Calibri" w:hAnsi="Calibri"/>
          <w:sz w:val="22"/>
        </w:rPr>
        <w:t>- Fleet charging solutions integrated with Ford Pro</w:t>
      </w:r>
    </w:p>
    <w:p>
      <w:pPr>
        <w:jc w:val="both"/>
      </w:pPr>
      <w:r>
        <w:rPr>
          <w:rFonts w:ascii="Calibri" w:hAnsi="Calibri"/>
          <w:sz w:val="22"/>
        </w:rPr>
        <w:t>- Battery recycling business (circular economy)</w:t>
      </w:r>
    </w:p>
    <w:p>
      <w:pPr>
        <w:jc w:val="both"/>
      </w:pPr>
      <w:r>
        <w:rPr>
          <w:rFonts w:ascii="Calibri" w:hAnsi="Calibri"/>
          <w:sz w:val="22"/>
        </w:rPr>
        <w:t>- Target: 10-15% of Model e revenue from high-margin services</w:t>
      </w:r>
    </w:p>
    <w:p>
      <w:pPr>
        <w:jc w:val="both"/>
      </w:pPr>
      <w:r>
        <w:rPr>
          <w:rFonts w:ascii="Calibri" w:hAnsi="Calibri"/>
          <w:b/>
          <w:sz w:val="22"/>
        </w:rPr>
        <w:t>Expected Outcome:</w:t>
      </w:r>
      <w:r>
        <w:rPr>
          <w:rFonts w:ascii="Calibri" w:hAnsi="Calibri"/>
          <w:sz w:val="22"/>
        </w:rPr>
        <w:t xml:space="preserve"> Clear path to profitability restores shareholder confidence while maintaining EV transition momentum. Operations strategy principles—economies of scale (higher volume lowers per-unit costs) and learning curve (experience reduces manufacturing time)—support feasibility.</w:t>
      </w:r>
    </w:p>
    <w:p>
      <w:pPr>
        <w:pStyle w:val="Heading2"/>
      </w:pPr>
      <w:r>
        <w:rPr>
          <w:rFonts w:ascii="Calibri" w:hAnsi="Calibri"/>
          <w:color w:val="003478"/>
        </w:rPr>
        <w:t>Recommendation 3: Rebuild Employee Engagement Through Stakeholder Capitalism</w:t>
      </w:r>
    </w:p>
    <w:p>
      <w:pPr>
        <w:jc w:val="both"/>
      </w:pPr>
      <w:r>
        <w:rPr>
          <w:rFonts w:ascii="Calibri" w:hAnsi="Calibri"/>
          <w:b/>
          <w:sz w:val="22"/>
        </w:rPr>
        <w:t>Issue:</w:t>
      </w:r>
      <w:r>
        <w:rPr>
          <w:rFonts w:ascii="Calibri" w:hAnsi="Calibri"/>
          <w:sz w:val="22"/>
        </w:rPr>
        <w:t xml:space="preserve"> Employee engagement declining (2/5) due to restructuring and cost-cutting.</w:t>
      </w:r>
    </w:p>
    <w:p>
      <w:pPr>
        <w:jc w:val="both"/>
      </w:pPr>
      <w:r>
        <w:rPr>
          <w:rFonts w:ascii="Calibri" w:hAnsi="Calibri"/>
          <w:b/>
          <w:sz w:val="22"/>
        </w:rPr>
        <w:t>Recommendation:</w:t>
      </w:r>
      <w:r>
        <w:rPr>
          <w:rFonts w:ascii="Calibri" w:hAnsi="Calibri"/>
          <w:sz w:val="22"/>
        </w:rPr>
        <w:t xml:space="preserve"> Apply stakeholder capitalism principles emphasizing employee value alongside shareholder value.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Transparent Communication</w:t>
      </w:r>
      <w:r>
        <w:rPr>
          <w:rFonts w:ascii="Calibri" w:hAnsi="Calibri"/>
          <w:sz w:val="22"/>
        </w:rPr>
        <w:t>: Monthly CEO town halls explaining Ford+ progress and challenges; unit-level forums for employee voice; clear job security communication and EV transition workforce plans</w:t>
      </w:r>
    </w:p>
    <w:p>
      <w:pPr>
        <w:jc w:val="both"/>
      </w:pPr>
      <w:r>
        <w:rPr>
          <w:rFonts w:ascii="Calibri" w:hAnsi="Calibri"/>
          <w:sz w:val="22"/>
        </w:rPr>
        <w:t xml:space="preserve">2. </w:t>
      </w:r>
      <w:r>
        <w:rPr>
          <w:rFonts w:ascii="Calibri" w:hAnsi="Calibri"/>
          <w:b/>
          <w:sz w:val="22"/>
        </w:rPr>
        <w:t>Reskilling Investment</w:t>
      </w:r>
      <w:r>
        <w:rPr>
          <w:rFonts w:ascii="Calibri" w:hAnsi="Calibri"/>
          <w:sz w:val="22"/>
        </w:rPr>
        <w:t>: $500M EV workforce training program with guarantee that ICE workers can transition to EV jobs with training; UAW partnership on curriculum development</w:t>
      </w:r>
    </w:p>
    <w:p>
      <w:pPr>
        <w:jc w:val="both"/>
      </w:pPr>
      <w:r>
        <w:rPr>
          <w:rFonts w:ascii="Calibri" w:hAnsi="Calibri"/>
          <w:sz w:val="22"/>
        </w:rPr>
        <w:t xml:space="preserve">3. </w:t>
      </w:r>
      <w:r>
        <w:rPr>
          <w:rFonts w:ascii="Calibri" w:hAnsi="Calibri"/>
          <w:b/>
          <w:sz w:val="22"/>
        </w:rPr>
        <w:t>Shared Success</w:t>
      </w:r>
      <w:r>
        <w:rPr>
          <w:rFonts w:ascii="Calibri" w:hAnsi="Calibri"/>
          <w:sz w:val="22"/>
        </w:rPr>
        <w:t>: Restore bonuses for middle managers (performance-based); implement profit-sharing if company exceeds EBIT targets; unit-level team achievement bonuses</w:t>
      </w:r>
    </w:p>
    <w:p>
      <w:pPr>
        <w:jc w:val="both"/>
      </w:pPr>
      <w:r>
        <w:rPr>
          <w:rFonts w:ascii="Calibri" w:hAnsi="Calibri"/>
          <w:sz w:val="22"/>
        </w:rPr>
        <w:t xml:space="preserve">4. </w:t>
      </w:r>
      <w:r>
        <w:rPr>
          <w:rFonts w:ascii="Calibri" w:hAnsi="Calibri"/>
          <w:b/>
          <w:sz w:val="22"/>
        </w:rPr>
        <w:t>Work-Life Balance</w:t>
      </w:r>
      <w:r>
        <w:rPr>
          <w:rFonts w:ascii="Calibri" w:hAnsi="Calibri"/>
          <w:sz w:val="22"/>
        </w:rPr>
        <w:t>: Flexible work arrangements where possible; mental health support programs; recognition beyond compensation</w:t>
      </w:r>
    </w:p>
    <w:p>
      <w:pPr>
        <w:jc w:val="both"/>
      </w:pPr>
      <w:r>
        <w:rPr>
          <w:rFonts w:ascii="Calibri" w:hAnsi="Calibri"/>
          <w:b/>
          <w:sz w:val="22"/>
        </w:rPr>
        <w:t>Expected Outcome:</w:t>
      </w:r>
      <w:r>
        <w:rPr>
          <w:rFonts w:ascii="Calibri" w:hAnsi="Calibri"/>
          <w:sz w:val="22"/>
        </w:rPr>
        <w:t xml:space="preserve"> Employee engagement improves to (4/5), reducing turnover, improving innovation, and supporting cultural transformation.</w:t>
      </w:r>
    </w:p>
    <w:p>
      <w:pPr>
        <w:jc w:val="both"/>
      </w:pPr>
      <w:r>
        <w:rPr>
          <w:rFonts w:ascii="Calibri" w:hAnsi="Calibri"/>
          <w:b/>
          <w:sz w:val="22"/>
        </w:rPr>
        <w:t>Theoretical Grounding:</w:t>
      </w:r>
      <w:r>
        <w:rPr>
          <w:rFonts w:ascii="Calibri" w:hAnsi="Calibri"/>
          <w:sz w:val="22"/>
        </w:rPr>
        <w:t xml:space="preserve"> Eikenberry (2019) emphasizes: "You must work harder to support and inspire your team, rather than just telling them what to do." Rebuilding engagement requires genuine investment, not rhetorical commitment.</w:t>
      </w:r>
    </w:p>
    <w:p>
      <w:pPr>
        <w:pStyle w:val="Heading2"/>
      </w:pPr>
      <w:r>
        <w:rPr>
          <w:rFonts w:ascii="Calibri" w:hAnsi="Calibri"/>
          <w:color w:val="003478"/>
        </w:rPr>
        <w:t>Recommendation 4: Leverage Ford Pro Success for Competitive Differentiation</w:t>
      </w:r>
    </w:p>
    <w:p>
      <w:pPr>
        <w:jc w:val="both"/>
      </w:pPr>
      <w:r>
        <w:rPr>
          <w:rFonts w:ascii="Calibri" w:hAnsi="Calibri"/>
          <w:b/>
          <w:sz w:val="22"/>
        </w:rPr>
        <w:t>Issue:</w:t>
      </w:r>
      <w:r>
        <w:rPr>
          <w:rFonts w:ascii="Calibri" w:hAnsi="Calibri"/>
          <w:sz w:val="22"/>
        </w:rPr>
        <w:t xml:space="preserve"> Ford Pro is star performer ($9B EBIT) but underleverage for competitive advantage.</w:t>
      </w:r>
    </w:p>
    <w:p>
      <w:pPr>
        <w:jc w:val="both"/>
      </w:pPr>
      <w:r>
        <w:rPr>
          <w:rFonts w:ascii="Calibri" w:hAnsi="Calibri"/>
          <w:b/>
          <w:sz w:val="22"/>
        </w:rPr>
        <w:t>Recommendation:</w:t>
      </w:r>
      <w:r>
        <w:rPr>
          <w:rFonts w:ascii="Calibri" w:hAnsi="Calibri"/>
          <w:sz w:val="22"/>
        </w:rPr>
        <w:t xml:space="preserve"> Make Ford Pro the strategic differentiator by extending its model enterprise-wide.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Expand Pro Model to Blue</w:t>
      </w:r>
      <w:r>
        <w:rPr>
          <w:rFonts w:ascii="Calibri" w:hAnsi="Calibri"/>
          <w:sz w:val="22"/>
        </w:rPr>
        <w:t>: Apply software/services approach to consumer vehicles; develop subscription telematics for F-150 retail customers (fleet management for individuals)</w:t>
      </w:r>
    </w:p>
    <w:p>
      <w:pPr>
        <w:jc w:val="both"/>
      </w:pPr>
      <w:r>
        <w:rPr>
          <w:rFonts w:ascii="Calibri" w:hAnsi="Calibri"/>
          <w:sz w:val="22"/>
        </w:rPr>
        <w:t xml:space="preserve">2. </w:t>
      </w:r>
      <w:r>
        <w:rPr>
          <w:rFonts w:ascii="Calibri" w:hAnsi="Calibri"/>
          <w:b/>
          <w:sz w:val="22"/>
        </w:rPr>
        <w:t>Integrated EV Solutions</w:t>
      </w:r>
      <w:r>
        <w:rPr>
          <w:rFonts w:ascii="Calibri" w:hAnsi="Calibri"/>
          <w:sz w:val="22"/>
        </w:rPr>
        <w:t>: Bundle Model e commercial EVs with Pro fleet software; offer charging infrastructure as service; provide total cost of ownership calculators showing EV savings</w:t>
      </w:r>
    </w:p>
    <w:p>
      <w:pPr>
        <w:jc w:val="both"/>
      </w:pPr>
      <w:r>
        <w:rPr>
          <w:rFonts w:ascii="Calibri" w:hAnsi="Calibri"/>
          <w:sz w:val="22"/>
        </w:rPr>
        <w:t xml:space="preserve">3. </w:t>
      </w:r>
      <w:r>
        <w:rPr>
          <w:rFonts w:ascii="Calibri" w:hAnsi="Calibri"/>
          <w:b/>
          <w:sz w:val="22"/>
        </w:rPr>
        <w:t>B2B2C Strategy</w:t>
      </w:r>
      <w:r>
        <w:rPr>
          <w:rFonts w:ascii="Calibri" w:hAnsi="Calibri"/>
          <w:sz w:val="22"/>
        </w:rPr>
        <w:t>: Use Pro commercial relationships to reach consumer customers; fleet drivers become brand ambassadors; employee purchase programs through commercial customers</w:t>
      </w:r>
    </w:p>
    <w:p>
      <w:pPr>
        <w:jc w:val="both"/>
      </w:pPr>
      <w:r>
        <w:rPr>
          <w:rFonts w:ascii="Calibri" w:hAnsi="Calibri"/>
          <w:sz w:val="22"/>
        </w:rPr>
        <w:t xml:space="preserve">4. </w:t>
      </w:r>
      <w:r>
        <w:rPr>
          <w:rFonts w:ascii="Calibri" w:hAnsi="Calibri"/>
          <w:b/>
          <w:sz w:val="22"/>
        </w:rPr>
        <w:t>Data Monetization</w:t>
      </w:r>
      <w:r>
        <w:rPr>
          <w:rFonts w:ascii="Calibri" w:hAnsi="Calibri"/>
          <w:sz w:val="22"/>
        </w:rPr>
        <w:t>: Aggregate anonymized fleet data for urban planning insights; sell predictive maintenance data to parts suppliers; offer benchmarking services to fleet managers</w:t>
      </w:r>
    </w:p>
    <w:p>
      <w:pPr>
        <w:jc w:val="both"/>
      </w:pPr>
      <w:r>
        <w:rPr>
          <w:rFonts w:ascii="Calibri" w:hAnsi="Calibri"/>
          <w:b/>
          <w:sz w:val="22"/>
        </w:rPr>
        <w:t>Expected Outcome:</w:t>
      </w:r>
      <w:r>
        <w:rPr>
          <w:rFonts w:ascii="Calibri" w:hAnsi="Calibri"/>
          <w:sz w:val="22"/>
        </w:rPr>
        <w:t xml:space="preserve"> Ford Pro differentiates Ford from all competitors—none have equivalent commercial/software integration—creating sustainable competitive "moat."</w:t>
      </w:r>
    </w:p>
    <w:p>
      <w:pPr>
        <w:jc w:val="both"/>
      </w:pPr>
      <w:r>
        <w:rPr>
          <w:rFonts w:ascii="Calibri" w:hAnsi="Calibri"/>
          <w:b/>
          <w:sz w:val="22"/>
        </w:rPr>
        <w:t>Strategic Logic:</w:t>
      </w:r>
      <w:r>
        <w:rPr>
          <w:rFonts w:ascii="Calibri" w:hAnsi="Calibri"/>
          <w:sz w:val="22"/>
        </w:rPr>
        <w:t xml:space="preserve"> Operations strategy resource-based view (Casadesus-Masanell, 2007) suggests sustainable competitive advantage derives from unique, hard-to-imitate capabilities.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