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Ford faces intense competitive pressure across multiple dimensions.</w:t>
      </w:r>
    </w:p>
    <w:p>
      <w:pPr>
        <w:jc w:val="both"/>
      </w:pPr>
      <w:r>
        <w:rPr>
          <w:rFonts w:ascii="Calibri" w:hAnsi="Calibri"/>
          <w:b/>
          <w:sz w:val="22"/>
        </w:rPr>
        <w:t>Intensity of Competitive Rivalry (High):</w:t>
      </w:r>
      <w:r>
        <w:rPr>
          <w:rFonts w:ascii="Calibri" w:hAnsi="Calibri"/>
          <w:sz w:val="22"/>
        </w:rPr>
        <w:t xml:space="preserve"> Traditional OEM competition from General Motors and Stellantis, EV disruptor Tesla with its direct-sales model and software expertise, and rising Asian manufacturers like Toyota (hybrid strength) and Hyundai-Kia create multi-front competitive battles. Ford's response—the three-business-unit structure—attempts focused competitive strategies rather than one-size-fits-all approaches.</w:t>
      </w:r>
    </w:p>
    <w:p>
      <w:pPr>
        <w:jc w:val="both"/>
      </w:pPr>
      <w:r>
        <w:rPr>
          <w:rFonts w:ascii="Calibri" w:hAnsi="Calibri"/>
          <w:b/>
          <w:sz w:val="22"/>
        </w:rPr>
        <w:t>Threat of New Entrants (Medium-High):</w:t>
      </w:r>
      <w:r>
        <w:rPr>
          <w:rFonts w:ascii="Calibri" w:hAnsi="Calibri"/>
          <w:sz w:val="22"/>
        </w:rPr>
        <w:t xml:space="preserve"> While capital barriers remain high ($8.5B R&amp;D, 2024), the EV transition lowers entry barriers through simpler powertrains and fewer components. Tech companies entering mobility amplify this threat. Ford's Ford+ plan emphasizes software and services differentiation to defend against new entrants.</w:t>
      </w:r>
    </w:p>
    <w:p>
      <w:pPr>
        <w:jc w:val="both"/>
      </w:pPr>
      <w:r>
        <w:rPr>
          <w:rFonts w:ascii="Calibri" w:hAnsi="Calibri"/>
          <w:b/>
          <w:sz w:val="22"/>
        </w:rPr>
        <w:t>Bargaining Power of Suppliers (Medium-High):</w:t>
      </w:r>
      <w:r>
        <w:rPr>
          <w:rFonts w:ascii="Calibri" w:hAnsi="Calibri"/>
          <w:sz w:val="22"/>
        </w:rPr>
        <w:t xml:space="preserve"> Limited EV battery manufacturers (LG, Samsung, CATL) and semiconductor shortages (2021-2023) demonstrate supplier power. Ford responds through vertical integration, including battery plants and supplier partnerships.</w:t>
      </w:r>
    </w:p>
    <w:p>
      <w:pPr>
        <w:jc w:val="both"/>
      </w:pPr>
      <w:r>
        <w:rPr>
          <w:rFonts w:ascii="Calibri" w:hAnsi="Calibri"/>
          <w:b/>
          <w:sz w:val="22"/>
        </w:rPr>
        <w:t>Bargaining Power of Buyers (Medium):</w:t>
      </w:r>
      <w:r>
        <w:rPr>
          <w:rFonts w:ascii="Calibri" w:hAnsi="Calibri"/>
          <w:sz w:val="22"/>
        </w:rPr>
        <w:t xml:space="preserve"> Commercial customers (Ford Pro) wield significant fleet purchasing leverage, while retail customers have moderate power mitigated by brand loyalty. Ford's 9,006 dealerships (2024) provide customer access, though Model e explores direct-to-consumer sales (Ford Motor Company, 2025).</w:t>
      </w:r>
    </w:p>
    <w:p>
      <w:pPr>
        <w:jc w:val="both"/>
      </w:pPr>
      <w:r>
        <w:rPr>
          <w:rFonts w:ascii="Calibri" w:hAnsi="Calibri"/>
          <w:b/>
          <w:sz w:val="22"/>
        </w:rPr>
        <w:t>Threat of Substitutes (Medium-Low):</w:t>
      </w:r>
      <w:r>
        <w:rPr>
          <w:rFonts w:ascii="Calibri" w:hAnsi="Calibri"/>
          <w:sz w:val="22"/>
        </w:rPr>
        <w:t xml:space="preserve"> Public transportation, ride-sharing (Uber, Lyft), and future autonomous mobility present substitute threats. Ford Next segment explores mobility solutions to address this force.</w:t>
      </w:r>
    </w:p>
    <w:p>
      <w:pPr>
        <w:pStyle w:val="Heading2"/>
      </w:pPr>
      <w:r>
        <w:rPr>
          <w:rFonts w:ascii="Calibri" w:hAnsi="Calibri"/>
          <w:color w:val="003478"/>
        </w:rPr>
        <w:t>Strategic Inflection Points (2020-2025)</w:t>
      </w:r>
    </w:p>
    <w:p>
      <w:pPr>
        <w:jc w:val="both"/>
      </w:pPr>
      <w:r>
        <w:rPr>
          <w:rFonts w:ascii="Calibri" w:hAnsi="Calibri"/>
          <w:b/>
          <w:sz w:val="22"/>
        </w:rPr>
        <w:t>October 2020: Jim Farley Becomes CEO</w:t>
      </w:r>
      <w:r>
        <w:rPr>
          <w:rFonts w:ascii="Calibri" w:hAnsi="Calibri"/>
          <w:sz w:val="22"/>
        </w:rPr>
        <w:t xml:space="preserve"> — Replacing Jim Hackett, Farley brought marketing and product expertise from Toyota, signaling a shift toward product-focused, decisive leadership (CNBC, 2020).</w:t>
      </w:r>
    </w:p>
    <w:p>
      <w:pPr>
        <w:jc w:val="both"/>
      </w:pPr>
      <w:r>
        <w:rPr>
          <w:rFonts w:ascii="Calibri" w:hAnsi="Calibri"/>
          <w:b/>
          <w:sz w:val="22"/>
        </w:rPr>
        <w:t>May 2021: Ford+ Plan Announcement</w:t>
      </w:r>
      <w:r>
        <w:rPr>
          <w:rFonts w:ascii="Calibri" w:hAnsi="Calibri"/>
          <w:sz w:val="22"/>
        </w:rPr>
        <w:t xml:space="preserve"> — Farley unveiled Ford+ vision: "Help build a better world, where every person is free to move and pursue their dreams" through "must-have vehicles" and "always-on relationships" combining existing strengths with new capabilities (Ford Motor Company, 2022). This represents oblique objectives (Birkinshaw &amp; Goddard, 2009)—pursuing higher-order purpose to achieve profitability.</w:t>
      </w:r>
    </w:p>
    <w:p>
      <w:pPr>
        <w:jc w:val="both"/>
      </w:pPr>
      <w:r>
        <w:rPr>
          <w:rFonts w:ascii="Calibri" w:hAnsi="Calibri"/>
          <w:b/>
          <w:sz w:val="22"/>
        </w:rPr>
        <w:t>March 2022: Business Unit Restructuring</w:t>
      </w:r>
      <w:r>
        <w:rPr>
          <w:rFonts w:ascii="Calibri" w:hAnsi="Calibri"/>
          <w:sz w:val="22"/>
        </w:rPr>
        <w:t xml:space="preserve"> — Ford reorganized into three customer-centered business units: Ford Blue ($75B revenue, $5.6B EBIT, 2024), Ford Model e ($7B revenue, -$5.4B EBIT), and Ford Pro ($53B revenue, $9B EBIT) (Ford Motor Company, 2025). Farley explained: "Creating separate but complementary businesses that give us startup speed and unbridled innovation in Ford Model e together with Ford Blue's industrial know-how" (Bloomberg, 2022). This exemplifies directed strategy (top-down reorganization) creating infrastructure for emergent strategy (unit-level innovation).</w:t>
      </w:r>
    </w:p>
    <w:p>
      <w:pPr>
        <w:jc w:val="both"/>
      </w:pPr>
      <w:r>
        <w:rPr>
          <w:rFonts w:ascii="Calibri" w:hAnsi="Calibri"/>
          <w:b/>
          <w:sz w:val="22"/>
        </w:rPr>
        <w:t>February 2025: Leadership Refinement</w:t>
      </w:r>
      <w:r>
        <w:rPr>
          <w:rFonts w:ascii="Calibri" w:hAnsi="Calibri"/>
          <w:sz w:val="22"/>
        </w:rPr>
        <w:t xml:space="preserve"> — Ford appointed Sherry House as CFO (from investment banking), elevated John Lawler to Vice Chair-Strategy, and created a Chief Strategy Officer role for Marin Gjaja (25 years at BCG) (Ford Media Center, 2025). These changes signal strategic recentralization after three years of business unit autonomy—recognizing that emergence requires oversight.</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They identify four dimensions, each with two polar approaches:</w:t>
      </w:r>
    </w:p>
    <w:p>
      <w:pPr>
        <w:jc w:val="both"/>
      </w:pPr>
      <w:r>
        <w:rPr>
          <w:rFonts w:ascii="Calibri" w:hAnsi="Calibri"/>
          <w:sz w:val="22"/>
        </w:rPr>
        <w:t>1. Objectives</w:t>
      </w:r>
    </w:p>
    <w:p>
      <w:pPr>
        <w:jc w:val="both"/>
      </w:pPr>
      <w:r>
        <w:rPr>
          <w:rFonts w:ascii="Calibri" w:hAnsi="Calibri"/>
          <w:sz w:val="22"/>
        </w:rPr>
        <w:t>2. Motivation</w:t>
      </w:r>
    </w:p>
    <w:p>
      <w:pPr>
        <w:jc w:val="both"/>
      </w:pPr>
      <w:r>
        <w:rPr>
          <w:rFonts w:ascii="Calibri" w:hAnsi="Calibri"/>
          <w:sz w:val="22"/>
        </w:rPr>
        <w:t>3. Coordination</w:t>
      </w:r>
    </w:p>
    <w:p>
      <w:pPr>
        <w:jc w:val="both"/>
      </w:pPr>
      <w:r>
        <w:rPr>
          <w:rFonts w:ascii="Calibri" w:hAnsi="Calibri"/>
          <w:sz w:val="22"/>
        </w:rPr>
        <w:t>4. Decision-Making</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(2019)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b/>
          <w:sz w:val="22"/>
        </w:rPr>
        <w:t>Strategic Vision:</w:t>
      </w:r>
      <w:r>
        <w:rPr>
          <w:rFonts w:ascii="Calibri" w:hAnsi="Calibri"/>
          <w:sz w:val="22"/>
        </w:rPr>
        <w:t xml:space="preserve"> "Help build a better world, where every person is free to move and pursue their dreams" (Ford Motor Company, 2025, p. 1).</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(Nieto-Rodriguez, 2021).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b/>
          <w:sz w:val="22"/>
        </w:rPr>
        <w:t>CEO Vision:</w:t>
      </w:r>
      <w:r>
        <w:rPr>
          <w:rFonts w:ascii="Calibri" w:hAnsi="Calibri"/>
          <w:sz w:val="22"/>
        </w:rPr>
        <w:t xml:space="preserve"> Farley demonstrates "Level 5 Leader" characteristics—personal humility combined with professional will (Collins, 2001). Executive Chairman Bill Ford described him as "intensively competitive" and "a transformational leader" (Quarterdeck, 2024). Wolfe Research analyst Rod Lache called Farley "one of the most lucid executives," "deeply and personally invested in the business" (Chief Executive, 2024).</w:t>
      </w:r>
    </w:p>
    <w:p>
      <w:pPr>
        <w:jc w:val="both"/>
      </w:pPr>
      <w:r>
        <w:rPr>
          <w:rFonts w:ascii="Calibri" w:hAnsi="Calibri"/>
          <w:b/>
          <w:sz w:val="22"/>
        </w:rPr>
        <w:t>Strategic Talent Deployment:</w:t>
      </w:r>
      <w:r>
        <w:rPr>
          <w:rFonts w:ascii="Calibri" w:hAnsi="Calibri"/>
          <w:sz w:val="22"/>
        </w:rPr>
        <w:t xml:space="preserve"> The 2025 leadership changes demonstrate sophisticated talent strategy across the C-suite. Sherry House's appointment as CFO brings external investment banking experience that provides fresh financial perspective beyond traditional automotive finance. Marin Gjaja's creation as Chief Strategy Officer leverages 25 years at Boston Consulting Group to provide world-class strategy capability. John Lawler's elevation to Vice Chair-Strategy maintains long Ford tenure, providing institutional knowledge that balances external expertise with internal continuity. However, these rapid C-suite changes—six major roles in February 2025—create organizational uncertainty. Additionally, the 2023 UAW strike (46 days) indicates persistent labor-management tensions despite transformation rhetoric (The Detroit News, 2024), suggesting that leadership excellence at the executive level has not yet translated into employee-level buy-in for the transformation.</w:t>
      </w:r>
    </w:p>
    <w:p>
      <w:pPr>
        <w:jc w:val="both"/>
      </w:pPr>
      <w:r>
        <w:rPr>
          <w:rFonts w:ascii="Calibri" w:hAnsi="Calibri"/>
          <w:b/>
          <w:sz w:val="22"/>
        </w:rPr>
        <w:t>Score Rationale:</w:t>
      </w:r>
      <w:r>
        <w:rPr>
          <w:rFonts w:ascii="Calibri" w:hAnsi="Calibri"/>
          <w:sz w:val="22"/>
        </w:rPr>
        <w:t xml:space="preserve"> Strong CEO vision and strategic talent deployment, but execution challenges (employee engagement, UAW relations) prevent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 xml:space="preserve">The three-unit structure successfully </w:t>
      </w:r>
      <w:r>
        <w:rPr>
          <w:rFonts w:ascii="Calibri" w:hAnsi="Calibri"/>
          <w:b/>
          <w:sz w:val="22"/>
        </w:rPr>
        <w:t>differentiates</w:t>
      </w:r>
      <w:r>
        <w:rPr>
          <w:rFonts w:ascii="Calibri" w:hAnsi="Calibri"/>
          <w:sz w:val="22"/>
        </w:rPr>
        <w:t xml:space="preserve"> customer value propositions, </w:t>
      </w:r>
      <w:r>
        <w:rPr>
          <w:rFonts w:ascii="Calibri" w:hAnsi="Calibri"/>
          <w:b/>
          <w:sz w:val="22"/>
        </w:rPr>
        <w:t>focuses</w:t>
      </w:r>
      <w:r>
        <w:rPr>
          <w:rFonts w:ascii="Calibri" w:hAnsi="Calibri"/>
          <w:sz w:val="22"/>
        </w:rPr>
        <w:t xml:space="preserve"> organizational capabilities, and </w:t>
      </w:r>
      <w:r>
        <w:rPr>
          <w:rFonts w:ascii="Calibri" w:hAnsi="Calibri"/>
          <w:b/>
          <w:sz w:val="22"/>
        </w:rPr>
        <w:t>allocates</w:t>
      </w:r>
      <w:r>
        <w:rPr>
          <w:rFonts w:ascii="Calibri" w:hAnsi="Calibri"/>
          <w:sz w:val="22"/>
        </w:rPr>
        <w:t xml:space="preserve"> resources strategically. However, </w:t>
      </w:r>
      <w:r>
        <w:rPr>
          <w:rFonts w:ascii="Calibri" w:hAnsi="Calibri"/>
          <w:b/>
          <w:sz w:val="22"/>
        </w:rPr>
        <w:t>internal complexity</w:t>
      </w:r>
      <w:r>
        <w:rPr>
          <w:rFonts w:ascii="Calibri" w:hAnsi="Calibri"/>
          <w:sz w:val="22"/>
        </w:rPr>
        <w:t xml:space="preserve"> from shared manufacturing creates transfer pricing challenges, </w:t>
      </w:r>
      <w:r>
        <w:rPr>
          <w:rFonts w:ascii="Calibri" w:hAnsi="Calibri"/>
          <w:b/>
          <w:sz w:val="22"/>
        </w:rPr>
        <w:t>brand confusion</w:t>
      </w:r>
      <w:r>
        <w:rPr>
          <w:rFonts w:ascii="Calibri" w:hAnsi="Calibri"/>
          <w:sz w:val="22"/>
        </w:rPr>
        <w:t xml:space="preserve"> exists as consumers don't perceive "Blue vs. Model e" distinctions, and </w:t>
      </w:r>
      <w:r>
        <w:rPr>
          <w:rFonts w:ascii="Calibri" w:hAnsi="Calibri"/>
          <w:b/>
          <w:sz w:val="22"/>
        </w:rPr>
        <w:t>cost duplication</w:t>
      </w:r>
      <w:r>
        <w:rPr>
          <w:rFonts w:ascii="Calibri" w:hAnsi="Calibri"/>
          <w:sz w:val="22"/>
        </w:rPr>
        <w:t xml:space="preserve"> occurs with three separate go-to-market strategies.</w:t>
      </w:r>
    </w:p>
    <w:p>
      <w:pPr>
        <w:jc w:val="both"/>
      </w:pPr>
      <w:r>
        <w:rPr>
          <w:rFonts w:ascii="Calibri" w:hAnsi="Calibri"/>
          <w:sz w:val="22"/>
        </w:rPr>
        <w:t xml:space="preserve">Applying </w:t>
      </w:r>
      <w:r>
        <w:rPr>
          <w:rFonts w:ascii="Calibri" w:hAnsi="Calibri"/>
          <w:b/>
          <w:sz w:val="22"/>
        </w:rPr>
        <w:t>directed versus emergent strategy</w:t>
      </w:r>
      <w:r>
        <w:rPr>
          <w:rFonts w:ascii="Calibri" w:hAnsi="Calibri"/>
          <w:sz w:val="22"/>
        </w:rPr>
        <w:t xml:space="preserve"> concepts: Ford+ represents directed strategy (Farley's 2021 vision, top-down reorganization), while business unit execution demonstrates emergent strategy (units adapting to market realities). Ford Pro discovered fleet software opportunity through customer interactions (bottom-up insight); Model e shifted EV strategy based on market demand (pivot from sedans to trucks/SUVs) (California Management Review, 2022).</w:t>
      </w:r>
    </w:p>
    <w:p>
      <w:pPr>
        <w:jc w:val="both"/>
      </w:pPr>
      <w:r>
        <w:rPr>
          <w:rFonts w:ascii="Calibri" w:hAnsi="Calibri"/>
          <w:b/>
          <w:sz w:val="22"/>
        </w:rPr>
        <w:t>Score Rationale:</w:t>
      </w:r>
      <w:r>
        <w:rPr>
          <w:rFonts w:ascii="Calibri" w:hAnsi="Calibri"/>
          <w:sz w:val="22"/>
        </w:rPr>
        <w:t xml:space="preserve"> Innovative structure with clear strategic logic, but execution complexity prevents excellent rating.</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w:t>
      </w:r>
    </w:p>
    <w:p>
      <w:pPr>
        <w:jc w:val="both"/>
      </w:pPr>
      <w:r>
        <w:rPr>
          <w:rFonts w:ascii="Calibri" w:hAnsi="Calibri"/>
          <w:b/>
          <w:sz w:val="22"/>
        </w:rPr>
        <w:t>Positive Indicators:</w:t>
      </w:r>
      <w:r>
        <w:rPr>
          <w:rFonts w:ascii="Calibri" w:hAnsi="Calibri"/>
          <w:sz w:val="22"/>
        </w:rPr>
        <w:t xml:space="preserve"> Attracting software developers to Model e; Bronco brand resurrection shows creative risk-taking; rapid EV strategy pivots demonstrate adaptability.</w:t>
      </w:r>
    </w:p>
    <w:p>
      <w:pPr>
        <w:jc w:val="both"/>
      </w:pPr>
      <w:r>
        <w:rPr>
          <w:rFonts w:ascii="Calibri" w:hAnsi="Calibri"/>
          <w:b/>
          <w:sz w:val="22"/>
        </w:rPr>
        <w:t>Negative Indicators:</w:t>
      </w:r>
      <w:r>
        <w:rPr>
          <w:rFonts w:ascii="Calibri" w:hAnsi="Calibri"/>
          <w:sz w:val="22"/>
        </w:rPr>
        <w:t xml:space="preserve"> 2023 UAW strike (46 days) indicates unresolved labor tensions; 2025 bonus cuts risk cultural backlash; workforce reduction from 186K (2020) to 171K (2024) includes involuntary turnover (Ford Motor Company, 2025).</w:t>
      </w:r>
    </w:p>
    <w:p>
      <w:pPr>
        <w:jc w:val="both"/>
      </w:pPr>
      <w:r>
        <w:rPr>
          <w:rFonts w:ascii="Calibri" w:hAnsi="Calibri"/>
          <w:sz w:val="22"/>
        </w:rPr>
        <w:t>Transforming 118-year automotive culture to tech culture requires generational time, not 3-4 years. Ford shows progress but faces significant resistance.</w:t>
      </w:r>
    </w:p>
    <w:p>
      <w:pPr>
        <w:jc w:val="both"/>
      </w:pPr>
      <w:r>
        <w:rPr>
          <w:rFonts w:ascii="Calibri" w:hAnsi="Calibri"/>
          <w:b/>
          <w:sz w:val="22"/>
        </w:rPr>
        <w:t>Score Rationale:</w:t>
      </w:r>
      <w:r>
        <w:rPr>
          <w:rFonts w:ascii="Calibri" w:hAnsi="Calibri"/>
          <w:sz w:val="22"/>
        </w:rPr>
        <w:t xml:space="preserve"> Movement in right direction, but UAW strike and bonus cuts indicate cultural transformation incomplete.</w:t>
      </w:r>
    </w:p>
    <w:p>
      <w:pPr>
        <w:pStyle w:val="Heading3"/>
      </w:pPr>
      <w:r>
        <w:rPr>
          <w:rFonts w:ascii="Calibri" w:hAnsi="Calibri"/>
          <w:color w:val="00509E"/>
        </w:rPr>
        <w:t>Pillar 5: Stakeholder Management (3/5)</w:t>
      </w:r>
    </w:p>
    <w:p>
      <w:pPr>
        <w:jc w:val="both"/>
      </w:pPr>
      <w:r>
        <w:rPr>
          <w:rFonts w:ascii="Calibri" w:hAnsi="Calibri"/>
          <w:sz w:val="22"/>
        </w:rPr>
        <w:t xml:space="preserve">Ford effectively communicates Ford+ plan through quarterly earnings, investor days, CEO town halls, and dealer councils. However, </w:t>
      </w:r>
      <w:r>
        <w:rPr>
          <w:rFonts w:ascii="Calibri" w:hAnsi="Calibri"/>
          <w:b/>
          <w:sz w:val="22"/>
        </w:rPr>
        <w:t>stakeholder buy-in</w:t>
      </w:r>
      <w:r>
        <w:rPr>
          <w:rFonts w:ascii="Calibri" w:hAnsi="Calibri"/>
          <w:sz w:val="22"/>
        </w:rPr>
        <w:t xml:space="preserve"> remains mixed:</w:t>
      </w:r>
    </w:p>
    <w:p>
      <w:pPr>
        <w:jc w:val="both"/>
      </w:pPr>
      <w:r>
        <w:rPr>
          <w:rFonts w:ascii="Calibri" w:hAnsi="Calibri"/>
          <w:sz w:val="22"/>
        </w:rPr>
        <w:t xml:space="preserve">- </w:t>
      </w:r>
      <w:r>
        <w:rPr>
          <w:rFonts w:ascii="Calibri" w:hAnsi="Calibri"/>
          <w:b/>
          <w:sz w:val="22"/>
        </w:rPr>
        <w:t>Shareholders</w:t>
      </w:r>
      <w:r>
        <w:rPr>
          <w:rFonts w:ascii="Calibri" w:hAnsi="Calibri"/>
          <w:sz w:val="22"/>
        </w:rPr>
        <w:t>: Stock decline suggests skepticism about Model e timeline</w:t>
      </w:r>
    </w:p>
    <w:p>
      <w:pPr>
        <w:jc w:val="both"/>
      </w:pPr>
      <w:r>
        <w:rPr>
          <w:rFonts w:ascii="Calibri" w:hAnsi="Calibri"/>
          <w:sz w:val="22"/>
        </w:rPr>
        <w:t xml:space="preserve">- </w:t>
      </w:r>
      <w:r>
        <w:rPr>
          <w:rFonts w:ascii="Calibri" w:hAnsi="Calibri"/>
          <w:b/>
          <w:sz w:val="22"/>
        </w:rPr>
        <w:t>Employees</w:t>
      </w:r>
      <w:r>
        <w:rPr>
          <w:rFonts w:ascii="Calibri" w:hAnsi="Calibri"/>
          <w:sz w:val="22"/>
        </w:rPr>
        <w:t>: Bonus cuts and workforce reduction undermine buy-in</w:t>
      </w:r>
    </w:p>
    <w:p>
      <w:pPr>
        <w:jc w:val="both"/>
      </w:pPr>
      <w:r>
        <w:rPr>
          <w:rFonts w:ascii="Calibri" w:hAnsi="Calibri"/>
          <w:sz w:val="22"/>
        </w:rPr>
        <w:t xml:space="preserve">- </w:t>
      </w:r>
      <w:r>
        <w:rPr>
          <w:rFonts w:ascii="Calibri" w:hAnsi="Calibri"/>
          <w:b/>
          <w:sz w:val="22"/>
        </w:rPr>
        <w:t>Dealers</w:t>
      </w:r>
      <w:r>
        <w:rPr>
          <w:rFonts w:ascii="Calibri" w:hAnsi="Calibri"/>
          <w:sz w:val="22"/>
        </w:rPr>
        <w:t>: EV direct-to-consumer exploration creates channel tension</w:t>
      </w:r>
    </w:p>
    <w:p>
      <w:pPr>
        <w:jc w:val="both"/>
      </w:pPr>
      <w:r>
        <w:rPr>
          <w:rFonts w:ascii="Calibri" w:hAnsi="Calibri"/>
          <w:sz w:val="22"/>
        </w:rPr>
        <w:t xml:space="preserve">- </w:t>
      </w:r>
      <w:r>
        <w:rPr>
          <w:rFonts w:ascii="Calibri" w:hAnsi="Calibri"/>
          <w:b/>
          <w:sz w:val="22"/>
        </w:rPr>
        <w:t>Suppliers</w:t>
      </w:r>
      <w:r>
        <w:rPr>
          <w:rFonts w:ascii="Calibri" w:hAnsi="Calibri"/>
          <w:sz w:val="22"/>
        </w:rPr>
        <w:t>: Strong relationships through battery partnerships</w:t>
      </w:r>
    </w:p>
    <w:p>
      <w:pPr>
        <w:jc w:val="both"/>
      </w:pPr>
      <w:r>
        <w:rPr>
          <w:rFonts w:ascii="Calibri" w:hAnsi="Calibri"/>
          <w:sz w:val="22"/>
        </w:rPr>
        <w:t xml:space="preserve">- </w:t>
      </w:r>
      <w:r>
        <w:rPr>
          <w:rFonts w:ascii="Calibri" w:hAnsi="Calibri"/>
          <w:b/>
          <w:sz w:val="22"/>
        </w:rPr>
        <w:t>UAW</w:t>
      </w:r>
      <w:r>
        <w:rPr>
          <w:rFonts w:ascii="Calibri" w:hAnsi="Calibri"/>
          <w:sz w:val="22"/>
        </w:rPr>
        <w:t>: 2023 strike indicates low buy-in on transition strategy</w:t>
      </w:r>
    </w:p>
    <w:p>
      <w:pPr>
        <w:jc w:val="both"/>
      </w:pPr>
      <w:r>
        <w:rPr>
          <w:rFonts w:ascii="Calibri" w:hAnsi="Calibri"/>
          <w:sz w:val="22"/>
        </w:rPr>
        <w:t xml:space="preserve">- </w:t>
      </w:r>
      <w:r>
        <w:rPr>
          <w:rFonts w:ascii="Calibri" w:hAnsi="Calibri"/>
          <w:b/>
          <w:sz w:val="22"/>
        </w:rPr>
        <w:t>Communities</w:t>
      </w:r>
      <w:r>
        <w:rPr>
          <w:rFonts w:ascii="Calibri" w:hAnsi="Calibri"/>
          <w:sz w:val="22"/>
        </w:rPr>
        <w:t>: Generally positive sustainability messaging</w:t>
      </w:r>
    </w:p>
    <w:p>
      <w:pPr>
        <w:jc w:val="both"/>
      </w:pPr>
      <w:r>
        <w:rPr>
          <w:rFonts w:ascii="Calibri" w:hAnsi="Calibri"/>
          <w:b/>
          <w:sz w:val="22"/>
        </w:rPr>
        <w:t>Score Rationale:</w:t>
      </w:r>
      <w:r>
        <w:rPr>
          <w:rFonts w:ascii="Calibri" w:hAnsi="Calibri"/>
          <w:sz w:val="22"/>
        </w:rPr>
        <w:t xml:space="preserve"> Communication adequate, but resistance (UAW strike, dealer concerns, stock decline) indicates incomplete stakeholder management.</w:t>
      </w:r>
    </w:p>
    <w:p>
      <w:pPr>
        <w:pStyle w:val="Heading3"/>
      </w:pPr>
      <w:r>
        <w:rPr>
          <w:rFonts w:ascii="Calibri" w:hAnsi="Calibri"/>
          <w:color w:val="00509E"/>
        </w:rPr>
        <w:t>Pillar 6: Employee Engagement (2/5) — **CRITICAL WEAKNESS**</w:t>
      </w:r>
    </w:p>
    <w:p>
      <w:pPr>
        <w:jc w:val="both"/>
      </w:pPr>
      <w:r>
        <w:rPr>
          <w:rFonts w:ascii="Calibri" w:hAnsi="Calibri"/>
          <w:b/>
          <w:sz w:val="22"/>
        </w:rPr>
        <w:t>Positive Factors:</w:t>
      </w:r>
      <w:r>
        <w:rPr>
          <w:rFonts w:ascii="Calibri" w:hAnsi="Calibri"/>
          <w:sz w:val="22"/>
        </w:rPr>
        <w:t xml:space="preserve"> Purpose-driven mission, Model e innovation work, iconic brand pride (F-150, Mustang).</w:t>
      </w:r>
    </w:p>
    <w:p>
      <w:pPr>
        <w:jc w:val="both"/>
      </w:pPr>
      <w:r>
        <w:rPr>
          <w:rFonts w:ascii="Calibri" w:hAnsi="Calibri"/>
          <w:b/>
          <w:sz w:val="22"/>
        </w:rPr>
        <w:t>Negative Factors:</w:t>
      </w:r>
      <w:r>
        <w:rPr>
          <w:rFonts w:ascii="Calibri" w:hAnsi="Calibri"/>
          <w:sz w:val="22"/>
        </w:rPr>
        <w:t xml:space="preserve"> Job insecurity (15,000 jobs lost), 2025 bonus cuts (~50% of middle managers), restructuring fatigue (2020, 2022, 2025 changes), union tensions from 2023 strike (Ford Motor Company, 2025; Ford Authority, 2025).</w:t>
      </w:r>
    </w:p>
    <w:p>
      <w:pPr>
        <w:jc w:val="both"/>
      </w:pPr>
      <w:r>
        <w:rPr>
          <w:rFonts w:ascii="Calibri" w:hAnsi="Calibri"/>
          <w:sz w:val="22"/>
        </w:rPr>
        <w:t>While Ford maintains 10 Employee Resource Groups, health and safety focus, and leadership development programs, the $1B cost savings directly contradicts engagement investment. Constant restructuring exhausts the workforce.</w:t>
      </w:r>
    </w:p>
    <w:p>
      <w:pPr>
        <w:jc w:val="both"/>
      </w:pPr>
      <w:r>
        <w:rPr>
          <w:rFonts w:ascii="Calibri" w:hAnsi="Calibri"/>
          <w:sz w:val="22"/>
        </w:rPr>
        <w:t>Eikenberry's (2019) guidance: "You must work harder to support and inspire your team, rather than just telling them what to do." Ford's 2025 actions (bonus cuts, restructuring) appear more "telling" than "inspiring."</w:t>
      </w:r>
    </w:p>
    <w:p>
      <w:pPr>
        <w:jc w:val="both"/>
      </w:pPr>
      <w:r>
        <w:rPr>
          <w:rFonts w:ascii="Calibri" w:hAnsi="Calibri"/>
          <w:b/>
          <w:sz w:val="22"/>
        </w:rPr>
        <w:t>Score Rationale:</w:t>
      </w:r>
      <w:r>
        <w:rPr>
          <w:rFonts w:ascii="Calibri" w:hAnsi="Calibri"/>
          <w:sz w:val="22"/>
        </w:rPr>
        <w:t xml:space="preserve"> Engagement declining due to cost-cutting and restructuring. This represents the highest-risk area for Ford+ implementation success.</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b/>
          <w:sz w:val="22"/>
        </w:rPr>
        <w:t>Overall SIR Score: 3.3/5.0 (Moderate Effectiveness)</w:t>
      </w:r>
    </w:p>
    <w:p>
      <w:pPr>
        <w:jc w:val="both"/>
      </w:pPr>
      <w:r>
        <w:rPr>
          <w:rFonts w:ascii="Calibri" w:hAnsi="Calibri"/>
          <w:sz w:val="22"/>
        </w:rPr>
        <w:t xml:space="preserve">Ford demonstrates </w:t>
      </w:r>
      <w:r>
        <w:rPr>
          <w:rFonts w:ascii="Calibri" w:hAnsi="Calibri"/>
          <w:b/>
          <w:sz w:val="22"/>
        </w:rPr>
        <w:t>strong strategic planning</w:t>
      </w:r>
      <w:r>
        <w:rPr>
          <w:rFonts w:ascii="Calibri" w:hAnsi="Calibri"/>
          <w:sz w:val="22"/>
        </w:rPr>
        <w:t xml:space="preserve"> (clear Ford+ vision, business unit structure) but </w:t>
      </w:r>
      <w:r>
        <w:rPr>
          <w:rFonts w:ascii="Calibri" w:hAnsi="Calibri"/>
          <w:b/>
          <w:sz w:val="22"/>
        </w:rPr>
        <w:t>uneven implementation execution</w:t>
      </w:r>
      <w:r>
        <w:rPr>
          <w:rFonts w:ascii="Calibri" w:hAnsi="Calibri"/>
          <w:sz w:val="22"/>
        </w:rPr>
        <w:t xml:space="preserve"> (employee engagement low, Model e losses widening, stakeholder buy-in mixed). The 2025 leadership changes address the weakest element—strategic coherence across business units—and could significantly improve implementation if successful.</w:t>
      </w:r>
    </w:p>
    <w:p>
      <w:pPr>
        <w:jc w:val="both"/>
      </w:pPr>
      <w:r>
        <w:rPr>
          <w:rFonts w:ascii="Calibri" w:hAnsi="Calibri"/>
          <w:b/>
          <w:sz w:val="22"/>
        </w:rPr>
        <w:t>Critical Risk:</w:t>
      </w:r>
      <w:r>
        <w:rPr>
          <w:rFonts w:ascii="Calibri" w:hAnsi="Calibri"/>
          <w:sz w:val="22"/>
        </w:rPr>
        <w:t xml:space="preserve"> Employee engagement decline threatens the entire Ford+ plan. No strategy succeeds without a willing workforce.</w:t>
      </w:r>
    </w:p>
    <w:p>
      <w:pPr>
        <w:jc w:val="both"/>
      </w:pPr>
      <w:r>
        <w:rPr>
          <w:rFonts w:ascii="Calibri" w:hAnsi="Calibri"/>
          <w:sz w:val="22"/>
        </w:rPr>
        <w:t>---</w:t>
      </w:r>
    </w:p>
    <w:p>
      <w:pPr>
        <w:pStyle w:val="Heading1"/>
      </w:pPr>
      <w:r>
        <w:rPr>
          <w:rFonts w:ascii="Calibri" w:hAnsi="Calibri"/>
          <w:color w:val="00005B"/>
        </w:rPr>
        <w:t>IV. CHALLENGES &amp; STRATEGIC RISKS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w:t>
      </w:r>
    </w:p>
    <w:p>
      <w:pPr>
        <w:jc w:val="both"/>
      </w:pPr>
      <w:r>
        <w:rPr>
          <w:rFonts w:ascii="Calibri" w:hAnsi="Calibri"/>
          <w:b/>
          <w:sz w:val="22"/>
        </w:rPr>
        <w:t>Strategic Dilemma:</w:t>
      </w:r>
      <w:r>
        <w:rPr>
          <w:rFonts w:ascii="Calibri" w:hAnsi="Calibri"/>
          <w:sz w:val="22"/>
        </w:rPr>
        <w:t xml:space="preserve"> Continue funding losses or pivot strategy? Continuing risks exhausting shareholder patience and capital; pivoting risks falling behind in critical technology transition.</w:t>
      </w:r>
    </w:p>
    <w:p>
      <w:pPr>
        <w:jc w:val="both"/>
      </w:pPr>
      <w:r>
        <w:rPr>
          <w:rFonts w:ascii="Calibri" w:hAnsi="Calibri"/>
          <w:b/>
          <w:sz w:val="22"/>
        </w:rPr>
        <w:t>Management Model Implication:</w:t>
      </w:r>
      <w:r>
        <w:rPr>
          <w:rFonts w:ascii="Calibri" w:hAnsi="Calibri"/>
          <w:sz w:val="22"/>
        </w:rPr>
        <w:t xml:space="preserve"> Emergent strategy (Model e autonomy) allowed losses to widen without sufficient oversight. The 2025 strategic centralization (Gjaja CSO) may impose needed discipline.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management model tension (Ford Authority, 2025). Root causes include profitability pressure from investors, EV investment cash drain, and competitive pricing pressure.</w:t>
      </w:r>
    </w:p>
    <w:p>
      <w:pPr>
        <w:jc w:val="both"/>
      </w:pPr>
      <w:r>
        <w:rPr>
          <w:rFonts w:ascii="Calibri" w:hAnsi="Calibri"/>
          <w:b/>
          <w:sz w:val="22"/>
        </w:rPr>
        <w:t>Strategic Risk:</w:t>
      </w:r>
      <w:r>
        <w:rPr>
          <w:rFonts w:ascii="Calibri" w:hAnsi="Calibri"/>
          <w:sz w:val="22"/>
        </w:rPr>
        <w:t xml:space="preserve"> Cost-cutting damages culture, innovation, and employee engagement—precisely the organizational capabilities needed for transformation.</w:t>
      </w:r>
    </w:p>
    <w:p>
      <w:pPr>
        <w:jc w:val="both"/>
      </w:pPr>
      <w:r>
        <w:rPr>
          <w:rFonts w:ascii="Calibri" w:hAnsi="Calibri"/>
          <w:b/>
          <w:sz w:val="22"/>
        </w:rPr>
        <w:t>Management Model Implication:</w:t>
      </w:r>
      <w:r>
        <w:rPr>
          <w:rFonts w:ascii="Calibri" w:hAnsi="Calibri"/>
          <w:sz w:val="22"/>
        </w:rPr>
        <w:t xml:space="preserve"> The shift from intrinsic motivation (purpose, innovation) to extrinsic pressure (performance, cost discipline) risks destroying cultural progress made 2021-2024. Eikenberry's (2019) distinction applies: "Compliance is 'I have to,' commitment is 'I want to.'" Cost cuts drive compliance, not the commitment needed for transformation.</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jc w:val="both"/>
      </w:pPr>
      <w:r>
        <w:rPr>
          <w:rFonts w:ascii="Calibri" w:hAnsi="Calibri"/>
          <w:sz w:val="22"/>
        </w:rPr>
        <w:t>---</w:t>
      </w:r>
    </w:p>
    <w:p>
      <w:pPr>
        <w:pStyle w:val="Heading1"/>
      </w:pPr>
      <w:r>
        <w:rPr>
          <w:rFonts w:ascii="Calibri" w:hAnsi="Calibri"/>
          <w:color w:val="00005B"/>
        </w:rPr>
        <w:t>V. STRATEGIC RECOMMENDATIONS</w:t>
      </w:r>
    </w:p>
    <w:p>
      <w:pPr>
        <w:pStyle w:val="Heading2"/>
      </w:pPr>
      <w:r>
        <w:rPr>
          <w:rFonts w:ascii="Calibri" w:hAnsi="Calibri"/>
          <w:color w:val="003478"/>
        </w:rPr>
        <w:t>Recommendation 1: Refine Management Model for Sustainable Balance</w:t>
      </w:r>
    </w:p>
    <w:p>
      <w:pPr>
        <w:jc w:val="both"/>
      </w:pPr>
      <w:r>
        <w:rPr>
          <w:rFonts w:ascii="Calibri" w:hAnsi="Calibri"/>
          <w:b/>
          <w:sz w:val="22"/>
        </w:rPr>
        <w:t>Issue:</w:t>
      </w:r>
      <w:r>
        <w:rPr>
          <w:rFonts w:ascii="Calibri" w:hAnsi="Calibri"/>
          <w:sz w:val="22"/>
        </w:rPr>
        <w:t xml:space="preserve"> Management model pendulum swinging excessively (2022 emergence → 2025 centralization).</w:t>
      </w:r>
    </w:p>
    <w:p>
      <w:pPr>
        <w:jc w:val="both"/>
      </w:pPr>
      <w:r>
        <w:rPr>
          <w:rFonts w:ascii="Calibri" w:hAnsi="Calibri"/>
          <w:b/>
          <w:sz w:val="22"/>
        </w:rPr>
        <w:t>Recommendation:</w:t>
      </w:r>
      <w:r>
        <w:rPr>
          <w:rFonts w:ascii="Calibri" w:hAnsi="Calibri"/>
          <w:sz w:val="22"/>
        </w:rPr>
        <w:t xml:space="preserve"> Stabilize on balanced hybrid model combining best elements of both poles.</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Objectives</w:t>
      </w:r>
      <w:r>
        <w:rPr>
          <w:rFonts w:ascii="Calibri" w:hAnsi="Calibri"/>
          <w:sz w:val="22"/>
        </w:rPr>
        <w:t>: Maintain oblique vision ("better world") while setting realistic unit targets (Model e breakeven by 2027)</w:t>
      </w:r>
    </w:p>
    <w:p>
      <w:pPr>
        <w:jc w:val="both"/>
      </w:pPr>
      <w:r>
        <w:rPr>
          <w:rFonts w:ascii="Calibri" w:hAnsi="Calibri"/>
          <w:sz w:val="22"/>
        </w:rPr>
        <w:t xml:space="preserve">2. </w:t>
      </w:r>
      <w:r>
        <w:rPr>
          <w:rFonts w:ascii="Calibri" w:hAnsi="Calibri"/>
          <w:b/>
          <w:sz w:val="22"/>
        </w:rPr>
        <w:t>Motivation</w:t>
      </w:r>
      <w:r>
        <w:rPr>
          <w:rFonts w:ascii="Calibri" w:hAnsi="Calibri"/>
          <w:sz w:val="22"/>
        </w:rPr>
        <w:t>: Restore intrinsic/extrinsic balance by reversing 2025 bonus cuts for top performers and implementing innovation rewards separate from financial bonuses</w:t>
      </w:r>
    </w:p>
    <w:p>
      <w:pPr>
        <w:jc w:val="both"/>
      </w:pPr>
      <w:r>
        <w:rPr>
          <w:rFonts w:ascii="Calibri" w:hAnsi="Calibri"/>
          <w:sz w:val="22"/>
        </w:rPr>
        <w:t xml:space="preserve">3. </w:t>
      </w:r>
      <w:r>
        <w:rPr>
          <w:rFonts w:ascii="Calibri" w:hAnsi="Calibri"/>
          <w:b/>
          <w:sz w:val="22"/>
        </w:rPr>
        <w:t>Coordination</w:t>
      </w:r>
      <w:r>
        <w:rPr>
          <w:rFonts w:ascii="Calibri" w:hAnsi="Calibri"/>
          <w:sz w:val="22"/>
        </w:rPr>
        <w:t>: Preserve business unit autonomy with strategic guardrails—Gjaja coordinates strategy but doesn't dictate tactics</w:t>
      </w:r>
    </w:p>
    <w:p>
      <w:pPr>
        <w:jc w:val="both"/>
      </w:pPr>
      <w:r>
        <w:rPr>
          <w:rFonts w:ascii="Calibri" w:hAnsi="Calibri"/>
          <w:sz w:val="22"/>
        </w:rPr>
        <w:t xml:space="preserve">4. </w:t>
      </w:r>
      <w:r>
        <w:rPr>
          <w:rFonts w:ascii="Calibri" w:hAnsi="Calibri"/>
          <w:b/>
          <w:sz w:val="22"/>
        </w:rPr>
        <w:t>Decision-Making</w:t>
      </w:r>
      <w:r>
        <w:rPr>
          <w:rFonts w:ascii="Calibri" w:hAnsi="Calibri"/>
          <w:sz w:val="22"/>
        </w:rPr>
        <w:t>: Clarify decision authority matrix (unit presidents: operations/pricing; CEO + CSO: capital allocation/brand strategy)</w:t>
      </w:r>
    </w:p>
    <w:p>
      <w:pPr>
        <w:jc w:val="both"/>
      </w:pPr>
      <w:r>
        <w:rPr>
          <w:rFonts w:ascii="Calibri" w:hAnsi="Calibri"/>
          <w:b/>
          <w:sz w:val="22"/>
        </w:rPr>
        <w:t>Expected Outcome:</w:t>
      </w:r>
      <w:r>
        <w:rPr>
          <w:rFonts w:ascii="Calibri" w:hAnsi="Calibri"/>
          <w:sz w:val="22"/>
        </w:rPr>
        <w:t xml:space="preserve"> Organizational stability, improved employee engagement (2/5 → 4/5), maintained innovation with added strategic coherence.</w:t>
      </w:r>
    </w:p>
    <w:p>
      <w:pPr>
        <w:jc w:val="both"/>
      </w:pPr>
      <w:r>
        <w:rPr>
          <w:rFonts w:ascii="Calibri" w:hAnsi="Calibri"/>
          <w:b/>
          <w:sz w:val="22"/>
        </w:rPr>
        <w:t>Theoretical Grounding:</w:t>
      </w:r>
      <w:r>
        <w:rPr>
          <w:rFonts w:ascii="Calibri" w:hAnsi="Calibri"/>
          <w:sz w:val="22"/>
        </w:rPr>
        <w:t xml:space="preserve"> Birkinshaw and Goddard (2009) note: "There is no one best management model." Effective organizations consciously choose positions on each dimension based on competitive context. Ford's challenge is finding sustainable balance rather than oscillating between extremes.</w:t>
      </w:r>
    </w:p>
    <w:p>
      <w:pPr>
        <w:pStyle w:val="Heading2"/>
      </w:pPr>
      <w:r>
        <w:rPr>
          <w:rFonts w:ascii="Calibri" w:hAnsi="Calibri"/>
          <w:color w:val="003478"/>
        </w:rPr>
        <w:t>Recommendation 2: Accelerate Model e Profitability Through Three-Horizon Strategy</w:t>
      </w:r>
    </w:p>
    <w:p>
      <w:pPr>
        <w:jc w:val="both"/>
      </w:pPr>
      <w:r>
        <w:rPr>
          <w:rFonts w:ascii="Calibri" w:hAnsi="Calibri"/>
          <w:b/>
          <w:sz w:val="22"/>
        </w:rPr>
        <w:t>Issue:</w:t>
      </w:r>
      <w:r>
        <w:rPr>
          <w:rFonts w:ascii="Calibri" w:hAnsi="Calibri"/>
          <w:sz w:val="22"/>
        </w:rPr>
        <w:t xml:space="preserve"> Model e -$5.4B loss unsustainable; EV transition strategically critical.</w:t>
      </w:r>
    </w:p>
    <w:p>
      <w:pPr>
        <w:jc w:val="both"/>
      </w:pPr>
      <w:r>
        <w:rPr>
          <w:rFonts w:ascii="Calibri" w:hAnsi="Calibri"/>
          <w:b/>
          <w:sz w:val="22"/>
        </w:rPr>
        <w:t>Recommendation:</w:t>
      </w:r>
      <w:r>
        <w:rPr>
          <w:rFonts w:ascii="Calibri" w:hAnsi="Calibri"/>
          <w:sz w:val="22"/>
        </w:rPr>
        <w:t xml:space="preserve"> Implement three-horizon approach balancing short-term cost reduction, medium-term product focus, and long-term revenue diversification.</w:t>
      </w:r>
    </w:p>
    <w:p>
      <w:pPr>
        <w:jc w:val="both"/>
      </w:pPr>
      <w:r>
        <w:rPr>
          <w:rFonts w:ascii="Calibri" w:hAnsi="Calibri"/>
          <w:b/>
          <w:sz w:val="22"/>
        </w:rPr>
        <w:t>Horizon 1 (2025-2026): Cost Reduction</w:t>
      </w:r>
    </w:p>
    <w:p>
      <w:pPr>
        <w:jc w:val="both"/>
      </w:pPr>
      <w:r>
        <w:rPr>
          <w:rFonts w:ascii="Calibri" w:hAnsi="Calibri"/>
          <w:sz w:val="22"/>
        </w:rPr>
        <w:t>- Reduce per-unit loss from $45,000 to $25,000 through battery cost reduction (scale, in-house production), manufacturing efficiency (learning curve acceleration), and platform sharing with Blue</w:t>
      </w:r>
    </w:p>
    <w:p>
      <w:pPr>
        <w:jc w:val="both"/>
      </w:pPr>
      <w:r>
        <w:rPr>
          <w:rFonts w:ascii="Calibri" w:hAnsi="Calibri"/>
          <w:sz w:val="22"/>
        </w:rPr>
        <w:t>- Target: -$3B losses (2025), -$1.5B (2026)</w:t>
      </w:r>
    </w:p>
    <w:p>
      <w:pPr>
        <w:jc w:val="both"/>
      </w:pPr>
      <w:r>
        <w:rPr>
          <w:rFonts w:ascii="Calibri" w:hAnsi="Calibri"/>
          <w:b/>
          <w:sz w:val="22"/>
        </w:rPr>
        <w:t>Horizon 2 (2026-2027): Selective Product Focus</w:t>
      </w:r>
    </w:p>
    <w:p>
      <w:pPr>
        <w:jc w:val="both"/>
      </w:pPr>
      <w:r>
        <w:rPr>
          <w:rFonts w:ascii="Calibri" w:hAnsi="Calibri"/>
          <w:sz w:val="22"/>
        </w:rPr>
        <w:t xml:space="preserve">- </w:t>
      </w:r>
      <w:r>
        <w:rPr>
          <w:rFonts w:ascii="Calibri" w:hAnsi="Calibri"/>
          <w:b/>
          <w:sz w:val="22"/>
        </w:rPr>
        <w:t>Prioritize</w:t>
      </w:r>
      <w:r>
        <w:rPr>
          <w:rFonts w:ascii="Calibri" w:hAnsi="Calibri"/>
          <w:sz w:val="22"/>
        </w:rPr>
        <w:t>: F-150 Lightning (truck market strength), commercial EVs (Pro synergy)</w:t>
      </w:r>
    </w:p>
    <w:p>
      <w:pPr>
        <w:jc w:val="both"/>
      </w:pPr>
      <w:r>
        <w:rPr>
          <w:rFonts w:ascii="Calibri" w:hAnsi="Calibri"/>
          <w:sz w:val="22"/>
        </w:rPr>
        <w:t xml:space="preserve">- </w:t>
      </w:r>
      <w:r>
        <w:rPr>
          <w:rFonts w:ascii="Calibri" w:hAnsi="Calibri"/>
          <w:b/>
          <w:sz w:val="22"/>
        </w:rPr>
        <w:t>Deprioritize</w:t>
      </w:r>
      <w:r>
        <w:rPr>
          <w:rFonts w:ascii="Calibri" w:hAnsi="Calibri"/>
          <w:sz w:val="22"/>
        </w:rPr>
        <w:t>: EV sedans (weak market, Tesla dominance)</w:t>
      </w:r>
    </w:p>
    <w:p>
      <w:pPr>
        <w:jc w:val="both"/>
      </w:pPr>
      <w:r>
        <w:rPr>
          <w:rFonts w:ascii="Calibri" w:hAnsi="Calibri"/>
          <w:sz w:val="22"/>
        </w:rPr>
        <w:t xml:space="preserve">- </w:t>
      </w:r>
      <w:r>
        <w:rPr>
          <w:rFonts w:ascii="Calibri" w:hAnsi="Calibri"/>
          <w:b/>
          <w:sz w:val="22"/>
        </w:rPr>
        <w:t>Launch</w:t>
      </w:r>
      <w:r>
        <w:rPr>
          <w:rFonts w:ascii="Calibri" w:hAnsi="Calibri"/>
          <w:sz w:val="22"/>
        </w:rPr>
        <w:t>: Affordable EV ($30-35K) using lower-cost battery technology</w:t>
      </w:r>
    </w:p>
    <w:p>
      <w:pPr>
        <w:jc w:val="both"/>
      </w:pPr>
      <w:r>
        <w:rPr>
          <w:rFonts w:ascii="Calibri" w:hAnsi="Calibri"/>
          <w:sz w:val="22"/>
        </w:rPr>
        <w:t>- Target: Breakeven by end of 2027</w:t>
      </w:r>
    </w:p>
    <w:p>
      <w:pPr>
        <w:jc w:val="both"/>
      </w:pPr>
      <w:r>
        <w:rPr>
          <w:rFonts w:ascii="Calibri" w:hAnsi="Calibri"/>
          <w:b/>
          <w:sz w:val="22"/>
        </w:rPr>
        <w:t>Horizon 3 (2027-2030): Software/Services Revenue</w:t>
      </w:r>
    </w:p>
    <w:p>
      <w:pPr>
        <w:jc w:val="both"/>
      </w:pPr>
      <w:r>
        <w:rPr>
          <w:rFonts w:ascii="Calibri" w:hAnsi="Calibri"/>
          <w:sz w:val="22"/>
        </w:rPr>
        <w:t>- Develop subscription services (BlueCruise autonomous features, over-the-air capability updates)</w:t>
      </w:r>
    </w:p>
    <w:p>
      <w:pPr>
        <w:jc w:val="both"/>
      </w:pPr>
      <w:r>
        <w:rPr>
          <w:rFonts w:ascii="Calibri" w:hAnsi="Calibri"/>
          <w:sz w:val="22"/>
        </w:rPr>
        <w:t>- Fleet charging solutions integrated with Ford Pro</w:t>
      </w:r>
    </w:p>
    <w:p>
      <w:pPr>
        <w:jc w:val="both"/>
      </w:pPr>
      <w:r>
        <w:rPr>
          <w:rFonts w:ascii="Calibri" w:hAnsi="Calibri"/>
          <w:sz w:val="22"/>
        </w:rPr>
        <w:t>- Battery recycling business (circular economy)</w:t>
      </w:r>
    </w:p>
    <w:p>
      <w:pPr>
        <w:jc w:val="both"/>
      </w:pPr>
      <w:r>
        <w:rPr>
          <w:rFonts w:ascii="Calibri" w:hAnsi="Calibri"/>
          <w:sz w:val="22"/>
        </w:rPr>
        <w:t>- Target: 10-15% of Model e revenue from high-margin services</w:t>
      </w:r>
    </w:p>
    <w:p>
      <w:pPr>
        <w:jc w:val="both"/>
      </w:pPr>
      <w:r>
        <w:rPr>
          <w:rFonts w:ascii="Calibri" w:hAnsi="Calibri"/>
          <w:b/>
          <w:sz w:val="22"/>
        </w:rPr>
        <w:t>Expected Outcome:</w:t>
      </w:r>
      <w:r>
        <w:rPr>
          <w:rFonts w:ascii="Calibri" w:hAnsi="Calibri"/>
          <w:sz w:val="22"/>
        </w:rPr>
        <w:t xml:space="preserve"> Clear path to profitability restores shareholder confidence while maintaining EV transition momentum. Operations strategy principles—economies of scale (higher volume lowers per-unit costs) and learning curve (experience reduces manufacturing time)—support feasibility.</w:t>
      </w:r>
    </w:p>
    <w:p>
      <w:pPr>
        <w:pStyle w:val="Heading2"/>
      </w:pPr>
      <w:r>
        <w:rPr>
          <w:rFonts w:ascii="Calibri" w:hAnsi="Calibri"/>
          <w:color w:val="003478"/>
        </w:rPr>
        <w:t>Recommendation 3: Rebuild Employee Engagement Through Stakeholder Capitalism</w:t>
      </w:r>
    </w:p>
    <w:p>
      <w:pPr>
        <w:jc w:val="both"/>
      </w:pPr>
      <w:r>
        <w:rPr>
          <w:rFonts w:ascii="Calibri" w:hAnsi="Calibri"/>
          <w:b/>
          <w:sz w:val="22"/>
        </w:rPr>
        <w:t>Issue:</w:t>
      </w:r>
      <w:r>
        <w:rPr>
          <w:rFonts w:ascii="Calibri" w:hAnsi="Calibri"/>
          <w:sz w:val="22"/>
        </w:rPr>
        <w:t xml:space="preserve"> Employee engagement declining (2/5) due to restructuring and cost-cutting.</w:t>
      </w:r>
    </w:p>
    <w:p>
      <w:pPr>
        <w:jc w:val="both"/>
      </w:pPr>
      <w:r>
        <w:rPr>
          <w:rFonts w:ascii="Calibri" w:hAnsi="Calibri"/>
          <w:b/>
          <w:sz w:val="22"/>
        </w:rPr>
        <w:t>Recommendation:</w:t>
      </w:r>
      <w:r>
        <w:rPr>
          <w:rFonts w:ascii="Calibri" w:hAnsi="Calibri"/>
          <w:sz w:val="22"/>
        </w:rPr>
        <w:t xml:space="preserve"> Apply stakeholder capitalism principles emphasizing employee value alongside shareholder value.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Transparent Communication</w:t>
      </w:r>
      <w:r>
        <w:rPr>
          <w:rFonts w:ascii="Calibri" w:hAnsi="Calibri"/>
          <w:sz w:val="22"/>
        </w:rPr>
        <w:t>: Monthly CEO town halls explaining Ford+ progress and challenges; unit-level forums for employee voice; clear job security communication and EV transition workforce plans</w:t>
      </w:r>
    </w:p>
    <w:p>
      <w:pPr>
        <w:jc w:val="both"/>
      </w:pPr>
      <w:r>
        <w:rPr>
          <w:rFonts w:ascii="Calibri" w:hAnsi="Calibri"/>
          <w:sz w:val="22"/>
        </w:rPr>
        <w:t xml:space="preserve">2. </w:t>
      </w:r>
      <w:r>
        <w:rPr>
          <w:rFonts w:ascii="Calibri" w:hAnsi="Calibri"/>
          <w:b/>
          <w:sz w:val="22"/>
        </w:rPr>
        <w:t>Reskilling Investment</w:t>
      </w:r>
      <w:r>
        <w:rPr>
          <w:rFonts w:ascii="Calibri" w:hAnsi="Calibri"/>
          <w:sz w:val="22"/>
        </w:rPr>
        <w:t>: $500M EV workforce training program with guarantee that ICE workers can transition to EV jobs with training; UAW partnership on curriculum development</w:t>
      </w:r>
    </w:p>
    <w:p>
      <w:pPr>
        <w:jc w:val="both"/>
      </w:pPr>
      <w:r>
        <w:rPr>
          <w:rFonts w:ascii="Calibri" w:hAnsi="Calibri"/>
          <w:sz w:val="22"/>
        </w:rPr>
        <w:t xml:space="preserve">3. </w:t>
      </w:r>
      <w:r>
        <w:rPr>
          <w:rFonts w:ascii="Calibri" w:hAnsi="Calibri"/>
          <w:b/>
          <w:sz w:val="22"/>
        </w:rPr>
        <w:t>Shared Success</w:t>
      </w:r>
      <w:r>
        <w:rPr>
          <w:rFonts w:ascii="Calibri" w:hAnsi="Calibri"/>
          <w:sz w:val="22"/>
        </w:rPr>
        <w:t>: Restore bonuses for middle managers (performance-based); implement profit-sharing if company exceeds EBIT targets; unit-level team achievement bonuses</w:t>
      </w:r>
    </w:p>
    <w:p>
      <w:pPr>
        <w:jc w:val="both"/>
      </w:pPr>
      <w:r>
        <w:rPr>
          <w:rFonts w:ascii="Calibri" w:hAnsi="Calibri"/>
          <w:sz w:val="22"/>
        </w:rPr>
        <w:t xml:space="preserve">4. </w:t>
      </w:r>
      <w:r>
        <w:rPr>
          <w:rFonts w:ascii="Calibri" w:hAnsi="Calibri"/>
          <w:b/>
          <w:sz w:val="22"/>
        </w:rPr>
        <w:t>Work-Life Balance</w:t>
      </w:r>
      <w:r>
        <w:rPr>
          <w:rFonts w:ascii="Calibri" w:hAnsi="Calibri"/>
          <w:sz w:val="22"/>
        </w:rPr>
        <w:t>: Flexible work arrangements where possible; mental health support programs; recognition beyond compensation</w:t>
      </w:r>
    </w:p>
    <w:p>
      <w:pPr>
        <w:jc w:val="both"/>
      </w:pPr>
      <w:r>
        <w:rPr>
          <w:rFonts w:ascii="Calibri" w:hAnsi="Calibri"/>
          <w:b/>
          <w:sz w:val="22"/>
        </w:rPr>
        <w:t>Expected Outcome:</w:t>
      </w:r>
      <w:r>
        <w:rPr>
          <w:rFonts w:ascii="Calibri" w:hAnsi="Calibri"/>
          <w:sz w:val="22"/>
        </w:rPr>
        <w:t xml:space="preserve"> Employee engagement improves to (4/5), reducing turnover, improving innovation, and supporting cultural transformation.</w:t>
      </w:r>
    </w:p>
    <w:p>
      <w:pPr>
        <w:jc w:val="both"/>
      </w:pPr>
      <w:r>
        <w:rPr>
          <w:rFonts w:ascii="Calibri" w:hAnsi="Calibri"/>
          <w:b/>
          <w:sz w:val="22"/>
        </w:rPr>
        <w:t>Theoretical Grounding:</w:t>
      </w:r>
      <w:r>
        <w:rPr>
          <w:rFonts w:ascii="Calibri" w:hAnsi="Calibri"/>
          <w:sz w:val="22"/>
        </w:rPr>
        <w:t xml:space="preserve"> Eikenberry (2019) emphasizes: "You must work harder to support and inspire your team, rather than just telling them what to do." Rebuilding engagement requires genuine investment, not rhetorical commitment.</w:t>
      </w:r>
    </w:p>
    <w:p>
      <w:pPr>
        <w:pStyle w:val="Heading2"/>
      </w:pPr>
      <w:r>
        <w:rPr>
          <w:rFonts w:ascii="Calibri" w:hAnsi="Calibri"/>
          <w:color w:val="003478"/>
        </w:rPr>
        <w:t>Recommendation 4: Leverage Ford Pro Success for Competitive Differentiation</w:t>
      </w:r>
    </w:p>
    <w:p>
      <w:pPr>
        <w:jc w:val="both"/>
      </w:pPr>
      <w:r>
        <w:rPr>
          <w:rFonts w:ascii="Calibri" w:hAnsi="Calibri"/>
          <w:b/>
          <w:sz w:val="22"/>
        </w:rPr>
        <w:t>Issue:</w:t>
      </w:r>
      <w:r>
        <w:rPr>
          <w:rFonts w:ascii="Calibri" w:hAnsi="Calibri"/>
          <w:sz w:val="22"/>
        </w:rPr>
        <w:t xml:space="preserve"> Ford Pro is star performer ($9B EBIT) but underleverage for competitive advantage.</w:t>
      </w:r>
    </w:p>
    <w:p>
      <w:pPr>
        <w:jc w:val="both"/>
      </w:pPr>
      <w:r>
        <w:rPr>
          <w:rFonts w:ascii="Calibri" w:hAnsi="Calibri"/>
          <w:b/>
          <w:sz w:val="22"/>
        </w:rPr>
        <w:t>Recommendation:</w:t>
      </w:r>
      <w:r>
        <w:rPr>
          <w:rFonts w:ascii="Calibri" w:hAnsi="Calibri"/>
          <w:sz w:val="22"/>
        </w:rPr>
        <w:t xml:space="preserve"> Make Ford Pro the strategic differentiator by extending its model enterprise-wide.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Expand Pro Model to Blue</w:t>
      </w:r>
      <w:r>
        <w:rPr>
          <w:rFonts w:ascii="Calibri" w:hAnsi="Calibri"/>
          <w:sz w:val="22"/>
        </w:rPr>
        <w:t>: Apply software/services approach to consumer vehicles; develop subscription telematics for F-150 retail customers (fleet management for individuals)</w:t>
      </w:r>
    </w:p>
    <w:p>
      <w:pPr>
        <w:jc w:val="both"/>
      </w:pPr>
      <w:r>
        <w:rPr>
          <w:rFonts w:ascii="Calibri" w:hAnsi="Calibri"/>
          <w:sz w:val="22"/>
        </w:rPr>
        <w:t xml:space="preserve">2. </w:t>
      </w:r>
      <w:r>
        <w:rPr>
          <w:rFonts w:ascii="Calibri" w:hAnsi="Calibri"/>
          <w:b/>
          <w:sz w:val="22"/>
        </w:rPr>
        <w:t>Integrated EV Solutions</w:t>
      </w:r>
      <w:r>
        <w:rPr>
          <w:rFonts w:ascii="Calibri" w:hAnsi="Calibri"/>
          <w:sz w:val="22"/>
        </w:rPr>
        <w:t>: Bundle Model e commercial EVs with Pro fleet software; offer charging infrastructure as service; provide total cost of ownership calculators showing EV savings</w:t>
      </w:r>
    </w:p>
    <w:p>
      <w:pPr>
        <w:jc w:val="both"/>
      </w:pPr>
      <w:r>
        <w:rPr>
          <w:rFonts w:ascii="Calibri" w:hAnsi="Calibri"/>
          <w:sz w:val="22"/>
        </w:rPr>
        <w:t xml:space="preserve">3. </w:t>
      </w:r>
      <w:r>
        <w:rPr>
          <w:rFonts w:ascii="Calibri" w:hAnsi="Calibri"/>
          <w:b/>
          <w:sz w:val="22"/>
        </w:rPr>
        <w:t>B2B2C Strategy</w:t>
      </w:r>
      <w:r>
        <w:rPr>
          <w:rFonts w:ascii="Calibri" w:hAnsi="Calibri"/>
          <w:sz w:val="22"/>
        </w:rPr>
        <w:t>: Use Pro commercial relationships to reach consumer customers; fleet drivers become brand ambassadors; employee purchase programs through commercial customers</w:t>
      </w:r>
    </w:p>
    <w:p>
      <w:pPr>
        <w:jc w:val="both"/>
      </w:pPr>
      <w:r>
        <w:rPr>
          <w:rFonts w:ascii="Calibri" w:hAnsi="Calibri"/>
          <w:sz w:val="22"/>
        </w:rPr>
        <w:t xml:space="preserve">4. </w:t>
      </w:r>
      <w:r>
        <w:rPr>
          <w:rFonts w:ascii="Calibri" w:hAnsi="Calibri"/>
          <w:b/>
          <w:sz w:val="22"/>
        </w:rPr>
        <w:t>Data Monetization</w:t>
      </w:r>
      <w:r>
        <w:rPr>
          <w:rFonts w:ascii="Calibri" w:hAnsi="Calibri"/>
          <w:sz w:val="22"/>
        </w:rPr>
        <w:t>: Aggregate anonymized fleet data for urban planning insights; sell predictive maintenance data to parts suppliers; offer benchmarking services to fleet managers</w:t>
      </w:r>
    </w:p>
    <w:p>
      <w:pPr>
        <w:jc w:val="both"/>
      </w:pPr>
      <w:r>
        <w:rPr>
          <w:rFonts w:ascii="Calibri" w:hAnsi="Calibri"/>
          <w:b/>
          <w:sz w:val="22"/>
        </w:rPr>
        <w:t>Expected Outcome:</w:t>
      </w:r>
      <w:r>
        <w:rPr>
          <w:rFonts w:ascii="Calibri" w:hAnsi="Calibri"/>
          <w:sz w:val="22"/>
        </w:rPr>
        <w:t xml:space="preserve"> Ford Pro differentiates Ford from all competitors—none have equivalent commercial/software integration—creating sustainable competitive "moat."</w:t>
      </w:r>
    </w:p>
    <w:p>
      <w:pPr>
        <w:jc w:val="both"/>
      </w:pPr>
      <w:r>
        <w:rPr>
          <w:rFonts w:ascii="Calibri" w:hAnsi="Calibri"/>
          <w:b/>
          <w:sz w:val="22"/>
        </w:rPr>
        <w:t>Strategic Logic:</w:t>
      </w:r>
      <w:r>
        <w:rPr>
          <w:rFonts w:ascii="Calibri" w:hAnsi="Calibri"/>
          <w:sz w:val="22"/>
        </w:rPr>
        <w:t xml:space="preserve"> Operations strategy resource-based view (Casadesus-Masanell, 2007) suggests sustainable competitive advantage derives from unique, hard-to-imitate capabilities.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