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(2021)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(Wernerfelt, 1984),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Dimension</w:t>
            </w:r>
          </w:p>
        </w:tc>
        <w:tc>
          <w:tcPr>
            <w:tcW w:type="dxa" w:w="1872"/>
            <w:shd w:fill="00095B"/>
          </w:tcPr>
          <w:p>
            <w:r>
              <w:rPr>
                <w:b/>
                <w:color w:val="FFFFFF"/>
              </w:rPr>
              <w:t>2020 Approach</w:t>
            </w:r>
          </w:p>
        </w:tc>
        <w:tc>
          <w:tcPr>
            <w:tcW w:type="dxa" w:w="1872"/>
            <w:shd w:fill="00095B"/>
          </w:tcPr>
          <w:p>
            <w:r>
              <w:rPr>
                <w:b/>
                <w:color w:val="FFFFFF"/>
              </w:rPr>
              <w:t>2021 Approach</w:t>
            </w:r>
          </w:p>
        </w:tc>
        <w:tc>
          <w:tcPr>
            <w:tcW w:type="dxa" w:w="1872"/>
            <w:shd w:fill="00095B"/>
          </w:tcPr>
          <w:p>
            <w:r>
              <w:rPr>
                <w:b/>
                <w:color w:val="FFFFFF"/>
              </w:rPr>
              <w:t>2022-2024 Approach</w:t>
            </w:r>
          </w:p>
        </w:tc>
        <w:tc>
          <w:tcPr>
            <w:tcW w:type="dxa" w:w="1872"/>
            <w:shd w:fill="00095B"/>
          </w:tcPr>
          <w:p>
            <w:r>
              <w:rPr>
                <w:b/>
                <w:color w:val="FFFFFF"/>
              </w:rPr>
              <w:t>2025 Evolution</w:t>
            </w:r>
          </w:p>
        </w:tc>
      </w:tr>
      <w:tr>
        <w:tc>
          <w:tcPr>
            <w:tcW w:type="dxa" w:w="1872"/>
          </w:tcPr>
          <w:p>
            <w:r>
              <w:t>**Objectives**</w:t>
            </w:r>
          </w:p>
        </w:tc>
        <w:tc>
          <w:tcPr>
            <w:tcW w:type="dxa" w:w="1872"/>
          </w:tcPr>
          <w:p>
            <w:r>
              <w:t>Goal Setting (short-term financial targets)</w:t>
            </w:r>
          </w:p>
        </w:tc>
        <w:tc>
          <w:tcPr>
            <w:tcW w:type="dxa" w:w="1872"/>
          </w:tcPr>
          <w:p>
            <w:r>
              <w:t>Hybrid (Ford+ vision + financial goals)</w:t>
            </w:r>
          </w:p>
        </w:tc>
        <w:tc>
          <w:tcPr>
            <w:tcW w:type="dxa" w:w="1872"/>
          </w:tcPr>
          <w:p>
            <w:r>
              <w:t>Obliquity (customer freedom, better world) + Targets</w:t>
            </w:r>
          </w:p>
        </w:tc>
        <w:tc>
          <w:tcPr>
            <w:tcW w:type="dxa" w:w="1872"/>
          </w:tcPr>
          <w:p>
            <w:r>
              <w:t>Goal Setting (cost, performance) + Vision</w:t>
            </w:r>
          </w:p>
        </w:tc>
      </w:tr>
      <w:tr>
        <w:tc>
          <w:tcPr>
            <w:tcW w:type="dxa" w:w="1872"/>
          </w:tcPr>
          <w:p>
            <w:r>
              <w:t>**Motivation**</w:t>
            </w:r>
          </w:p>
        </w:tc>
        <w:tc>
          <w:tcPr>
            <w:tcW w:type="dxa" w:w="1872"/>
          </w:tcPr>
          <w:p>
            <w:r>
              <w:t>Extrinsic (compensation, bonuses)</w:t>
            </w:r>
          </w:p>
        </w:tc>
        <w:tc>
          <w:tcPr>
            <w:tcW w:type="dxa" w:w="1872"/>
          </w:tcPr>
          <w:p>
            <w:r>
              <w:t>Balanced (purpose + compensation)</w:t>
            </w:r>
          </w:p>
        </w:tc>
        <w:tc>
          <w:tcPr>
            <w:tcW w:type="dxa" w:w="1872"/>
          </w:tcPr>
          <w:p>
            <w:r>
              <w:t>Intrinsic emphasis (innovation, purpose) + Extrinsic</w:t>
            </w:r>
          </w:p>
        </w:tc>
        <w:tc>
          <w:tcPr>
            <w:tcW w:type="dxa" w:w="1872"/>
          </w:tcPr>
          <w:p>
            <w:r>
              <w:t>Extrinsic (performance bonuses cut for underperformers)</w:t>
            </w:r>
          </w:p>
        </w:tc>
      </w:tr>
      <w:tr>
        <w:tc>
          <w:tcPr>
            <w:tcW w:type="dxa" w:w="1872"/>
          </w:tcPr>
          <w:p>
            <w:r>
              <w:t>**Coordination**</w:t>
            </w:r>
          </w:p>
        </w:tc>
        <w:tc>
          <w:tcPr>
            <w:tcW w:type="dxa" w:w="1872"/>
          </w:tcPr>
          <w:p>
            <w:r>
              <w:t>Bureaucracy (traditional OEM hierarchy)</w:t>
            </w:r>
          </w:p>
        </w:tc>
        <w:tc>
          <w:tcPr>
            <w:tcW w:type="dxa" w:w="1872"/>
          </w:tcPr>
          <w:p>
            <w:r>
              <w:t>Emerging (Ford+ signals change)</w:t>
            </w:r>
          </w:p>
        </w:tc>
        <w:tc>
          <w:tcPr>
            <w:tcW w:type="dxa" w:w="1872"/>
          </w:tcPr>
          <w:p>
            <w:r>
              <w:t>Emergence (business unit autonomy) + Coordination</w:t>
            </w:r>
          </w:p>
        </w:tc>
        <w:tc>
          <w:tcPr>
            <w:tcW w:type="dxa" w:w="1872"/>
          </w:tcPr>
          <w:p>
            <w:r>
              <w:t>Balanced (autonomy + accountability)</w:t>
            </w:r>
          </w:p>
        </w:tc>
      </w:tr>
      <w:tr>
        <w:tc>
          <w:tcPr>
            <w:tcW w:type="dxa" w:w="1872"/>
          </w:tcPr>
          <w:p>
            <w:r>
              <w:t>**Decision Making**</w:t>
            </w:r>
          </w:p>
        </w:tc>
        <w:tc>
          <w:tcPr>
            <w:tcW w:type="dxa" w:w="1872"/>
          </w:tcPr>
          <w:p>
            <w:r>
              <w:t>Hierarchy (top-down, CEO-driven)</w:t>
            </w:r>
          </w:p>
        </w:tc>
        <w:tc>
          <w:tcPr>
            <w:tcW w:type="dxa" w:w="1872"/>
          </w:tcPr>
          <w:p>
            <w:r>
              <w:t>Hierarchy with consultation</w:t>
            </w:r>
          </w:p>
        </w:tc>
        <w:tc>
          <w:tcPr>
            <w:tcW w:type="dxa" w:w="1872"/>
          </w:tcPr>
          <w:p>
            <w:r>
              <w:t>Collective Wisdom (unit leaders) + Executive oversight</w:t>
            </w:r>
          </w:p>
        </w:tc>
        <w:tc>
          <w:tcPr>
            <w:tcW w:type="dxa" w:w="1872"/>
          </w:tcPr>
          <w:p>
            <w:r>
              <w:t>Strategic centralization (Gjaja CSO, Lawler strategy)</w:t>
            </w:r>
          </w:p>
        </w:tc>
      </w:tr>
    </w:tbl>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(2021)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(2021)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(2021)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(Wernerfelt, 1984) suggests sustainable competitive advantage derives from unique, hard-to-imitate capabilities.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