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framework reveals that Ford faces intense competitive pressure across multiple dimensions simultaneously. The intensity of competitive rivalry stands as high, with traditional OEM competition from General Motors and Stellantis competing across broad vehicle portfolios, EV disruptor Tesla operating with a direct-sales model and software expertise that traditional automakers struggle to match, and rising Asian manufacturers like Toyota leveraging hybrid technology strength and Hyundai-Kia aggressively expanding global market share. This multi-front competitive battle has forced Ford's strategic response—the three-business-unit structure—which attempts focused competitive strategies tailored to each segment rather than one-size-fits-all approaches.</w:t>
      </w:r>
    </w:p>
    <w:p>
      <w:pPr>
        <w:jc w:val="both"/>
      </w:pPr>
      <w:r>
        <w:rPr>
          <w:rFonts w:ascii="Calibri" w:hAnsi="Calibri"/>
          <w:sz w:val="22"/>
        </w:rPr>
        <w:t>The threat of new entrants ranks as medium-high, creating additional competitive complexity. While traditional capital barriers remain substantial ($8.5B R&amp;D investment required in 2024 alone), the EV transition paradoxically lowers entry barriers by simplifying powertrain technology and reducing the number of components compared to internal combustion engines. More critically, tech companies with artificial intelligence, software, and connectivity expertise increasingly enter mobility markets, viewing the automotive industry as a platform for mobility services rather than just vehicle manufacturing. Ford's Ford+ plan directly addresses this threat by emphasizing software and services differentiation rather than competing solely on vehicle hardware and manufacturing cost.</w:t>
      </w:r>
    </w:p>
    <w:p>
      <w:pPr>
        <w:jc w:val="both"/>
      </w:pPr>
      <w:r>
        <w:rPr>
          <w:rFonts w:ascii="Calibri" w:hAnsi="Calibri"/>
          <w:sz w:val="22"/>
        </w:rPr>
        <w:t>Supplier bargaining power presents a medium-high challenge intensified by the EV transition. Limited EV battery manufacturers—primarily LG, Samsung, and CATL—control crucial technology that Ford cannot easily substitute, while semiconductor shortages experienced from 2021-2023 demonstrated that critical components concentrate in few suppliers. Ford's strategic response combines vertical integration through battery plant investments and long-term supplier partnerships that attempt to mitigate supplier leverage through dedicated capacity and technology collaboration.</w:t>
      </w:r>
    </w:p>
    <w:p>
      <w:pPr>
        <w:jc w:val="both"/>
      </w:pPr>
      <w:r>
        <w:rPr>
          <w:rFonts w:ascii="Calibri" w:hAnsi="Calibri"/>
          <w:sz w:val="22"/>
        </w:rPr>
        <w:t>Buyer bargaining power operates differently across Ford's market segments, averaging medium overall. Commercial customers through Ford Pro wield significant fleet purchasing leverage, using their large-scale orders to demand pricing concessions and customized telematics solutions. Retail customers possess more moderate bargaining power, though brand loyalty for iconic Ford models like the F-150 mitigates this to some extent. Ford's extensive dealership network of 9,006 locations (2024) provides customer access and after-sales support that independent direct sales models struggle to replicate, though Ford Model e's exploration of direct-to-consumer sales for EVs signals recognition that traditional dealer networks may not effectively serve new customer segments.</w:t>
      </w:r>
    </w:p>
    <w:p>
      <w:pPr>
        <w:jc w:val="both"/>
      </w:pPr>
      <w:r>
        <w:rPr>
          <w:rFonts w:ascii="Calibri" w:hAnsi="Calibri"/>
          <w:sz w:val="22"/>
        </w:rPr>
        <w:t>Finally, the threat of substitutes remains medium-low but strategically significant. Public transportation expansion in urban markets, ride-sharing services like Uber and Lyft reducing personal vehicle ownership necessity, and emerging autonomous mobility solutions create long-term substitution threats to individual vehicle ownership. Ford's creation of Ford Next segment demonstrates strategic recognition of this force, exploring how the company can evolve beyond traditional vehicle manufacturing into broader mobility solutions that address emerging transportation preferences.</w:t>
      </w:r>
    </w:p>
    <w:p>
      <w:pPr>
        <w:pStyle w:val="Heading2"/>
      </w:pPr>
      <w:r>
        <w:rPr>
          <w:rFonts w:ascii="Calibri" w:hAnsi="Calibri"/>
          <w:color w:val="003478"/>
        </w:rPr>
        <w:t>Strategic Inflection Points (2020-2025)</w:t>
      </w:r>
    </w:p>
    <w:p>
      <w:pPr>
        <w:jc w:val="both"/>
      </w:pPr>
      <w:r>
        <w:rPr>
          <w:rFonts w:ascii="Calibri" w:hAnsi="Calibri"/>
          <w:sz w:val="22"/>
        </w:rPr>
        <w:t>Ford's transformation from 2020-2025 encompasses several critical strategic inflection points that reset the company's trajectory. In October 2020, Jim Farley replaced Jim Hackett as CEO, bringing marketing and product expertise from Toyota that signaled a fundamental shift toward product-focused, decisive leadership after years of operational restructuring (CNBC, 2020). Farley's appointment represented not merely a personnel change but a philosophical reorientation toward customer-centric strategy and decisive execution.</w:t>
      </w:r>
    </w:p>
    <w:p>
      <w:pPr>
        <w:jc w:val="both"/>
      </w:pPr>
      <w:r>
        <w:rPr>
          <w:rFonts w:ascii="Calibri" w:hAnsi="Calibri"/>
          <w:sz w:val="22"/>
        </w:rPr>
        <w:t>This leadership foundation enabled the May 2021 Ford+ Plan announcement, where Farley unveiled a transformational vision: "Help build a better world, where every person is free to move and pursue their dreams" through two integrated strategic pillars—"must-have vehicles" and "always-on relationships" that combine Ford's existing manufacturing and brand strengths with new digital, software, and services capabilities (Ford Motor Company, 2022). This oblique objective approach (Birkinshaw &amp; Goddard, 2009) represented a deliberate shift from purely financial profit maximization toward purpose-driven value creation, betting that pursuing a higher-order goal would ultimately drive superior financial returns.</w:t>
      </w:r>
    </w:p>
    <w:p>
      <w:pPr>
        <w:jc w:val="both"/>
      </w:pPr>
      <w:r>
        <w:rPr>
          <w:rFonts w:ascii="Calibri" w:hAnsi="Calibri"/>
          <w:sz w:val="22"/>
        </w:rPr>
        <w:t>The March 2022 business unit restructuring translated Ford+ vision into organizational infrastructure, reorganizing Ford into three customer-centered business units: Ford Blue ($75B revenue, $5.6B EBIT, 2024) serving traditional automotive customers; Ford Model e ($7B revenue, -$5.4B EBIT) pursuing electrification; and Ford Pro ($53B revenue, $9B EBIT) targeting commercial customers. Farley explained the logic: "Creating separate but complementary businesses that give us startup speed and unbridled innovation in Ford Model e together with Ford Blue's industrial know-how" (Bloomberg, 2022), exemplifying how directed strategy (the top-down reorganization decision) creates infrastructure enabling emergent strategy (unit-level market-driven innovation and tactical adaptation).</w:t>
      </w:r>
    </w:p>
    <w:p>
      <w:pPr>
        <w:jc w:val="both"/>
      </w:pPr>
      <w:r>
        <w:rPr>
          <w:rFonts w:ascii="Calibri" w:hAnsi="Calibri"/>
          <w:sz w:val="22"/>
        </w:rPr>
        <w:t>By February 2025, Ford recognized that three years of business unit autonomy required rebalancing. The company appointed Sherry House as CFO from investment banking background, elevated John Lawler to Vice Chair-Strategy, and created a new Chief Strategy Officer role for Marin Gjaja (25 years at Boston Consulting Group) (Ford Media Center, 2025). These changes signal strategic recentralization after the 2022-2024 period of distributed autonomy, indicating Ford's recognition that emergent strategy operating without sufficient strategic coherence and centralized oversight can allow execution drift, evidenced by Model e's expanding losses and inconsistent business unit strategic alignment. This leadership refinement suggests organizational learning: pure emergence lacks sufficient discipline, yet pure hierarchy stifles innovation—the challenge is finding sustainable balance.</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