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6.2.2.3</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一个需求文档审查的问题</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XQ_DC_TST_003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测试文档审查问题</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YL_DC_TST_003_001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测试项1</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123123</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测试项2</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XQ_PA_RS422_002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初始化功能测试用例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YL_PA_RS422_002_001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3.1.2.1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调试台功能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测试项3</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XQ_FT_RS422_003</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测试项3下面的一个用例</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YL_FT_RS422_003_001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3.2.2.1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串口调试功能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看看空值情况测试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3.2.2.1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串口调试功能</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