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《一个正式的项目软件需求规格说明》123:123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321</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《一个正式的项目软件需求规格说明》123123:123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123</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123章节：123</w:t>
            </w:r>
          </w:p>
          <w:p>
            <w:pPr>
              <w:wordWrap w:val="0"/>
              <w:adjustRightInd w:val="0"/>
              <w:rPr>
                <w:szCs w:val="21"/>
              </w:rPr>
            </w:pPr>
            <w:r>
              <w:rPr>
                <w:szCs w:val="21"/>
              </w:rPr>
              <w:t xml:space="preserve">32112412</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1、X1S1-adsd</w:t>
            </w:r>
          </w:p>
          <w:p>
            <w:pPr>
              <w:wordWrap w:val="0"/>
              <w:adjustRightInd w:val="0"/>
              <w:rPr>
                <w:szCs w:val="21"/>
              </w:rPr>
            </w:pPr>
            <w:r>
              <w:rPr>
                <w:szCs w:val="21"/>
              </w:rPr>
              <w:t xml:space="preserve">2、X1S1-321123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321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