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星历数据装订正常功能测试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通过上位机发送不同星历数的正常星历数据，验证软件接收到星历数据时是否能够正确装订并反馈信息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星历数据异常装订功能测试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通过上位机发送星历数异常的星历数据，验证软件是否能够识别异常，是否进行装订，是否能够正确反馈装订信息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FLASH烧写失败异常功能测试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通过上位机发送正常的星历数据，模拟软件存储Flash失败，验证软件是否反馈装订失败信息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COPY星历数据装订正常功能测试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YL_FT_XXSS_001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通过上位机发送不同星历数的正常星历数据，验证软件接收到星历数据时是否能够正确装订并反馈信息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copy星历数据异常装订功能测试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YL_FT_XXSS_002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通过上位机发送星历数异常的星历数据，验证软件是否能够识别异常，是否进行装订，是否能够正确反馈装订信息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copyFLASH烧写失败异常功能测试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YL_FT_XXSS_003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通过上位机发送正常的星历数据，模拟软件存储Flash失败，验证软件是否反馈装订失败信息</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