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陈之项目</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1.1</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21110</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7777</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5555</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11111</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