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1.1.1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审查文档</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3.2.2.7</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星历装订功能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星历装订功能测试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XQ_FT_XLZD_001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星历数据装订正常功能测试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星历数据异常装订功能测试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FLASH烧写失败异常功能测试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YL_FT_XLZD_001_003</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