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PT-R4444-T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公开</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测试项目</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 xml:space="preserve">2024年08月23日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测试项目</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陈俊亦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20240821</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修改用户</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20240822</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 xml:space="preserve">20240823</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20240823</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 xml:space="preserve">20240821</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 xml:space="preserve">20240823</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测试项目软件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上海微小卫星工程中心</w:t>
      </w:r>
      <w:r>
        <w:rPr>
          <w:szCs w:val="24"/>
          <w:lang w:val="zh-CN"/>
        </w:rPr>
        <w:t>委托，由中国科学院卫星软件评测中心承</w:t>
      </w:r>
      <w:r w:rsidRPr="00301D06">
        <w:rPr>
          <w:szCs w:val="24"/>
          <w:lang w:val="zh-CN"/>
        </w:rPr>
        <w:t>担</w:t>
      </w:r>
      <w:r w:rsidRPr="00301D06">
        <w:rPr>
          <w:szCs w:val="24"/>
          <w:lang w:val="zh-CN"/>
        </w:rPr>
        <w:t xml:space="preserve">测试项目</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测试项目</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20240612</w:t>
                </w:r>
                <w:r w:rsidRPr="00F50356">
                  <w:rPr>
                    <w:rFonts w:eastAsiaTheme="minorEastAsia"/>
                    <w:szCs w:val="21"/>
                  </w:rPr>
                  <w:t>-</w:t>
                </w:r>
                <w:r>
                  <w:rPr>
                    <w:rFonts w:eastAsiaTheme="minorEastAsia" w:hint="eastAsia"/>
                    <w:szCs w:val="21"/>
                  </w:rPr>
                  <w:t xml:space="preserve">20240612</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20240613</w:t>
                </w:r>
                <w:r w:rsidRPr="00F50356">
                  <w:rPr>
                    <w:rFonts w:eastAsiaTheme="minorEastAsia"/>
                    <w:szCs w:val="21"/>
                  </w:rPr>
                  <w:t>-</w:t>
                </w:r>
                <w:r>
                  <w:rPr>
                    <w:rFonts w:eastAsiaTheme="minorEastAsia" w:hint="eastAsia"/>
                    <w:szCs w:val="21"/>
                  </w:rPr>
                  <w:t xml:space="preserve">20240619</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20240620</w:t>
                </w:r>
                <w:r w:rsidRPr="00F50356">
                  <w:rPr>
                    <w:rFonts w:eastAsiaTheme="minorEastAsia"/>
                    <w:szCs w:val="21"/>
                  </w:rPr>
                  <w:t>-</w:t>
                </w:r>
                <w:r>
                  <w:rPr>
                    <w:rFonts w:eastAsiaTheme="minorEastAsia" w:hint="eastAsia"/>
                    <w:szCs w:val="21"/>
                  </w:rPr>
                  <w:t xml:space="preserve">20240625</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沿用</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静态分析、代码审查、文档审查、功能测试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1.20</w:t>
          </w:r>
          <w:r w:rsidRPr="00E82499">
            <w:rPr>
              <w:sz w:val="24"/>
              <w:szCs w:val="24"/>
            </w:rPr>
            <w:t>版本和</w:t>
          </w:r>
          <w:r w:rsidR="005F7895" w:rsidRPr="00E82499">
            <w:rPr>
              <w:sz w:val="24"/>
              <w:szCs w:val="24"/>
            </w:rPr>
            <w:t xml:space="preserve">1.20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1.23</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需求规格说明1.1</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SRS01</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1.20</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7</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0.0563</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1.23</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V1.23</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测试项目</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问题描述1</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2513652"/>
                      <wp:docPr id="1005"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2513652"/>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问题影响1</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原因分析1</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影响域分析2</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改正措施3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123321</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测试项目</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测试项目</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 Id="rId2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dc:identifier/>
  <dc:language/>
</cp:coreProperties>
</file>