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需求规格说明1.1</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1.20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0</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0</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0</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0</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即未发现问题</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0</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