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1.5</w:t>
      </w:r>
      <w:r w:rsidRPr="00E82499">
        <w:rPr>
          <w:sz w:val="24"/>
          <w:szCs w:val="24"/>
        </w:rPr>
        <w:t>版本和</w:t>
      </w:r>
      <w:r w:rsidR="005F7895" w:rsidRPr="00E82499">
        <w:rPr>
          <w:sz w:val="24"/>
          <w:szCs w:val="24"/>
        </w:rPr>
        <w:t xml:space="preserve">1.00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需求规格说明-回归</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SRSD</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1.5</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