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p>
        </w:tc>
        <w:tc>
          <w:tcPr>
            <w:tcW w:w="961" w:type="dxa"/>
            <w:vMerge w:val="restart"/>
            <w:vAlign w:val="center"/>
          </w:tcPr>
          <w:p>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YL_DC_WDSC_003</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YL_DC_WDSC_004</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YL_DC_WDSC_005</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YL_DC_WDSC_006</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YL_DC_WDSC_007</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