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330C36D1" w14:textId="69288F6F" w:rsidR="00FF220D" w:rsidRPr="00F11516"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{{cover_time}}</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{{preparation_time}}</w:t>
      </w:r>
    </w:p>
    <w:p w14:paraId="5D6FC076" w14:textId="3935F012"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{{inspect_time}}</w:t>
      </w:r>
    </w:p>
    <w:p w14:paraId="23375C90" w14:textId="3521A960"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{{auditing_time}}</w:t>
      </w:r>
    </w:p>
    <w:p w14:paraId="1DE6D728" w14:textId="2FA5E7EA"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{{ratify_time}}</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5A71FE">
            <w:pPr>
              <w:jc w:val="center"/>
            </w:pPr>
            <w:r>
              <w:rPr>
                <w:rFonts w:hint="eastAsia"/>
              </w:rPr>
              <w:t>{{create_doc_time}}</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szCs w:val="21"/>
              </w:rPr>
            </w:pPr>
            <w:r>
              <w:rPr>
                <w:rFonts w:hint="eastAsia"/>
                <w:szCs w:val="21"/>
              </w:rPr>
              <w:t>{{doc_v1_time}}</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3" name="Picture 100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1349433"/>
                      <wp:docPr id="1004" name="Picture 100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49433"/>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这是测试autoresize插件的</w:t>
                </w:r>
              </w:p>
            </w:tc>
            <w:tc>
              <w:tcPr>
                <w:tcW w:w="3518" w:type="pct"/>
                <w:noWrap/>
              </w:tcPr>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41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神奇宝贝</w:t>
                </w:r>
              </w:p>
            </w:tc>
            <w:tc>
              <w:tcPr>
                <w:tcW w:w="3518" w:type="pct"/>
                <w:noWrap/>
              </w:tcPr>
              <w:p w14:paraId="0EB043F8" w14:textId="77777777" w:rsidR="00726DFF" w:rsidRDefault="00726DFF" w:rsidP="00726DFF">
                <w:pPr>
                  <w:rPr>
                    <w:noProof/>
                    <w:szCs w:val="21"/>
                  </w:rPr>
                </w:pPr>
                <w:r>
                  <w:rPr>
                    <w:rFonts w:hint="eastAsia"/>
                    <w:noProof/>
                    <w:szCs w:val="21"/>
                  </w:rPr>
                  <w:t xml:space="preserve">总要求神奇宝贝1号</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树莓派</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2024-06-19</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yy用例2号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YL_FT_CSHG_001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我改动了用例综述</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wtd1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yy用例2号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YL_FT_CSHG_001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wtd1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XQ_FT_CSHG</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我改动了用例综述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11112312搜索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1117777</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无敌是多么 多么寂寞</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神奇宝贝测试项1号</w:t>
          </w:r>
        </w:p>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p>
            </w:tc>
            <w:tc>
              <w:tcPr>
                <w:tcW w:w="961" w:type="dxa"/>
                <w:vMerge w:val="restart"/>
                <w:vAlign w:val="center"/>
              </w:tcPr>
              <w:p>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YL_DC_WDSC_003</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YL_DC_WDSC_004</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YL_DC_WDSC_005</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YL_DC_WDSC_006</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YL_DC_WDSC_007</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324CA" w14:textId="77777777" w:rsidR="00453722" w:rsidRDefault="00453722">
      <w:r>
        <w:separator/>
      </w:r>
    </w:p>
  </w:endnote>
  <w:endnote w:type="continuationSeparator" w:id="0">
    <w:p w14:paraId="7C9D99B1" w14:textId="77777777" w:rsidR="00453722" w:rsidRDefault="0045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AE2C" w14:textId="77777777" w:rsidR="00453722" w:rsidRDefault="00453722">
      <w:r>
        <w:separator/>
      </w:r>
    </w:p>
  </w:footnote>
  <w:footnote w:type="continuationSeparator" w:id="0">
    <w:p w14:paraId="06B81636" w14:textId="77777777" w:rsidR="00453722" w:rsidRDefault="00453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133E"/>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3722"/>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A71F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0F3"/>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21E2"/>
    <w:rsid w:val="00AC445D"/>
    <w:rsid w:val="00B20448"/>
    <w:rsid w:val="00B926A3"/>
    <w:rsid w:val="00BA50D5"/>
    <w:rsid w:val="00BA7E5F"/>
    <w:rsid w:val="00C7179C"/>
    <w:rsid w:val="00CC23B7"/>
    <w:rsid w:val="00D02A28"/>
    <w:rsid w:val="00D148BD"/>
    <w:rsid w:val="00D87E67"/>
    <w:rsid w:val="00E74EB3"/>
    <w:rsid w:val="00E76D17"/>
    <w:rsid w:val="00ED3111"/>
    <w:rsid w:val="00F110F3"/>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566</cp:revision>
  <cp:lastPrinted>2021-12-17T09:12:00Z</cp:lastPrinted>
  <dcterms:created xsi:type="dcterms:W3CDTF">2022-01-24T07:15:00Z</dcterms:created>
  <dcterms:modified xsi:type="dcterms:W3CDTF">2024-06-07T06:28:00Z</dcterms:modified>
</cp:coreProperties>
</file>