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PT-R2233-T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 xml:space="preserve">公开</w:t>
      </w:r>
    </w:p>
    <w:p w14:paraId="559B775A" w14:textId="77777777" w:rsidR="00FF220D" w:rsidRPr="009B1B28" w:rsidRDefault="00FF220D" w:rsidP="00FF220D">
      <w:pPr>
        <w:autoSpaceDE w:val="0"/>
        <w:autoSpaceDN w:val="0"/>
        <w:textAlignment w:val="bottom"/>
      </w:pP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xml:space="preserve">王小雷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 xml:space="preserve">尧颖婷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 xml:space="preserve">R2233</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 xml:space="preserve">一个正式的项目</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 xml:space="preserve">一个正式的项目</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 xml:space="preserve">SSS</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 xml:space="preserve">一个正式的项目</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1.01</w:t>
                </w:r>
              </w:p>
            </w:tc>
            <w:tc>
              <w:tcPr>
                <w:tcW w:w="541" w:type="pct"/>
              </w:tcPr>
              <w:p w14:paraId="7A4AA300" w14:textId="77777777" w:rsidR="0066173D" w:rsidRPr="00B037B3" w:rsidRDefault="0066173D" w:rsidP="004A4D63">
                <w:pPr>
                  <w:rPr>
                    <w:szCs w:val="21"/>
                  </w:rPr>
                </w:pPr>
                <w:r>
                  <w:rPr>
                    <w:rFonts w:hint="eastAsia"/>
                    <w:szCs w:val="21"/>
                  </w:rPr>
                  <w:t xml:space="preserve">13000</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与PDPU的通信协议</w:t>
                </w:r>
              </w:p>
            </w:tc>
            <w:tc>
              <w:tcPr>
                <w:tcW w:w="1497" w:type="pct"/>
              </w:tcPr>
              <w:p w14:paraId="6BF4A84A" w14:textId="77777777" w:rsidR="002A34A7" w:rsidRDefault="002A34A7" w:rsidP="00783902">
                <w:pPr>
                  <w:rPr>
                    <w:szCs w:val="21"/>
                    <w:highlight w:val="yellow"/>
                  </w:rPr>
                </w:pPr>
                <w:r>
                  <w:rPr>
                    <w:rFonts w:hint="eastAsia"/>
                    <w:szCs w:val="21"/>
                  </w:rPr>
                  <w:t xml:space="preserve">biaoshi5-1.00</w:t>
                </w:r>
              </w:p>
            </w:tc>
            <w:tc>
              <w:tcPr>
                <w:tcW w:w="737" w:type="pct"/>
              </w:tcPr>
              <w:p w14:paraId="23E91F63" w14:textId="77777777" w:rsidR="002A34A7" w:rsidRDefault="002A34A7" w:rsidP="00783902">
                <w:pPr>
                  <w:rPr>
                    <w:szCs w:val="21"/>
                    <w:highlight w:val="yellow"/>
                  </w:rPr>
                </w:pPr>
                <w:r>
                  <w:rPr>
                    <w:rFonts w:hint="eastAsia"/>
                    <w:szCs w:val="21"/>
                  </w:rPr>
                  <w:t xml:space="preserve">2024-02-02</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另一个设计说明</w:t>
                </w:r>
              </w:p>
            </w:tc>
            <w:tc>
              <w:tcPr>
                <w:tcW w:w="1497" w:type="pct"/>
              </w:tcPr>
              <w:p w14:paraId="6BF4A84A" w14:textId="77777777" w:rsidR="002A34A7" w:rsidRDefault="002A34A7" w:rsidP="00783902">
                <w:pPr>
                  <w:rPr>
                    <w:szCs w:val="21"/>
                    <w:highlight w:val="yellow"/>
                  </w:rPr>
                </w:pPr>
                <w:r>
                  <w:rPr>
                    <w:rFonts w:hint="eastAsia"/>
                    <w:szCs w:val="21"/>
                  </w:rPr>
                  <w:t xml:space="preserve">SJSM110-1.01</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一个需求文档</w:t>
                </w:r>
              </w:p>
            </w:tc>
            <w:tc>
              <w:tcPr>
                <w:tcW w:w="1497" w:type="pct"/>
              </w:tcPr>
              <w:p w14:paraId="6BF4A84A" w14:textId="77777777" w:rsidR="002A34A7" w:rsidRDefault="002A34A7" w:rsidP="00783902">
                <w:pPr>
                  <w:rPr>
                    <w:szCs w:val="21"/>
                    <w:highlight w:val="yellow"/>
                  </w:rPr>
                </w:pPr>
                <w:r>
                  <w:rPr>
                    <w:rFonts w:hint="eastAsia"/>
                    <w:szCs w:val="21"/>
                  </w:rPr>
                  <w:t xml:space="preserve">XXXX_AAASS-1.05</w:t>
                </w:r>
              </w:p>
            </w:tc>
            <w:tc>
              <w:tcPr>
                <w:tcW w:w="737" w:type="pct"/>
              </w:tcPr>
              <w:p w14:paraId="23E91F63" w14:textId="77777777" w:rsidR="002A34A7" w:rsidRDefault="002A34A7" w:rsidP="00783902">
                <w:pPr>
                  <w:rPr>
                    <w:szCs w:val="21"/>
                    <w:highlight w:val="yellow"/>
                  </w:rPr>
                </w:pPr>
                <w:r>
                  <w:rPr>
                    <w:rFonts w:hint="eastAsia"/>
                    <w:szCs w:val="21"/>
                  </w:rPr>
                  <w:t xml:space="preserve">2024-03-25</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PT-R2233-TO-1.00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测试文档审查问题</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YL_DC_TST_003_001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这是个静态分析用例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看看空值情况测试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YL_DC_TST_003_001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一个需求文档审查的问题</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XQ_DC_TST_003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一个静态分析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这是个静态分析用例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一个静态分析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一个YZ对应的测试项</w:t>
          </w:r>
        </w:p>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6.2.3.5</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321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李莉</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安全性测试</w:t>
          </w:r>
        </w:p>
        <w:p w14:paraId="63F22F7E" w14:textId="38243357" w:rsidR="00E247DA" w:rsidRDefault="00220F89" w:rsidP="00220F89">
          <w:pPr>
            <w:pStyle w:val="30"/>
            <w:tabs>
              <w:tab w:val="num" w:pos="852"/>
            </w:tabs>
            <w:rPr>
              <w:sz w:val="24"/>
              <w:szCs w:val="24"/>
            </w:rPr>
          </w:pPr>
          <w:r w:rsidRPr="00AA36D4">
            <w:rPr>
              <w:sz w:val="24"/>
              <w:szCs w:val="24"/>
            </w:rPr>
            <w:t xml:space="preserve">研总主要关联的测试项，另外还有需求关联它</w:t>
          </w:r>
        </w:p>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6.2.6.1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这是个静态分析用例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一个需求文档审查的问题</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XQ_DC_TST_003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测试文档审查问题</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YL_DC_TST_003_001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测试项1</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123123</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6.2.6.1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测试项2</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XQ_PA_RS422_002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初始化功能测试用例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YL_PA_RS422_002_001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测试项3</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测试项3下面的一个用例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6.2.3.6</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看看空值情况测试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40D9" w14:textId="77777777" w:rsidR="00351023" w:rsidRDefault="00351023">
      <w:r>
        <w:separator/>
      </w:r>
    </w:p>
  </w:endnote>
  <w:endnote w:type="continuationSeparator" w:id="0">
    <w:p w14:paraId="2E924AD5" w14:textId="77777777" w:rsidR="00351023" w:rsidRDefault="0035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96F91" w14:textId="77777777" w:rsidR="00351023" w:rsidRDefault="00351023">
      <w:r>
        <w:separator/>
      </w:r>
    </w:p>
  </w:footnote>
  <w:footnote w:type="continuationSeparator" w:id="0">
    <w:p w14:paraId="396A1C04" w14:textId="77777777" w:rsidR="00351023" w:rsidRDefault="0035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 xml:space="preserve">一个正式的项目</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4B52D1"/>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18313</TotalTime>
  <Pages>21</Pages>
  <Words>1784</Words>
  <Characters>10169</Characters>
  <Application>Microsoft Office Word</Application>
  <DocSecurity>0</DocSecurity>
  <Lines>84</Lines>
  <Paragraphs>23</Paragraphs>
  <ScaleCrop>false</ScaleCrop>
  <Company>上海微小卫星工程中心</Company>
  <LinksUpToDate>false</LinksUpToDate>
  <CharactersWithSpaces>11930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2024-03-28T01:52:00Z</dcterms:modified>
  <dc:identifier/>
  <dc:language/>
</cp:coreProperties>
</file>