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R2233</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开发方的一个标识XXX</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一个需求文档</w:t>
                </w:r>
              </w:p>
            </w:tc>
            <w:tc>
              <w:tcPr>
                <w:tcW w:w="1497" w:type="pct"/>
              </w:tcPr>
              <w:p w14:paraId="6BF4A84A" w14:textId="77777777" w:rsidR="002A34A7" w:rsidRDefault="002A34A7" w:rsidP="00783902">
                <w:pPr>
                  <w:rPr>
                    <w:szCs w:val="21"/>
                    <w:highlight w:val="yellow"/>
                  </w:rPr>
                </w:pPr>
                <w:r>
                  <w:rPr>
                    <w:rFonts w:hint="eastAsia"/>
                    <w:szCs w:val="21"/>
                  </w:rPr>
                  <w:t xml:space="preserve">XXXX_AAASS-1.05</w:t>
                </w:r>
              </w:p>
            </w:tc>
            <w:tc>
              <w:tcPr>
                <w:tcW w:w="737" w:type="pct"/>
              </w:tcPr>
              <w:p w14:paraId="23E91F63" w14:textId="77777777" w:rsidR="002A34A7" w:rsidRDefault="002A34A7" w:rsidP="00783902">
                <w:pPr>
                  <w:rPr>
                    <w:szCs w:val="21"/>
                    <w:highlight w:val="yellow"/>
                  </w:rPr>
                </w:pPr>
                <w:r>
                  <w:rPr>
                    <w:rFonts w:hint="eastAsia"/>
                    <w:szCs w:val="21"/>
                  </w:rPr>
                  <w:t xml:space="preserve">2024-03-25</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这是个静态分析用例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一个静态分析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这是个静态分析用例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一个静态分析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这是个静态分析用例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6.2.6.1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dc:identifier/>
  <dc:language/>
</cp:coreProperties>
</file>