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这是个静态分析用例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PT_R2233_6</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一个代码走查需求</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XQ_CW_DMZC_001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代码走查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YL_CW_DMZC_001_001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一个静态分析测试项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1.1.3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仿真效果</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仿真效果-1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XQ_FT_FZCS_001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仿真测试_利用1来测试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YL_FT_FZCS_001_001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1.1.1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另一个设计需求</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4.1.4.2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测试需求对应</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XQ_FT_XJAS_001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测试用例-重复</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YL_FT_XJAS_001_001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PT_R2233_7</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1.1.1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文档审查</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PT_R2233_8</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V1.07</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V1.07</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