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与PDPU的通信协议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biaoshi5</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另一个设计说明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SJSM110</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1.01</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1.01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1.01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1.01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1</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，其中一般问题1个</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9</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1.01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7</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3</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安全性测试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一个YZ对应的测试项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PT_R2233_004</w:t>
            </w:r>
          </w:p>
          <w:p>
            <w:pPr>
              <w:wordWrap w:val="0"/>
              <w:adjustRightInd w:val="0"/>
              <w:jc w:val="center"/>
              <w:rPr>
                <w:szCs w:val="21"/>
              </w:rPr>
            </w:pPr>
            <w:r>
              <w:rPr>
                <w:rFonts w:hint="eastAsia"/>
                <w:szCs w:val="21"/>
              </w:rPr>
              <w:t xml:space="preserve">PT_R2233_003</w:t>
            </w:r>
          </w:p>
          <w:p>
            <w:pPr>
              <w:wordWrap w:val="0"/>
              <w:adjustRightInd w:val="0"/>
              <w:jc w:val="center"/>
              <w:rPr>
                <w:szCs w:val="21"/>
              </w:rPr>
            </w:pPr>
            <w:r>
              <w:rPr>
                <w:rFonts w:hint="eastAsia"/>
                <w:szCs w:val="21"/>
              </w:rPr>
              <w:t xml:space="preserve">PT_R2233_002</w:t>
            </w:r>
          </w:p>
          <w:p>
            <w:pPr>
              <w:wordWrap w:val="0"/>
              <w:adjustRightInd w:val="0"/>
              <w:jc w:val="center"/>
              <w:rPr>
                <w:szCs w:val="21"/>
              </w:rPr>
            </w:pPr>
            <w:r>
              <w:rPr>
                <w:rFonts w:hint="eastAsia"/>
                <w:szCs w:val="21"/>
              </w:rPr>
              <w:t xml:space="preserve">PT_R2233_001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安全性测试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研总主要关联的测试项，另外还有需求关联它</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4</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程序问题3个、文档问题1个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一般问题3个、建议问题1个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6</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，其中一般问题4个、建议问题1个、严重问题1个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3</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3</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3</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3</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