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《一个正式的项目软件需求规格说明》调试台功能:3.1.2.1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测试调试台功能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1、TST-调试台功能测试1号</w:t>
            </w:r>
          </w:p>
          <w:p>
            <w:pPr>
              <w:wordWrap w:val="0"/>
              <w:adjustRightInd w:val="0"/>
              <w:rPr>
                <w:szCs w:val="21"/>
              </w:rPr>
            </w:pPr>
            <w:r>
              <w:rPr>
                <w:szCs w:val="21"/>
              </w:rPr>
              <w:t xml:space="preserve">2、TST-开始了功能测试</w:t>
            </w:r>
          </w:p>
          <w:p>
            <w:pPr>
              <w:wordWrap w:val="0"/>
              <w:adjustRightInd w:val="0"/>
              <w:rPr>
                <w:szCs w:val="21"/>
              </w:rPr>
            </w:pPr>
            <w:r>
              <w:rPr>
                <w:szCs w:val="21"/>
              </w:rPr>
              <w:t xml:space="preserve">3、TST-一个需求文档审查的问题</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《一个正式的项目软件需求规格说明》串口调试功能:3.2.2.1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一个串口调试功能</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1、CKTL-串口调试1号测试项</w:t>
            </w:r>
          </w:p>
          <w:p>
            <w:pPr>
              <w:wordWrap w:val="0"/>
              <w:adjustRightInd w:val="0"/>
              <w:rPr>
                <w:szCs w:val="21"/>
              </w:rPr>
            </w:pPr>
            <w:r>
              <w:rPr>
                <w:szCs w:val="21"/>
              </w:rPr>
              <w:t xml:space="preserve">2、CKTL-串口调试的接口功能测试项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《一个正式的项目软件需求规格说明》需求关联一个测试项:2.1.2.3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去关联多对多</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123123章节：初始化功能</w:t>
            </w:r>
          </w:p>
          <w:p>
            <w:pPr>
              <w:wordWrap w:val="0"/>
              <w:adjustRightInd w:val="0"/>
              <w:rPr>
                <w:szCs w:val="21"/>
              </w:rPr>
            </w:pPr>
            <w:r>
              <w:rPr>
                <w:szCs w:val="21"/>
              </w:rPr>
              <w:t xml:space="preserve">1.北风吹过的夏天</w:t>
            </w:r>
          </w:p>
          <w:p>
            <w:pPr>
              <w:wordWrap w:val="0"/>
              <w:adjustRightInd w:val="0"/>
              <w:rPr>
                <w:szCs w:val="21"/>
              </w:rPr>
            </w:pPr>
            <w:r>
              <w:rPr>
                <w:szCs w:val="21"/>
              </w:rPr>
              <w:t xml:space="preserve">2.以下内容为接口图片</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1、RS422-测试项1</w:t>
            </w:r>
          </w:p>
          <w:p>
            <w:pPr>
              <w:wordWrap w:val="0"/>
              <w:adjustRightInd w:val="0"/>
              <w:rPr>
                <w:szCs w:val="21"/>
              </w:rPr>
            </w:pPr>
            <w:r>
              <w:rPr>
                <w:szCs w:val="21"/>
              </w:rPr>
              <w:t xml:space="preserve">2、RS422-测试项2</w:t>
            </w:r>
          </w:p>
          <w:p>
            <w:pPr>
              <w:wordWrap w:val="0"/>
              <w:adjustRightInd w:val="0"/>
              <w:rPr>
                <w:szCs w:val="21"/>
              </w:rPr>
            </w:pPr>
            <w:r>
              <w:rPr>
                <w:szCs w:val="21"/>
              </w:rPr>
              <w:t xml:space="preserve">3、RS422-测试项3</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123</w:t>
            </w:r>
          </w:p>
          <w:p>
            <w:pPr>
              <w:wordWrap w:val="0"/>
              <w:adjustRightInd w:val="0"/>
              <w:rPr>
                <w:szCs w:val="21"/>
              </w:rPr>
            </w:pPr>
            <w:r>
              <w:rPr>
                <w:szCs w:val="21"/>
              </w:rPr>
              <w:t xml:space="preserve">AAA</w:t>
            </w:r>
          </w:p>
          <w:p>
            <w:pPr>
              <w:wordWrap w:val="0"/>
              <w:adjustRightInd w:val="0"/>
              <w:rPr>
                <w:szCs w:val="21"/>
              </w:rPr>
            </w:pPr>
            <w:r>
              <w:rPr>
                <w:szCs w:val="21"/>
              </w:rPr>
              <w:t xml:space="preserve">12412</w:t>
            </w:r>
          </w:p>
          <w:p>
            <w:pPr>
              <w:wordWrap w:val="0"/>
              <w:adjustRightInd w:val="0"/>
              <w:rPr>
                <w:szCs w:val="21"/>
              </w:rPr>
            </w:pPr>
            <w:r>
              <w:rPr>
                <w:szCs w:val="21"/>
              </w:rPr>
              <w:t xml:space="preserve">查看是否有东西A</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1.1.1章节：通用功能测试</w:t>
            </w:r>
          </w:p>
          <w:p>
            <w:pPr>
              <w:wordWrap w:val="0"/>
              <w:adjustRightInd w:val="0"/>
              <w:rPr>
                <w:szCs w:val="21"/>
              </w:rPr>
            </w:pPr>
            <w:r>
              <w:rPr>
                <w:szCs w:val="21"/>
              </w:rPr>
              <w:t xml:space="preserve">这是一个功能</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1、TYYY-一个YZ对应的测试项</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111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123章节：后端接口</w:t>
            </w:r>
          </w:p>
          <w:p>
            <w:pPr>
              <w:wordWrap w:val="0"/>
              <w:adjustRightInd w:val="0"/>
              <w:rPr>
                <w:szCs w:val="21"/>
              </w:rPr>
            </w:pPr>
            <w:r>
              <w:rPr>
                <w:szCs w:val="21"/>
              </w:rPr>
              <w:t xml:space="preserve">一个接口需求</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3.1.2.3章节：综合管理容量</w:t>
            </w:r>
          </w:p>
          <w:p>
            <w:pPr>
              <w:wordWrap w:val="0"/>
              <w:adjustRightInd w:val="0"/>
              <w:rPr>
                <w:szCs w:val="21"/>
              </w:rPr>
            </w:pPr>
            <w:r>
              <w:rPr>
                <w:szCs w:val="21"/>
              </w:rPr>
              <w:t xml:space="preserve">综合管理的数据容量：&gt;20TB</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4.1.1.1.1章节：1TB影像数据,200GB三维实景数据</w:t>
            </w:r>
          </w:p>
          <w:p>
            <w:pPr>
              <w:wordWrap w:val="0"/>
              <w:adjustRightInd w:val="0"/>
              <w:rPr>
                <w:szCs w:val="21"/>
              </w:rPr>
            </w:pPr>
            <w:r>
              <w:rPr>
                <w:szCs w:val="21"/>
              </w:rPr>
              <w:t xml:space="preserve">针对不小于1TB影像数据、不小于200GB三维实景地理环境模型数据进行测试：</w:t>
            </w:r>
          </w:p>
          <w:p>
            <w:pPr>
              <w:wordWrap w:val="0"/>
              <w:adjustRightInd w:val="0"/>
              <w:rPr>
                <w:szCs w:val="21"/>
              </w:rPr>
            </w:pPr>
            <w:r>
              <w:rPr>
                <w:szCs w:val="21"/>
              </w:rPr>
              <w:t xml:space="preserve">    1）影像浏览显示响应时间：＜1s</w:t>
            </w:r>
          </w:p>
          <w:p>
            <w:pPr>
              <w:wordWrap w:val="0"/>
              <w:adjustRightInd w:val="0"/>
              <w:rPr>
                <w:szCs w:val="21"/>
              </w:rPr>
            </w:pPr>
            <w:r>
              <w:rPr>
                <w:szCs w:val="21"/>
              </w:rPr>
              <w:t xml:space="preserve">    2）地图浏览显示响应时间：＜3s</w:t>
            </w:r>
          </w:p>
          <w:p>
            <w:pPr>
              <w:wordWrap w:val="0"/>
              <w:adjustRightInd w:val="0"/>
              <w:rPr>
                <w:szCs w:val="21"/>
              </w:rPr>
            </w:pPr>
            <w:r>
              <w:rPr>
                <w:szCs w:val="21"/>
              </w:rPr>
              <w:t xml:space="preserve">    3）三维实景模型显示响应时间：＜5s</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未关联测评大纲条款</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该设计需求未关联测评大纲条款</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1.1.2章节：研总的一个安全需求-里面有一个测试需求</w:t>
            </w:r>
          </w:p>
          <w:p>
            <w:pPr>
              <w:wordWrap w:val="0"/>
              <w:adjustRightInd w:val="0"/>
              <w:rPr>
                <w:szCs w:val="21"/>
              </w:rPr>
            </w:pPr>
            <w:r>
              <w:rPr>
                <w:szCs w:val="21"/>
              </w:rPr>
              <w:t xml:space="preserve">关联一个测试需求即测试项</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1、YZM1-研总主要关联的测试项，另外还有需求关联它</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安全输入1</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