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Organizational Adoption Agent Record</w:t>
      </w:r>
    </w:p>
    <w:p>
      <w:pPr>
        <w:jc w:val="center"/>
      </w:pPr>
      <w:r>
        <w:rPr>
          <w:i/>
        </w:rPr>
        <w:t>MASY1-GC 1800 Emerging Technologies Assignment 7</w:t>
      </w:r>
    </w:p>
    <w:p>
      <w:pPr>
        <w:pStyle w:val="Heading1"/>
        <w:spacing w:after="140"/>
      </w:pPr>
      <w:r>
        <w:t>A. Agent and Version</w:t>
      </w:r>
    </w:p>
    <w:p>
      <w:pPr>
        <w:spacing w:after="140"/>
      </w:pPr>
      <w:r>
        <w:t>Agent: Organizational Adoption Agent</w:t>
      </w:r>
    </w:p>
    <w:p>
      <w:pPr>
        <w:spacing w:after="140"/>
      </w:pPr>
      <w:r>
        <w:t>Version: 0.1-student</w:t>
      </w:r>
    </w:p>
    <w:p>
      <w:pPr>
        <w:spacing w:after="140"/>
      </w:pPr>
      <w:r>
        <w:t>Repository and branch: kh4214/MASY1800-ET-Agent-Lab; assignment7-organizational-adoption</w:t>
      </w:r>
    </w:p>
    <w:p>
      <w:pPr>
        <w:spacing w:after="140"/>
      </w:pPr>
      <w:r>
        <w:t>Scope: Organizational readiness for an emerging-technology application. The agent does not authorize vendor selection, procurement, security, legal review, or production deployment.</w:t>
      </w:r>
    </w:p>
    <w:p>
      <w:pPr>
        <w:pStyle w:val="Heading1"/>
        <w:spacing w:after="140"/>
      </w:pPr>
      <w:r>
        <w:t>B. Specialist Purpose and Context</w:t>
      </w:r>
    </w:p>
    <w:p>
      <w:pPr>
        <w:spacing w:after="140"/>
      </w:pPr>
      <w:r>
        <w:t>The agent asks whether an organization can absorb, govern, and sustain a proposed application even if the application appears strategically attractive. It evaluates leadership and sponsorship; skills and training; workflow and process; infrastructure and data; budget and resourcing; governance and risk ownership; culture and change management; and ongoing operational ownership.</w:t>
      </w:r>
    </w:p>
    <w:p>
      <w:pPr>
        <w:spacing w:after="140"/>
      </w:pPr>
      <w:r>
        <w:t>The primary and contrast cases hold constant generative AI for first-line SaaS customer-support automation with human escalation for consequential inquiries. The primary case is a resource-constrained startup. The contrast case is a larger SaaS organization with stronger stated capabilities. Both are course scenarios, not verified company profiles.</w:t>
      </w:r>
    </w:p>
    <w:p>
      <w:pPr>
        <w:pStyle w:val="Heading1"/>
        <w:spacing w:after="140"/>
      </w:pPr>
      <w:r>
        <w:t>C. Three Level Finding</w:t>
      </w:r>
    </w:p>
    <w:p>
      <w:pPr>
        <w:spacing w:after="140"/>
      </w:pPr>
      <w:r>
        <w:t>The specialist distinguishes general technology maturity and evidence, maturity and fit for the intended application, and organization-specific readiness. A low readiness finding is not evidence that the technology is immature or unsuitable.</w:t>
      </w:r>
    </w:p>
    <w:p>
      <w:pPr>
        <w:spacing w:after="140"/>
      </w:pPr>
      <w:r>
        <w:t>Readiness is stage-dependent. The final startup run recommends readiness-building before a pilot because the baseline, escalation design, accountable owner, governance process, and capacity to operate controls are not established. The final established-SaaS run recommends a conditional low-consequence pilot because governance and ongoing ownership are stated, while scale remains unsupported. Both runs require human escalation for consequential inquiries and measurement against a relevant existing support baseline.</w:t>
      </w:r>
    </w:p>
    <w:p>
      <w:pPr>
        <w:pStyle w:val="Heading1"/>
        <w:spacing w:after="140"/>
      </w:pPr>
      <w:r>
        <w:t>D. Evidence and Testing</w:t>
      </w:r>
    </w:p>
    <w:p>
      <w:pPr>
        <w:spacing w:after="140"/>
      </w:pPr>
      <w:r>
        <w:t>The agent requires independently verifiable evidence for consequential maturity, technical, security, regulatory, and adoption claims. It labels scenario facts as assumptions and does not invent scores, citations, ECTM methods, or performance thresholds. ECTM is considered only if its authoritative course definition is provided and is relevant.</w:t>
      </w:r>
    </w:p>
    <w:p>
      <w:pPr>
        <w:spacing w:after="140"/>
      </w:pPr>
      <w:r>
        <w:t>The prepared packets were executed through the available LLM capability. The initial primary and contrast responses both recommended a conditional pilot. This exposed a context-sensitivity weakness because the startup's missing stage gates did not change the action category. The specialist was revised to require a baseline, named owner, bounded scope, escalation/control design, and observation capacity before a pilot. The rerun recommends readiness-building for the startup and a conditional low-consequence pilot for the established organization.</w:t>
      </w:r>
    </w:p>
    <w:p>
      <w:pPr>
        <w:spacing w:after="140"/>
      </w:pPr>
      <w:r>
        <w:t>Initial and final responses are saved in the responses directory. All four response files passed the frozen local response validator. The stable conclusion is that maturity remains unclassified without independent evidence and that escalation/baseline evidence is necessary. The changed conclusion is the organization-specific next step.</w:t>
      </w:r>
    </w:p>
    <w:p>
      <w:pPr>
        <w:spacing w:after="140"/>
      </w:pPr>
      <w:r>
        <w:t>Missing-information condition: The agent must request the current support-quality baseline and evidence or design for human escalation before treating either case as ready for a consequential deployment decision.</w:t>
      </w:r>
    </w:p>
    <w:p>
      <w:pPr>
        <w:spacing w:after="140"/>
      </w:pPr>
      <w:r>
        <w:t>AI and verification note: Codex generated the saved structured responses from the packet contexts, revised the specialist after inspecting the initial contrast weakness, and ran the local validator. The unavailable assigned textbook source was not replaced with model memory. Case facts are explicitly labeled assumptions; no external factual citation is represented as verified.</w:t>
      </w:r>
    </w:p>
    <w:p>
      <w:pPr>
        <w:pStyle w:val="Heading1"/>
        <w:spacing w:after="140"/>
      </w:pPr>
      <w:r>
        <w:t>E. Independent Judgment and Handoff</w:t>
      </w:r>
    </w:p>
    <w:p>
      <w:pPr>
        <w:spacing w:after="140"/>
      </w:pPr>
      <w:r>
        <w:t>My independent judgment is to explore early when feasible, adopt when justified, and scale when the organization is ready. A bounded experiment may be justified before full-scale deployment, but pilot success alone is not proof of sustainable organizational readiness. Competitive pressure alone does not establish that adoption is warranted.</w:t>
      </w:r>
    </w:p>
    <w:p>
      <w:pPr>
        <w:spacing w:after="140"/>
      </w:pPr>
      <w:r>
        <w:t>The final common intake should capture adoption stage; executive sponsor and decision authority; named operational owner; skills and training capacity; workflow baseline and affected roles; data and integration constraints; financial and staffing capacity; governance, risk, and escalation controls; employee readiness; support-quality baseline; monitoring and maintenance plan; and material missing evidence.</w:t>
      </w:r>
    </w:p>
    <w:p>
      <w:pPr>
        <w:spacing w:after="140"/>
      </w:pPr>
      <w:r>
        <w:t>Team handoff: Provide the readiness conclusion, the most consequential case-derived gap, prioritized action and owner, explicit missing-information condition, and adoption-stage recommendation.</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