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57068C"/>
          <w:sz w:val="28"/>
        </w:rPr>
        <w:t>EMERGING TECHNOLOGIES</w:t>
      </w:r>
    </w:p>
    <w:p>
      <w:pPr>
        <w:pStyle w:val="Title"/>
        <w:jc w:val="center"/>
      </w:pPr>
      <w:r>
        <w:t>Organizational Adoption Agent Record</w:t>
      </w:r>
    </w:p>
    <w:p>
      <w:pPr>
        <w:jc w:val="center"/>
      </w:pPr>
      <w:r>
        <w:t>MASY1-GC 1800 | Assignments 2-8</w:t>
      </w:r>
    </w:p>
    <w:tbl>
      <w:tblPr>
        <w:tblW w:type="auto" w:w="0"/>
        <w:tblLook w:firstColumn="1" w:firstRow="1" w:lastColumn="0" w:lastRow="0" w:noHBand="0" w:noVBand="1" w:val="04A0"/>
      </w:tblPr>
      <w:tblGrid>
        <w:gridCol w:w="10454"/>
      </w:tblGrid>
      <w:tr>
        <w:tc>
          <w:tcPr>
            <w:tcW w:type="dxa" w:w="10454"/>
            <w:shd w:fill="F3EDF7"/>
            <w:tcMar>
              <w:top w:w="90" w:type="dxa"/>
              <w:start w:w="120" w:type="dxa"/>
              <w:bottom w:w="90" w:type="dxa"/>
              <w:end w:w="120" w:type="dxa"/>
            </w:tcMar>
          </w:tcPr>
          <w:p>
            <w:pPr>
              <w:pStyle w:val="Callout"/>
            </w:pPr>
            <w:r>
              <w:t>Complete this record from the evidence in your working scaffold. Keep it concise. The record documents what you specialized, how you tested it, what failed or changed, and what professional judgment you reached.</w:t>
            </w:r>
          </w:p>
        </w:tc>
      </w:tr>
    </w:tbl>
    <w:p>
      <w:pPr>
        <w:pStyle w:val="Heading1"/>
      </w:pPr>
      <w:r>
        <w:t>A. Agent and Version</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
      <w:tr>
        <w:tc>
          <w:tcPr>
            <w:tcW w:type="dxa" w:w="5227"/>
            <w:tcMar>
              <w:top w:w="70" w:type="dxa"/>
              <w:start w:w="90" w:type="dxa"/>
              <w:bottom w:w="70" w:type="dxa"/>
              <w:end w:w="90" w:type="dxa"/>
            </w:tcMar>
            <w:vAlign w:val="top"/>
          </w:tcPr>
          <w:p>
            <w:pPr>
              <w:spacing w:after="20"/>
            </w:pPr>
            <w:r>
              <w:rPr>
                <w:sz w:val="17"/>
              </w:rPr>
              <w:t>Student / team</w:t>
            </w:r>
          </w:p>
        </w:tc>
        <w:tc>
          <w:tcPr>
            <w:tcW w:type="dxa" w:w="5227"/>
            <w:tcMar>
              <w:top w:w="70" w:type="dxa"/>
              <w:start w:w="90" w:type="dxa"/>
              <w:bottom w:w="70" w:type="dxa"/>
              <w:end w:w="90" w:type="dxa"/>
            </w:tcMar>
            <w:vAlign w:val="top"/>
          </w:tcPr>
          <w:p>
            <w:pPr>
              <w:spacing w:after="40"/>
            </w:pPr>
            <w:r>
              <w:rPr>
                <w:sz w:val="18"/>
              </w:rPr>
              <w:t>Karoline He</w:t>
            </w:r>
          </w:p>
        </w:tc>
      </w:tr>
      <w:tr>
        <w:tc>
          <w:tcPr>
            <w:tcW w:type="dxa" w:w="5227"/>
            <w:tcMar>
              <w:top w:w="70" w:type="dxa"/>
              <w:start w:w="90" w:type="dxa"/>
              <w:bottom w:w="70" w:type="dxa"/>
              <w:end w:w="90" w:type="dxa"/>
            </w:tcMar>
            <w:vAlign w:val="top"/>
          </w:tcPr>
          <w:p>
            <w:pPr>
              <w:spacing w:after="20"/>
            </w:pPr>
            <w:r>
              <w:rPr>
                <w:sz w:val="17"/>
              </w:rPr>
              <w:t>Assignment / specialist agent</w:t>
            </w:r>
          </w:p>
        </w:tc>
        <w:tc>
          <w:tcPr>
            <w:tcW w:type="dxa" w:w="5227"/>
            <w:tcMar>
              <w:top w:w="70" w:type="dxa"/>
              <w:start w:w="90" w:type="dxa"/>
              <w:bottom w:w="70" w:type="dxa"/>
              <w:end w:w="90" w:type="dxa"/>
            </w:tcMar>
            <w:vAlign w:val="top"/>
          </w:tcPr>
          <w:p>
            <w:pPr>
              <w:spacing w:after="40"/>
            </w:pPr>
            <w:r>
              <w:rPr>
                <w:sz w:val="18"/>
              </w:rPr>
              <w:t>Assignment 7 - Organizational Adoption Agent</w:t>
            </w:r>
          </w:p>
        </w:tc>
      </w:tr>
      <w:tr>
        <w:tc>
          <w:tcPr>
            <w:tcW w:type="dxa" w:w="5227"/>
            <w:tcMar>
              <w:top w:w="70" w:type="dxa"/>
              <w:start w:w="90" w:type="dxa"/>
              <w:bottom w:w="70" w:type="dxa"/>
              <w:end w:w="90" w:type="dxa"/>
            </w:tcMar>
            <w:vAlign w:val="top"/>
          </w:tcPr>
          <w:p>
            <w:pPr>
              <w:spacing w:after="20"/>
            </w:pPr>
            <w:r>
              <w:rPr>
                <w:sz w:val="17"/>
              </w:rPr>
              <w:t>Date</w:t>
            </w:r>
          </w:p>
        </w:tc>
        <w:tc>
          <w:tcPr>
            <w:tcW w:type="dxa" w:w="5227"/>
            <w:tcMar>
              <w:top w:w="70" w:type="dxa"/>
              <w:start w:w="90" w:type="dxa"/>
              <w:bottom w:w="70" w:type="dxa"/>
              <w:end w:w="90" w:type="dxa"/>
            </w:tcMar>
            <w:vAlign w:val="top"/>
          </w:tcPr>
          <w:p>
            <w:pPr>
              <w:spacing w:after="40"/>
            </w:pPr>
            <w:r>
              <w:rPr>
                <w:sz w:val="18"/>
              </w:rPr>
              <w:t>October 30, 2026</w:t>
            </w:r>
          </w:p>
        </w:tc>
      </w:tr>
      <w:tr>
        <w:tc>
          <w:tcPr>
            <w:tcW w:type="dxa" w:w="5227"/>
            <w:tcMar>
              <w:top w:w="70" w:type="dxa"/>
              <w:start w:w="90" w:type="dxa"/>
              <w:bottom w:w="70" w:type="dxa"/>
              <w:end w:w="90" w:type="dxa"/>
            </w:tcMar>
            <w:vAlign w:val="top"/>
          </w:tcPr>
          <w:p>
            <w:pPr>
              <w:spacing w:after="20"/>
            </w:pPr>
            <w:r>
              <w:rPr>
                <w:sz w:val="17"/>
              </w:rPr>
              <w:t>GitHub repository</w:t>
            </w:r>
          </w:p>
        </w:tc>
        <w:tc>
          <w:tcPr>
            <w:tcW w:type="dxa" w:w="5227"/>
            <w:tcMar>
              <w:top w:w="70" w:type="dxa"/>
              <w:start w:w="90" w:type="dxa"/>
              <w:bottom w:w="70" w:type="dxa"/>
              <w:end w:w="90" w:type="dxa"/>
            </w:tcMar>
            <w:vAlign w:val="top"/>
          </w:tcPr>
          <w:p>
            <w:pPr>
              <w:spacing w:after="40"/>
            </w:pPr>
            <w:r>
              <w:rPr>
                <w:sz w:val="18"/>
              </w:rPr>
              <w:t>kh4214/MASY1800-ET-Agent-Lab</w:t>
            </w:r>
          </w:p>
        </w:tc>
      </w:tr>
      <w:tr>
        <w:tc>
          <w:tcPr>
            <w:tcW w:type="dxa" w:w="5227"/>
            <w:tcMar>
              <w:top w:w="70" w:type="dxa"/>
              <w:start w:w="90" w:type="dxa"/>
              <w:bottom w:w="70" w:type="dxa"/>
              <w:end w:w="90" w:type="dxa"/>
            </w:tcMar>
            <w:vAlign w:val="top"/>
          </w:tcPr>
          <w:p>
            <w:pPr>
              <w:spacing w:after="20"/>
            </w:pPr>
            <w:r>
              <w:rPr>
                <w:sz w:val="17"/>
              </w:rPr>
              <w:t>Branch</w:t>
            </w:r>
          </w:p>
        </w:tc>
        <w:tc>
          <w:tcPr>
            <w:tcW w:type="dxa" w:w="5227"/>
            <w:tcMar>
              <w:top w:w="70" w:type="dxa"/>
              <w:start w:w="90" w:type="dxa"/>
              <w:bottom w:w="70" w:type="dxa"/>
              <w:end w:w="90" w:type="dxa"/>
            </w:tcMar>
            <w:vAlign w:val="top"/>
          </w:tcPr>
          <w:p>
            <w:pPr>
              <w:spacing w:after="40"/>
            </w:pPr>
            <w:r>
              <w:rPr>
                <w:sz w:val="18"/>
              </w:rPr>
              <w:t>assignment7-organizational-adoption</w:t>
            </w:r>
          </w:p>
        </w:tc>
      </w:tr>
      <w:tr>
        <w:tc>
          <w:tcPr>
            <w:tcW w:type="dxa" w:w="5227"/>
            <w:tcMar>
              <w:top w:w="70" w:type="dxa"/>
              <w:start w:w="90" w:type="dxa"/>
              <w:bottom w:w="70" w:type="dxa"/>
              <w:end w:w="90" w:type="dxa"/>
            </w:tcMar>
            <w:vAlign w:val="top"/>
          </w:tcPr>
          <w:p>
            <w:pPr>
              <w:spacing w:after="20"/>
            </w:pPr>
            <w:r>
              <w:rPr>
                <w:sz w:val="17"/>
              </w:rPr>
              <w:t>Commit</w:t>
            </w:r>
          </w:p>
        </w:tc>
        <w:tc>
          <w:tcPr>
            <w:tcW w:type="dxa" w:w="5227"/>
            <w:tcMar>
              <w:top w:w="70" w:type="dxa"/>
              <w:start w:w="90" w:type="dxa"/>
              <w:bottom w:w="70" w:type="dxa"/>
              <w:end w:w="90" w:type="dxa"/>
            </w:tcMar>
            <w:vAlign w:val="top"/>
          </w:tcPr>
          <w:p>
            <w:pPr>
              <w:spacing w:after="40"/>
            </w:pPr>
            <w:r>
              <w:rPr>
                <w:sz w:val="18"/>
              </w:rPr>
              <w:t>199b9c8c9b9932011e217774972316d9a1ce62b4 (tested agent package)</w:t>
            </w:r>
          </w:p>
        </w:tc>
      </w:tr>
      <w:tr>
        <w:tc>
          <w:tcPr>
            <w:tcW w:type="dxa" w:w="5227"/>
            <w:tcMar>
              <w:top w:w="70" w:type="dxa"/>
              <w:start w:w="90" w:type="dxa"/>
              <w:bottom w:w="70" w:type="dxa"/>
              <w:end w:w="90" w:type="dxa"/>
            </w:tcMar>
            <w:vAlign w:val="top"/>
          </w:tcPr>
          <w:p>
            <w:pPr>
              <w:spacing w:after="20"/>
            </w:pPr>
            <w:r>
              <w:rPr>
                <w:sz w:val="17"/>
              </w:rPr>
              <w:t>Frozen scaffold version</w:t>
            </w:r>
          </w:p>
        </w:tc>
        <w:tc>
          <w:tcPr>
            <w:tcW w:type="dxa" w:w="5227"/>
            <w:tcMar>
              <w:top w:w="70" w:type="dxa"/>
              <w:start w:w="90" w:type="dxa"/>
              <w:bottom w:w="70" w:type="dxa"/>
              <w:end w:w="90" w:type="dxa"/>
            </w:tcMar>
            <w:vAlign w:val="top"/>
          </w:tcPr>
          <w:p>
            <w:pPr>
              <w:spacing w:after="20"/>
            </w:pPr>
            <w:r>
              <w:rPr>
                <w:sz w:val="17"/>
              </w:rPr>
              <w:t>MASY1800_ET_Agent_Scaffold_v1_0</w:t>
            </w:r>
          </w:p>
        </w:tc>
      </w:tr>
    </w:tbl>
    <w:p>
      <w:pPr>
        <w:pStyle w:val="Heading1"/>
      </w:pPr>
      <w:r>
        <w:t>B. Specialist Purpose and Context</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
      <w:tr>
        <w:tc>
          <w:tcPr>
            <w:tcW w:type="dxa" w:w="5227"/>
            <w:tcMar>
              <w:top w:w="70" w:type="dxa"/>
              <w:start w:w="90" w:type="dxa"/>
              <w:bottom w:w="70" w:type="dxa"/>
              <w:end w:w="90" w:type="dxa"/>
            </w:tcMar>
            <w:vAlign w:val="top"/>
          </w:tcPr>
          <w:p>
            <w:pPr>
              <w:spacing w:after="20"/>
            </w:pPr>
            <w:r>
              <w:rPr>
                <w:sz w:val="17"/>
              </w:rPr>
              <w:t>Governing analytical question</w:t>
            </w:r>
          </w:p>
        </w:tc>
        <w:tc>
          <w:tcPr>
            <w:tcW w:type="dxa" w:w="5227"/>
            <w:tcMar>
              <w:top w:w="70" w:type="dxa"/>
              <w:start w:w="90" w:type="dxa"/>
              <w:bottom w:w="70" w:type="dxa"/>
              <w:end w:w="90" w:type="dxa"/>
            </w:tcMar>
            <w:vAlign w:val="top"/>
          </w:tcPr>
          <w:p>
            <w:pPr>
              <w:spacing w:after="40"/>
            </w:pPr>
            <w:r>
              <w:rPr>
                <w:sz w:val="18"/>
              </w:rPr>
              <w:t>Even if adoption is strategically appropriate, can this organization absorb, govern, and sustain the proposed application?</w:t>
            </w:r>
          </w:p>
        </w:tc>
      </w:tr>
      <w:tr>
        <w:tc>
          <w:tcPr>
            <w:tcW w:type="dxa" w:w="5227"/>
            <w:tcMar>
              <w:top w:w="70" w:type="dxa"/>
              <w:start w:w="90" w:type="dxa"/>
              <w:bottom w:w="70" w:type="dxa"/>
              <w:end w:w="90" w:type="dxa"/>
            </w:tcMar>
            <w:vAlign w:val="top"/>
          </w:tcPr>
          <w:p>
            <w:pPr>
              <w:spacing w:after="20"/>
            </w:pPr>
            <w:r>
              <w:rPr>
                <w:sz w:val="17"/>
              </w:rPr>
              <w:t>Emerging technology</w:t>
            </w:r>
          </w:p>
        </w:tc>
        <w:tc>
          <w:tcPr>
            <w:tcW w:type="dxa" w:w="5227"/>
            <w:tcMar>
              <w:top w:w="70" w:type="dxa"/>
              <w:start w:w="90" w:type="dxa"/>
              <w:bottom w:w="70" w:type="dxa"/>
              <w:end w:w="90" w:type="dxa"/>
            </w:tcMar>
            <w:vAlign w:val="top"/>
          </w:tcPr>
          <w:p>
            <w:pPr>
              <w:spacing w:after="40"/>
            </w:pPr>
            <w:r>
              <w:rPr>
                <w:sz w:val="18"/>
              </w:rPr>
              <w:t>Generative AI using a large language model</w:t>
            </w:r>
          </w:p>
        </w:tc>
      </w:tr>
      <w:tr>
        <w:tc>
          <w:tcPr>
            <w:tcW w:type="dxa" w:w="5227"/>
            <w:tcMar>
              <w:top w:w="70" w:type="dxa"/>
              <w:start w:w="90" w:type="dxa"/>
              <w:bottom w:w="70" w:type="dxa"/>
              <w:end w:w="90" w:type="dxa"/>
            </w:tcMar>
            <w:vAlign w:val="top"/>
          </w:tcPr>
          <w:p>
            <w:pPr>
              <w:spacing w:after="20"/>
            </w:pPr>
            <w:r>
              <w:rPr>
                <w:sz w:val="17"/>
              </w:rPr>
              <w:t>Intended application</w:t>
            </w:r>
          </w:p>
        </w:tc>
        <w:tc>
          <w:tcPr>
            <w:tcW w:type="dxa" w:w="5227"/>
            <w:tcMar>
              <w:top w:w="70" w:type="dxa"/>
              <w:start w:w="90" w:type="dxa"/>
              <w:bottom w:w="70" w:type="dxa"/>
              <w:end w:w="90" w:type="dxa"/>
            </w:tcMar>
            <w:vAlign w:val="top"/>
          </w:tcPr>
          <w:p>
            <w:pPr>
              <w:spacing w:after="40"/>
            </w:pPr>
            <w:r>
              <w:rPr>
                <w:sz w:val="18"/>
              </w:rPr>
              <w:t>First-line SaaS customer-support automation, with human escalation for consequential inquiries.</w:t>
            </w:r>
          </w:p>
        </w:tc>
      </w:tr>
      <w:tr>
        <w:tc>
          <w:tcPr>
            <w:tcW w:type="dxa" w:w="5227"/>
            <w:tcMar>
              <w:top w:w="70" w:type="dxa"/>
              <w:start w:w="90" w:type="dxa"/>
              <w:bottom w:w="70" w:type="dxa"/>
              <w:end w:w="90" w:type="dxa"/>
            </w:tcMar>
            <w:vAlign w:val="top"/>
          </w:tcPr>
          <w:p>
            <w:pPr>
              <w:spacing w:after="20"/>
            </w:pPr>
            <w:r>
              <w:rPr>
                <w:sz w:val="17"/>
              </w:rPr>
              <w:t>Organization / industry</w:t>
            </w:r>
          </w:p>
        </w:tc>
        <w:tc>
          <w:tcPr>
            <w:tcW w:type="dxa" w:w="5227"/>
            <w:tcMar>
              <w:top w:w="70" w:type="dxa"/>
              <w:start w:w="90" w:type="dxa"/>
              <w:bottom w:w="70" w:type="dxa"/>
              <w:end w:w="90" w:type="dxa"/>
            </w:tcMar>
            <w:vAlign w:val="top"/>
          </w:tcPr>
          <w:p>
            <w:pPr>
              <w:spacing w:after="40"/>
            </w:pPr>
            <w:r>
              <w:rPr>
                <w:sz w:val="18"/>
              </w:rPr>
              <w:t>Primary: early-stage B2B SaaS startup. Contrast: larger established B2B SaaS organization. Both are course scenarios.</w:t>
            </w:r>
          </w:p>
        </w:tc>
      </w:tr>
      <w:tr>
        <w:tc>
          <w:tcPr>
            <w:tcW w:type="dxa" w:w="5227"/>
            <w:tcMar>
              <w:top w:w="70" w:type="dxa"/>
              <w:start w:w="90" w:type="dxa"/>
              <w:bottom w:w="70" w:type="dxa"/>
              <w:end w:w="90" w:type="dxa"/>
            </w:tcMar>
            <w:vAlign w:val="top"/>
          </w:tcPr>
          <w:p>
            <w:pPr>
              <w:spacing w:after="20"/>
            </w:pPr>
            <w:r>
              <w:rPr>
                <w:sz w:val="17"/>
              </w:rPr>
              <w:t>Adoption posture</w:t>
            </w:r>
          </w:p>
        </w:tc>
        <w:tc>
          <w:tcPr>
            <w:tcW w:type="dxa" w:w="5227"/>
            <w:tcMar>
              <w:top w:w="70" w:type="dxa"/>
              <w:start w:w="90" w:type="dxa"/>
              <w:bottom w:w="70" w:type="dxa"/>
              <w:end w:w="90" w:type="dxa"/>
            </w:tcMar>
            <w:vAlign w:val="top"/>
          </w:tcPr>
          <w:p>
            <w:pPr>
              <w:spacing w:after="40"/>
            </w:pPr>
            <w:r>
              <w:rPr>
                <w:sz w:val="18"/>
              </w:rPr>
              <w:t>Startup: possible limited pilot. Contrast: controlled staged evaluation; neither case is approved for scale.</w:t>
            </w:r>
          </w:p>
        </w:tc>
      </w:tr>
      <w:tr>
        <w:tc>
          <w:tcPr>
            <w:tcW w:type="dxa" w:w="5227"/>
            <w:tcMar>
              <w:top w:w="70" w:type="dxa"/>
              <w:start w:w="90" w:type="dxa"/>
              <w:bottom w:w="70" w:type="dxa"/>
              <w:end w:w="90" w:type="dxa"/>
            </w:tcMar>
            <w:vAlign w:val="top"/>
          </w:tcPr>
          <w:p>
            <w:pPr>
              <w:spacing w:after="20"/>
            </w:pPr>
            <w:r>
              <w:rPr>
                <w:sz w:val="17"/>
              </w:rPr>
              <w:t>Risk / consequence context</w:t>
            </w:r>
          </w:p>
        </w:tc>
        <w:tc>
          <w:tcPr>
            <w:tcW w:type="dxa" w:w="5227"/>
            <w:tcMar>
              <w:top w:w="70" w:type="dxa"/>
              <w:start w:w="90" w:type="dxa"/>
              <w:bottom w:w="70" w:type="dxa"/>
              <w:end w:w="90" w:type="dxa"/>
            </w:tcMar>
            <w:vAlign w:val="top"/>
          </w:tcPr>
          <w:p>
            <w:pPr>
              <w:spacing w:after="40"/>
            </w:pPr>
            <w:r>
              <w:rPr>
                <w:sz w:val="18"/>
              </w:rPr>
              <w:t>Inaccurate responses may mislead customers or mishandle account, security, billing, or contractual inquiries.</w:t>
            </w:r>
          </w:p>
        </w:tc>
      </w:tr>
      <w:tr>
        <w:tc>
          <w:tcPr>
            <w:tcW w:type="dxa" w:w="5227"/>
            <w:tcMar>
              <w:top w:w="70" w:type="dxa"/>
              <w:start w:w="90" w:type="dxa"/>
              <w:bottom w:w="70" w:type="dxa"/>
              <w:end w:w="90" w:type="dxa"/>
            </w:tcMar>
            <w:vAlign w:val="top"/>
          </w:tcPr>
          <w:p>
            <w:pPr>
              <w:spacing w:after="20"/>
            </w:pPr>
            <w:r>
              <w:rPr>
                <w:sz w:val="17"/>
              </w:rPr>
              <w:t>Management question / time horizon</w:t>
            </w:r>
          </w:p>
        </w:tc>
        <w:tc>
          <w:tcPr>
            <w:tcW w:type="dxa" w:w="5227"/>
            <w:tcMar>
              <w:top w:w="70" w:type="dxa"/>
              <w:start w:w="90" w:type="dxa"/>
              <w:bottom w:w="70" w:type="dxa"/>
              <w:end w:w="90" w:type="dxa"/>
            </w:tcMar>
            <w:vAlign w:val="top"/>
          </w:tcPr>
          <w:p>
            <w:pPr>
              <w:spacing w:after="40"/>
            </w:pPr>
            <w:r>
              <w:rPr>
                <w:sz w:val="18"/>
              </w:rPr>
              <w:t>Is the organization ready, what is the consequential gap, and what must change before the next adoption stage? Startup: next 3 months; contrast: next 3-6 months.</w:t>
            </w:r>
          </w:p>
        </w:tc>
      </w:tr>
    </w:tbl>
    <w:p>
      <w:pPr>
        <w:pStyle w:val="Heading1"/>
      </w:pPr>
      <w:r>
        <w:t>C. Three-Level Finding</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
      <w:tr>
        <w:tc>
          <w:tcPr>
            <w:tcW w:type="dxa" w:w="5227"/>
            <w:tcMar>
              <w:top w:w="70" w:type="dxa"/>
              <w:start w:w="90" w:type="dxa"/>
              <w:bottom w:w="70" w:type="dxa"/>
              <w:end w:w="90" w:type="dxa"/>
            </w:tcMar>
            <w:vAlign w:val="top"/>
          </w:tcPr>
          <w:p>
            <w:pPr>
              <w:spacing w:after="20"/>
            </w:pPr>
            <w:r>
              <w:rPr>
                <w:sz w:val="17"/>
              </w:rPr>
              <w:t>ET generally</w:t>
            </w:r>
          </w:p>
        </w:tc>
        <w:tc>
          <w:tcPr>
            <w:tcW w:type="dxa" w:w="5227"/>
            <w:tcMar>
              <w:top w:w="70" w:type="dxa"/>
              <w:start w:w="90" w:type="dxa"/>
              <w:bottom w:w="70" w:type="dxa"/>
              <w:end w:w="90" w:type="dxa"/>
            </w:tcMar>
            <w:vAlign w:val="top"/>
          </w:tcPr>
          <w:p>
            <w:pPr>
              <w:spacing w:after="40"/>
            </w:pPr>
            <w:r>
              <w:rPr>
                <w:sz w:val="18"/>
              </w:rPr>
              <w:t>Chapter 8 treats LLM-based generative AI as leading edge for most business applications, while warning that maturity is application- and organization-specific. The saved runs use that course framework and do not claim provider-specific performance evidence.</w:t>
            </w:r>
          </w:p>
        </w:tc>
      </w:tr>
      <w:tr>
        <w:tc>
          <w:tcPr>
            <w:tcW w:type="dxa" w:w="5227"/>
            <w:tcMar>
              <w:top w:w="70" w:type="dxa"/>
              <w:start w:w="90" w:type="dxa"/>
              <w:bottom w:w="70" w:type="dxa"/>
              <w:end w:w="90" w:type="dxa"/>
            </w:tcMar>
            <w:vAlign w:val="top"/>
          </w:tcPr>
          <w:p>
            <w:pPr>
              <w:spacing w:after="20"/>
            </w:pPr>
            <w:r>
              <w:rPr>
                <w:sz w:val="17"/>
              </w:rPr>
              <w:t>ET for this application</w:t>
            </w:r>
          </w:p>
        </w:tc>
        <w:tc>
          <w:tcPr>
            <w:tcW w:type="dxa" w:w="5227"/>
            <w:tcMar>
              <w:top w:w="70" w:type="dxa"/>
              <w:start w:w="90" w:type="dxa"/>
              <w:bottom w:w="70" w:type="dxa"/>
              <w:end w:w="90" w:type="dxa"/>
            </w:tcMar>
            <w:vAlign w:val="top"/>
          </w:tcPr>
          <w:p>
            <w:pPr>
              <w:spacing w:after="40"/>
            </w:pPr>
            <w:r>
              <w:rPr>
                <w:sz w:val="18"/>
              </w:rPr>
              <w:t>Customer-support automation can be explored in a bounded low-consequence setting, but requires a relevant support baseline and tested human escalation for consequential inquiries.</w:t>
            </w:r>
          </w:p>
        </w:tc>
      </w:tr>
      <w:tr>
        <w:tc>
          <w:tcPr>
            <w:tcW w:type="dxa" w:w="5227"/>
            <w:tcMar>
              <w:top w:w="70" w:type="dxa"/>
              <w:start w:w="90" w:type="dxa"/>
              <w:bottom w:w="70" w:type="dxa"/>
              <w:end w:w="90" w:type="dxa"/>
            </w:tcMar>
            <w:vAlign w:val="top"/>
          </w:tcPr>
          <w:p>
            <w:pPr>
              <w:spacing w:after="20"/>
            </w:pPr>
            <w:r>
              <w:rPr>
                <w:sz w:val="17"/>
              </w:rPr>
              <w:t>ET for this application in this organization</w:t>
            </w:r>
          </w:p>
        </w:tc>
        <w:tc>
          <w:tcPr>
            <w:tcW w:type="dxa" w:w="5227"/>
            <w:tcMar>
              <w:top w:w="70" w:type="dxa"/>
              <w:start w:w="90" w:type="dxa"/>
              <w:bottom w:w="70" w:type="dxa"/>
              <w:end w:w="90" w:type="dxa"/>
            </w:tcMar>
            <w:vAlign w:val="top"/>
          </w:tcPr>
          <w:p>
            <w:pPr>
              <w:spacing w:after="40"/>
            </w:pPr>
            <w:r>
              <w:rPr>
                <w:sz w:val="18"/>
              </w:rPr>
              <w:t>Startup: readiness-building before a pilot; baseline, escalation design, accountable owner, governance process, and operating capacity are missing. Contrast: conditional low-consequence pilot; governance and ownership are stated, but controls are not proven. Neither is scale-ready.</w:t>
            </w:r>
          </w:p>
        </w:tc>
      </w:tr>
      <w:tr>
        <w:tc>
          <w:tcPr>
            <w:tcW w:type="dxa" w:w="5227"/>
            <w:tcMar>
              <w:top w:w="70" w:type="dxa"/>
              <w:start w:w="90" w:type="dxa"/>
              <w:bottom w:w="70" w:type="dxa"/>
              <w:end w:w="90" w:type="dxa"/>
            </w:tcMar>
            <w:vAlign w:val="top"/>
          </w:tcPr>
          <w:p>
            <w:pPr>
              <w:spacing w:after="20"/>
            </w:pPr>
            <w:r>
              <w:rPr>
                <w:sz w:val="17"/>
              </w:rPr>
              <w:t>Bounded management implication</w:t>
            </w:r>
          </w:p>
        </w:tc>
        <w:tc>
          <w:tcPr>
            <w:tcW w:type="dxa" w:w="5227"/>
            <w:tcMar>
              <w:top w:w="70" w:type="dxa"/>
              <w:start w:w="90" w:type="dxa"/>
              <w:bottom w:w="70" w:type="dxa"/>
              <w:end w:w="90" w:type="dxa"/>
            </w:tcMar>
            <w:vAlign w:val="top"/>
          </w:tcPr>
          <w:p>
            <w:pPr>
              <w:spacing w:after="40"/>
            </w:pPr>
            <w:r>
              <w:rPr>
                <w:sz w:val="18"/>
              </w:rPr>
              <w:t>Startup: establish stage gates before launch. Contrast: run a constrained pilot with defined scope, escalation, baseline, stop conditions, and governance review; expand only after evidence shows controls work.</w:t>
            </w:r>
          </w:p>
        </w:tc>
      </w:tr>
      <w:tr>
        <w:tc>
          <w:tcPr>
            <w:tcW w:type="dxa" w:w="5227"/>
            <w:tcMar>
              <w:top w:w="70" w:type="dxa"/>
              <w:start w:w="90" w:type="dxa"/>
              <w:bottom w:w="70" w:type="dxa"/>
              <w:end w:w="90" w:type="dxa"/>
            </w:tcMar>
            <w:vAlign w:val="top"/>
          </w:tcPr>
          <w:p>
            <w:pPr>
              <w:spacing w:after="20"/>
            </w:pPr>
            <w:r>
              <w:rPr>
                <w:sz w:val="17"/>
              </w:rPr>
              <w:t>Confidence / uncertainty</w:t>
            </w:r>
          </w:p>
        </w:tc>
        <w:tc>
          <w:tcPr>
            <w:tcW w:type="dxa" w:w="5227"/>
            <w:tcMar>
              <w:top w:w="70" w:type="dxa"/>
              <w:start w:w="90" w:type="dxa"/>
              <w:bottom w:w="70" w:type="dxa"/>
              <w:end w:w="90" w:type="dxa"/>
            </w:tcMar>
            <w:vAlign w:val="top"/>
          </w:tcPr>
          <w:p>
            <w:pPr>
              <w:spacing w:after="40"/>
            </w:pPr>
            <w:r>
              <w:rPr>
                <w:sz w:val="18"/>
              </w:rPr>
              <w:t>Moderate confidence in stage recommendations from case assumptions. Low confidence in provider-specific privacy, security, legal, data, and production-control adequacy.</w:t>
            </w:r>
          </w:p>
        </w:tc>
      </w:tr>
      <w:tr>
        <w:tc>
          <w:tcPr>
            <w:tcW w:type="dxa" w:w="5227"/>
            <w:tcMar>
              <w:top w:w="70" w:type="dxa"/>
              <w:start w:w="90" w:type="dxa"/>
              <w:bottom w:w="70" w:type="dxa"/>
              <w:end w:w="90" w:type="dxa"/>
            </w:tcMar>
            <w:vAlign w:val="top"/>
          </w:tcPr>
          <w:p>
            <w:pPr>
              <w:spacing w:after="20"/>
            </w:pPr>
            <w:r>
              <w:rPr>
                <w:sz w:val="17"/>
              </w:rPr>
              <w:t>What evidence or condition would change the conclusion</w:t>
            </w:r>
          </w:p>
        </w:tc>
        <w:tc>
          <w:tcPr>
            <w:tcW w:type="dxa" w:w="5227"/>
            <w:tcMar>
              <w:top w:w="70" w:type="dxa"/>
              <w:start w:w="90" w:type="dxa"/>
              <w:bottom w:w="70" w:type="dxa"/>
              <w:end w:w="90" w:type="dxa"/>
            </w:tcMar>
            <w:vAlign w:val="top"/>
          </w:tcPr>
          <w:p>
            <w:pPr>
              <w:spacing w:after="40"/>
            </w:pPr>
            <w:r>
              <w:rPr>
                <w:sz w:val="18"/>
              </w:rPr>
              <w:t>Support-quality baseline; tested escalation; named accountable owner; staffing/monitoring capacity; provider/data controls; and pilot evidence that controls work.</w:t>
            </w:r>
          </w:p>
        </w:tc>
      </w:tr>
    </w:tbl>
    <w:p>
      <w:pPr>
        <w:pStyle w:val="Heading1"/>
      </w:pPr>
      <w:r>
        <w:t>D. Evidence and Testing</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
      <w:tr>
        <w:tc>
          <w:tcPr>
            <w:tcW w:type="dxa" w:w="5227"/>
            <w:tcMar>
              <w:top w:w="70" w:type="dxa"/>
              <w:start w:w="90" w:type="dxa"/>
              <w:bottom w:w="70" w:type="dxa"/>
              <w:end w:w="90" w:type="dxa"/>
            </w:tcMar>
            <w:vAlign w:val="top"/>
          </w:tcPr>
          <w:p>
            <w:pPr>
              <w:spacing w:after="20"/>
            </w:pPr>
            <w:r>
              <w:rPr>
                <w:sz w:val="17"/>
              </w:rPr>
              <w:t>Most important evidence/source(s)</w:t>
            </w:r>
          </w:p>
        </w:tc>
        <w:tc>
          <w:tcPr>
            <w:tcW w:type="dxa" w:w="5227"/>
            <w:tcMar>
              <w:top w:w="70" w:type="dxa"/>
              <w:start w:w="90" w:type="dxa"/>
              <w:bottom w:w="70" w:type="dxa"/>
              <w:end w:w="90" w:type="dxa"/>
            </w:tcMar>
            <w:vAlign w:val="top"/>
          </w:tcPr>
          <w:p>
            <w:pPr>
              <w:spacing w:after="40"/>
            </w:pPr>
            <w:r>
              <w:rPr>
                <w:sz w:val="18"/>
              </w:rPr>
              <w:t>Course case inputs; Assignment 7 brief; textbook Chapters 8-9. Chapter 8 supports contextual maturity and organization-specific readiness; source claims beyond the scenarios were not independently verified.</w:t>
            </w:r>
          </w:p>
        </w:tc>
      </w:tr>
      <w:tr>
        <w:tc>
          <w:tcPr>
            <w:tcW w:type="dxa" w:w="5227"/>
            <w:tcMar>
              <w:top w:w="70" w:type="dxa"/>
              <w:start w:w="90" w:type="dxa"/>
              <w:bottom w:w="70" w:type="dxa"/>
              <w:end w:w="90" w:type="dxa"/>
            </w:tcMar>
            <w:vAlign w:val="top"/>
          </w:tcPr>
          <w:p>
            <w:pPr>
              <w:spacing w:after="20"/>
            </w:pPr>
            <w:r>
              <w:rPr>
                <w:sz w:val="17"/>
              </w:rPr>
              <w:t>Primary test - result</w:t>
            </w:r>
          </w:p>
        </w:tc>
        <w:tc>
          <w:tcPr>
            <w:tcW w:type="dxa" w:w="5227"/>
            <w:tcMar>
              <w:top w:w="70" w:type="dxa"/>
              <w:start w:w="90" w:type="dxa"/>
              <w:bottom w:w="70" w:type="dxa"/>
              <w:end w:w="90" w:type="dxa"/>
            </w:tcMar>
            <w:vAlign w:val="top"/>
          </w:tcPr>
          <w:p>
            <w:pPr>
              <w:spacing w:after="40"/>
            </w:pPr>
            <w:r>
              <w:rPr>
                <w:sz w:val="18"/>
              </w:rPr>
              <w:t>Final `primary_response.json`: readiness-building before a customer-facing pilot. Most consequential gap: no demonstrated controlled-learning environment.</w:t>
            </w:r>
          </w:p>
        </w:tc>
      </w:tr>
      <w:tr>
        <w:tc>
          <w:tcPr>
            <w:tcW w:type="dxa" w:w="5227"/>
            <w:tcMar>
              <w:top w:w="70" w:type="dxa"/>
              <w:start w:w="90" w:type="dxa"/>
              <w:bottom w:w="70" w:type="dxa"/>
              <w:end w:w="90" w:type="dxa"/>
            </w:tcMar>
            <w:vAlign w:val="top"/>
          </w:tcPr>
          <w:p>
            <w:pPr>
              <w:spacing w:after="20"/>
            </w:pPr>
            <w:r>
              <w:rPr>
                <w:sz w:val="17"/>
              </w:rPr>
              <w:t>Contrast test - what appropriately stayed stable</w:t>
            </w:r>
          </w:p>
        </w:tc>
        <w:tc>
          <w:tcPr>
            <w:tcW w:type="dxa" w:w="5227"/>
            <w:tcMar>
              <w:top w:w="70" w:type="dxa"/>
              <w:start w:w="90" w:type="dxa"/>
              <w:bottom w:w="70" w:type="dxa"/>
              <w:end w:w="90" w:type="dxa"/>
            </w:tcMar>
            <w:vAlign w:val="top"/>
          </w:tcPr>
          <w:p>
            <w:pPr>
              <w:spacing w:after="40"/>
            </w:pPr>
            <w:r>
              <w:rPr>
                <w:sz w:val="18"/>
              </w:rPr>
              <w:t>Both final outputs separate maturity from readiness, require a support baseline and human escalation, avoid scale-up, and request provider/control evidence.</w:t>
            </w:r>
          </w:p>
        </w:tc>
      </w:tr>
      <w:tr>
        <w:tc>
          <w:tcPr>
            <w:tcW w:type="dxa" w:w="5227"/>
            <w:tcMar>
              <w:top w:w="70" w:type="dxa"/>
              <w:start w:w="90" w:type="dxa"/>
              <w:bottom w:w="70" w:type="dxa"/>
              <w:end w:w="90" w:type="dxa"/>
            </w:tcMar>
            <w:vAlign w:val="top"/>
          </w:tcPr>
          <w:p>
            <w:pPr>
              <w:spacing w:after="20"/>
            </w:pPr>
            <w:r>
              <w:rPr>
                <w:sz w:val="17"/>
              </w:rPr>
              <w:t>Contrast test - what appropriately changed</w:t>
            </w:r>
          </w:p>
        </w:tc>
        <w:tc>
          <w:tcPr>
            <w:tcW w:type="dxa" w:w="5227"/>
            <w:tcMar>
              <w:top w:w="70" w:type="dxa"/>
              <w:start w:w="90" w:type="dxa"/>
              <w:bottom w:w="70" w:type="dxa"/>
              <w:end w:w="90" w:type="dxa"/>
            </w:tcMar>
            <w:vAlign w:val="top"/>
          </w:tcPr>
          <w:p>
            <w:pPr>
              <w:spacing w:after="40"/>
            </w:pPr>
            <w:r>
              <w:rPr>
                <w:sz w:val="18"/>
              </w:rPr>
              <w:t>Startup: readiness-building. Established SaaS organization: conditional low-consequence pilot because stated governance and operational ownership clear more stage gates.</w:t>
            </w:r>
          </w:p>
        </w:tc>
      </w:tr>
      <w:tr>
        <w:tc>
          <w:tcPr>
            <w:tcW w:type="dxa" w:w="5227"/>
            <w:tcMar>
              <w:top w:w="70" w:type="dxa"/>
              <w:start w:w="90" w:type="dxa"/>
              <w:bottom w:w="70" w:type="dxa"/>
              <w:end w:w="90" w:type="dxa"/>
            </w:tcMar>
            <w:vAlign w:val="top"/>
          </w:tcPr>
          <w:p>
            <w:pPr>
              <w:spacing w:after="20"/>
            </w:pPr>
            <w:r>
              <w:rPr>
                <w:sz w:val="17"/>
              </w:rPr>
              <w:t>Weakness/failure found</w:t>
            </w:r>
          </w:p>
        </w:tc>
        <w:tc>
          <w:tcPr>
            <w:tcW w:type="dxa" w:w="5227"/>
            <w:tcMar>
              <w:top w:w="70" w:type="dxa"/>
              <w:start w:w="90" w:type="dxa"/>
              <w:bottom w:w="70" w:type="dxa"/>
              <w:end w:w="90" w:type="dxa"/>
            </w:tcMar>
            <w:vAlign w:val="top"/>
          </w:tcPr>
          <w:p>
            <w:pPr>
              <w:spacing w:after="40"/>
            </w:pPr>
            <w:r>
              <w:rPr>
                <w:sz w:val="18"/>
              </w:rPr>
              <w:t>Initial outputs gave both organizations a conditional-pilot action, underweighting the startup's missing baseline, owner, escalation design, and capacity.</w:t>
            </w:r>
          </w:p>
        </w:tc>
      </w:tr>
      <w:tr>
        <w:tc>
          <w:tcPr>
            <w:tcW w:type="dxa" w:w="5227"/>
            <w:tcMar>
              <w:top w:w="70" w:type="dxa"/>
              <w:start w:w="90" w:type="dxa"/>
              <w:bottom w:w="70" w:type="dxa"/>
              <w:end w:w="90" w:type="dxa"/>
            </w:tcMar>
            <w:vAlign w:val="top"/>
          </w:tcPr>
          <w:p>
            <w:pPr>
              <w:spacing w:after="20"/>
            </w:pPr>
            <w:r>
              <w:rPr>
                <w:sz w:val="17"/>
              </w:rPr>
              <w:t>Revision made and why</w:t>
            </w:r>
          </w:p>
        </w:tc>
        <w:tc>
          <w:tcPr>
            <w:tcW w:type="dxa" w:w="5227"/>
            <w:tcMar>
              <w:top w:w="70" w:type="dxa"/>
              <w:start w:w="90" w:type="dxa"/>
              <w:bottom w:w="70" w:type="dxa"/>
              <w:end w:w="90" w:type="dxa"/>
            </w:tcMar>
            <w:vAlign w:val="top"/>
          </w:tcPr>
          <w:p>
            <w:pPr>
              <w:spacing w:after="40"/>
            </w:pPr>
            <w:r>
              <w:rPr>
                <w:sz w:val="18"/>
              </w:rPr>
              <w:t>Added a stage-gate rule: baseline, accountable owner, bounded scope, escalation/control design, and observation capacity are minimum prerequisites for a meaningful pilot. Rerun produced context-sensitive actions.</w:t>
            </w:r>
          </w:p>
        </w:tc>
      </w:tr>
      <w:tr>
        <w:tc>
          <w:tcPr>
            <w:tcW w:type="dxa" w:w="5227"/>
            <w:tcMar>
              <w:top w:w="70" w:type="dxa"/>
              <w:start w:w="90" w:type="dxa"/>
              <w:bottom w:w="70" w:type="dxa"/>
              <w:end w:w="90" w:type="dxa"/>
            </w:tcMar>
            <w:vAlign w:val="top"/>
          </w:tcPr>
          <w:p>
            <w:pPr>
              <w:spacing w:after="20"/>
            </w:pPr>
            <w:r>
              <w:rPr>
                <w:sz w:val="17"/>
              </w:rPr>
              <w:t>Remaining limitation / abstention condition</w:t>
            </w:r>
          </w:p>
        </w:tc>
        <w:tc>
          <w:tcPr>
            <w:tcW w:type="dxa" w:w="5227"/>
            <w:tcMar>
              <w:top w:w="70" w:type="dxa"/>
              <w:start w:w="90" w:type="dxa"/>
              <w:bottom w:w="70" w:type="dxa"/>
              <w:end w:w="90" w:type="dxa"/>
            </w:tcMar>
            <w:vAlign w:val="top"/>
          </w:tcPr>
          <w:p>
            <w:pPr>
              <w:spacing w:after="40"/>
            </w:pPr>
            <w:r>
              <w:rPr>
                <w:sz w:val="18"/>
              </w:rPr>
              <w:t>Case facts are assumptions. Request current support metrics, ticket classification, escalation-test evidence, named owner/capacity, provider/data terms, controls, and approval criteria. Chapter 9 ECTM is reserved for a scale-use-case decision, with evidence-based ratings rather than invented scores.</w:t>
            </w:r>
          </w:p>
        </w:tc>
      </w:tr>
    </w:tbl>
    <w:p>
      <w:pPr>
        <w:pStyle w:val="Heading1"/>
      </w:pPr>
      <w:r>
        <w:t>E. Independent Judgment and Handoff</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tcMar>
              <w:top w:w="70" w:type="dxa"/>
              <w:start w:w="90" w:type="dxa"/>
              <w:bottom w:w="70" w:type="dxa"/>
              <w:end w:w="90" w:type="dxa"/>
            </w:tcMar>
            <w:vAlign w:val="top"/>
            <w:shd w:fill="57068C"/>
          </w:tcPr>
          <w:p>
            <w:pPr>
              <w:spacing w:after="20"/>
            </w:pPr>
            <w:r>
              <w:rPr>
                <w:b/>
                <w:color w:val="FFFFFF"/>
                <w:sz w:val="17"/>
              </w:rPr>
              <w:t>Field</w:t>
            </w:r>
          </w:p>
        </w:tc>
        <w:tc>
          <w:tcPr>
            <w:tcW w:type="dxa" w:w="5227"/>
            <w:tcMar>
              <w:top w:w="70" w:type="dxa"/>
              <w:start w:w="90" w:type="dxa"/>
              <w:bottom w:w="70" w:type="dxa"/>
              <w:end w:w="90" w:type="dxa"/>
            </w:tcMar>
            <w:vAlign w:val="top"/>
            <w:shd w:fill="57068C"/>
          </w:tcPr>
          <w:p>
            <w:pPr>
              <w:spacing w:after="20"/>
            </w:pPr>
            <w:r>
              <w:rPr>
                <w:b/>
                <w:color w:val="FFFFFF"/>
                <w:sz w:val="17"/>
              </w:rPr>
              <w:t>Student record</w:t>
            </w:r>
          </w:p>
        </w:tc>
      </w:tr>
      <w:tr>
        <w:tc>
          <w:tcPr>
            <w:tcW w:type="dxa" w:w="5227"/>
            <w:tcMar>
              <w:top w:w="70" w:type="dxa"/>
              <w:start w:w="90" w:type="dxa"/>
              <w:bottom w:w="70" w:type="dxa"/>
              <w:end w:w="90" w:type="dxa"/>
            </w:tcMar>
            <w:vAlign w:val="top"/>
          </w:tcPr>
          <w:p>
            <w:pPr>
              <w:spacing w:after="20"/>
            </w:pPr>
            <w:r>
              <w:rPr>
                <w:sz w:val="17"/>
              </w:rPr>
              <w:t>Is the agent credible enough for team consideration? Why?</w:t>
            </w:r>
          </w:p>
        </w:tc>
        <w:tc>
          <w:tcPr>
            <w:tcW w:type="dxa" w:w="5227"/>
            <w:tcMar>
              <w:top w:w="70" w:type="dxa"/>
              <w:start w:w="90" w:type="dxa"/>
              <w:bottom w:w="70" w:type="dxa"/>
              <w:end w:w="90" w:type="dxa"/>
            </w:tcMar>
            <w:vAlign w:val="top"/>
          </w:tcPr>
          <w:p>
            <w:pPr>
              <w:spacing w:after="40"/>
            </w:pPr>
            <w:r>
              <w:rPr>
                <w:sz w:val="18"/>
              </w:rPr>
              <w:t>Yes, as a bounded readiness specialist: it preserves the Frozen Core, applies eight dimensions, separates maturity/application/readiness, requests missing evidence, and passed the local validator on initial and revised primary/contrast responses.</w:t>
            </w:r>
          </w:p>
        </w:tc>
      </w:tr>
      <w:tr>
        <w:tc>
          <w:tcPr>
            <w:tcW w:type="dxa" w:w="5227"/>
            <w:tcMar>
              <w:top w:w="70" w:type="dxa"/>
              <w:start w:w="90" w:type="dxa"/>
              <w:bottom w:w="70" w:type="dxa"/>
              <w:end w:w="90" w:type="dxa"/>
            </w:tcMar>
            <w:vAlign w:val="top"/>
          </w:tcPr>
          <w:p>
            <w:pPr>
              <w:spacing w:after="20"/>
            </w:pPr>
            <w:r>
              <w:rPr>
                <w:sz w:val="17"/>
              </w:rPr>
              <w:t>Most important recommendation to the team</w:t>
            </w:r>
          </w:p>
        </w:tc>
        <w:tc>
          <w:tcPr>
            <w:tcW w:type="dxa" w:w="5227"/>
            <w:tcMar>
              <w:top w:w="70" w:type="dxa"/>
              <w:start w:w="90" w:type="dxa"/>
              <w:bottom w:w="70" w:type="dxa"/>
              <w:end w:w="90" w:type="dxa"/>
            </w:tcMar>
            <w:vAlign w:val="top"/>
          </w:tcPr>
          <w:p>
            <w:pPr>
              <w:spacing w:after="40"/>
            </w:pPr>
            <w:r>
              <w:rPr>
                <w:sz w:val="18"/>
              </w:rPr>
              <w:t>Explore early when feasible, adopt when justified, and scale only when the organization is ready. For this case, do not confuse a safe pilot with scale readiness; treat baseline, escalation, ownership, and monitoring as adoption-stage gates.</w:t>
            </w:r>
          </w:p>
        </w:tc>
      </w:tr>
      <w:tr>
        <w:tc>
          <w:tcPr>
            <w:tcW w:type="dxa" w:w="5227"/>
            <w:tcMar>
              <w:top w:w="70" w:type="dxa"/>
              <w:start w:w="90" w:type="dxa"/>
              <w:bottom w:w="70" w:type="dxa"/>
              <w:end w:w="90" w:type="dxa"/>
            </w:tcMar>
            <w:vAlign w:val="top"/>
          </w:tcPr>
          <w:p>
            <w:pPr>
              <w:spacing w:after="20"/>
            </w:pPr>
            <w:r>
              <w:rPr>
                <w:sz w:val="17"/>
              </w:rPr>
              <w:t>AI / verification note</w:t>
            </w:r>
          </w:p>
        </w:tc>
        <w:tc>
          <w:tcPr>
            <w:tcW w:type="dxa" w:w="5227"/>
            <w:tcMar>
              <w:top w:w="70" w:type="dxa"/>
              <w:start w:w="90" w:type="dxa"/>
              <w:bottom w:w="70" w:type="dxa"/>
              <w:end w:w="90" w:type="dxa"/>
            </w:tcMar>
            <w:vAlign w:val="top"/>
          </w:tcPr>
          <w:p>
            <w:pPr>
              <w:spacing w:after="40"/>
            </w:pPr>
            <w:r>
              <w:rPr>
                <w:sz w:val="18"/>
              </w:rPr>
              <w:t>Codex structured the agent, generated and saved packet-context responses, identified the initial contrast weakness, revised the stage gate, and ran the local validator and Frozen Core check. Chapters 8-9 informed the maturity/readiness and ECTM instructions. No provider-specific claim was presented as verified without source evidence.</w:t>
            </w:r>
          </w:p>
        </w:tc>
      </w:tr>
    </w:tbl>
    <w:sectPr w:rsidR="00630F3A" w:rsidSect="00034616">
      <w:headerReference w:type="default" r:id="rId8"/>
      <w:footerReference w:type="default" r:id="rId9"/>
      <w:pgSz w:w="12240" w:h="15840"/>
      <w:pgMar w:top="792" w:right="893" w:bottom="792"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834FE" w:rsidRDefault="00F834FE">
      <w:pPr>
        <w:spacing w:after="0" w:line="240" w:lineRule="auto"/>
        <w:rPr>
          <w:rFonts w:hint="eastAsia"/>
        </w:rPr>
      </w:pPr>
      <w:r>
        <w:separator/>
      </w:r>
    </w:p>
  </w:endnote>
  <w:endnote w:type="continuationSeparator" w:id="0">
    <w:p w:rsidR="00F834FE" w:rsidRDefault="00F834F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0F3A" w:rsidRDefault="00000000">
    <w:pPr>
      <w:pStyle w:val="Footer"/>
      <w:jc w:val="center"/>
      <w:rPr>
        <w:rFonts w:hint="eastAsia"/>
      </w:rPr>
    </w:pPr>
    <w:r>
      <w:rPr>
        <w:color w:val="666666"/>
        <w:sz w:val="16"/>
      </w:rPr>
      <w:t>Specialist Agent Record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834FE" w:rsidRDefault="00F834FE">
      <w:pPr>
        <w:spacing w:after="0" w:line="240" w:lineRule="auto"/>
        <w:rPr>
          <w:rFonts w:hint="eastAsia"/>
        </w:rPr>
      </w:pPr>
      <w:r>
        <w:separator/>
      </w:r>
    </w:p>
  </w:footnote>
  <w:footnote w:type="continuationSeparator" w:id="0">
    <w:p w:rsidR="00F834FE" w:rsidRDefault="00F834F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0F3A" w:rsidRDefault="00000000">
    <w:pPr>
      <w:pStyle w:val="Header"/>
      <w:jc w:val="right"/>
      <w:rPr>
        <w:rFonts w:hint="eastAsia"/>
      </w:rPr>
    </w:pPr>
    <w:r>
      <w:rPr>
        <w:b/>
        <w:color w:val="57068C"/>
        <w:sz w:val="16"/>
      </w:rPr>
      <w:t>NYU SPS | MASY1-GC 1800 | EMERGING TECHNOLOGIES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2544149">
    <w:abstractNumId w:val="8"/>
  </w:num>
  <w:num w:numId="2" w16cid:durableId="1931616119">
    <w:abstractNumId w:val="6"/>
  </w:num>
  <w:num w:numId="3" w16cid:durableId="1238203996">
    <w:abstractNumId w:val="5"/>
  </w:num>
  <w:num w:numId="4" w16cid:durableId="1845591355">
    <w:abstractNumId w:val="4"/>
  </w:num>
  <w:num w:numId="5" w16cid:durableId="203055673">
    <w:abstractNumId w:val="7"/>
  </w:num>
  <w:num w:numId="6" w16cid:durableId="921061524">
    <w:abstractNumId w:val="3"/>
  </w:num>
  <w:num w:numId="7" w16cid:durableId="291711437">
    <w:abstractNumId w:val="2"/>
  </w:num>
  <w:num w:numId="8" w16cid:durableId="1521776730">
    <w:abstractNumId w:val="1"/>
  </w:num>
  <w:num w:numId="9" w16cid:durableId="14424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14B14"/>
    <w:rsid w:val="0029639D"/>
    <w:rsid w:val="00326F90"/>
    <w:rsid w:val="00630F3A"/>
    <w:rsid w:val="006E721C"/>
    <w:rsid w:val="00AA1D8D"/>
    <w:rsid w:val="00B47730"/>
    <w:rsid w:val="00CB0664"/>
    <w:rsid w:val="00F834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DC0CD959-1D97-D94F-BA39-D34FFBA87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Liberation Sans" w:hAnsi="Liberation Sans"/>
      <w:sz w:val="19"/>
    </w:rPr>
  </w:style>
  <w:style w:type="paragraph" w:styleId="Heading1">
    <w:name w:val="heading 1"/>
    <w:basedOn w:val="Normal"/>
    <w:next w:val="Normal"/>
    <w:link w:val="Heading1Char"/>
    <w:uiPriority w:val="9"/>
    <w:qFormat/>
    <w:rsid w:val="00FC693F"/>
    <w:pPr>
      <w:keepNext/>
      <w:keepLines/>
      <w:spacing w:after="160"/>
      <w:outlineLvl w:val="0"/>
    </w:pPr>
    <w:rPr>
      <w:rFonts w:asciiTheme="majorHAnsi" w:eastAsiaTheme="majorEastAsia" w:hAnsiTheme="majorHAnsi" w:cstheme="majorBidi"/>
      <w:b/>
      <w:bCs/>
      <w:color w:val="57068C"/>
      <w:sz w:val="3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57068C"/>
      <w:sz w:val="25"/>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b/>
      <w:bCs/>
      <w:color w:val="25252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57068C"/>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pPr>
    <w:rPr>
      <w:rFonts w:ascii="Liberation Sans" w:hAnsi="Liberation Sans"/>
      <w:color w:val="666666"/>
      <w:sz w:val="18"/>
    </w:rPr>
  </w:style>
  <w:style w:type="paragraph" w:customStyle="1" w:styleId="Callout">
    <w:name w:val="Callout"/>
    <w:pPr>
      <w:spacing w:after="80"/>
    </w:pPr>
    <w:rPr>
      <w:rFonts w:ascii="Liberation Sans" w:hAnsi="Liberation Sans"/>
      <w:b/>
      <w:color w:val="57068C"/>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7921</Words>
  <Characters>45155</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Technologies - Specialist Agent Record Template</dc:title>
  <dc:subject>Student instructions for weekly individual assignments</dc:subject>
  <dc:creator>Andres Fortino</dc:creator>
  <cp:keywords>Advanced Business Informatics, weekly assignments, professional practice, AI, judgment, proof of concept</cp:keywords>
  <dc:description>generated by python-docx</dc:description>
  <cp:lastModifiedBy>Andres Fortino</cp:lastModifiedBy>
  <cp:revision>2</cp:revision>
  <dcterms:created xsi:type="dcterms:W3CDTF">2026-08-13T19:48:00Z</dcterms:created>
  <dcterms:modified xsi:type="dcterms:W3CDTF">2026-08-13T19:48:00Z</dcterms:modified>
  <cp:category/>
</cp:coreProperties>
</file>