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Assignment 7 Self Reflection</w:t>
      </w:r>
    </w:p>
    <w:p>
      <w:pPr>
        <w:jc w:val="center"/>
      </w:pPr>
      <w:r>
        <w:rPr>
          <w:i/>
        </w:rPr>
        <w:t>Organizational Adoption of Emerging Technologies</w:t>
      </w:r>
    </w:p>
    <w:p>
      <w:pPr>
        <w:spacing w:after="200" w:line="276" w:lineRule="auto"/>
      </w:pPr>
      <w:r>
        <w:t>Through this lab, I developed a more comprehensive understanding of organizational readiness for emerging technology adoption. Initially, I focused mainly on technical feasibility, financial resources, business value, and risk. I believed that organizations could begin small technical pilots while management addressed employee resistance and other organizational challenges.</w:t>
      </w:r>
    </w:p>
    <w:p>
      <w:pPr>
        <w:spacing w:after="200" w:line="276" w:lineRule="auto"/>
      </w:pPr>
      <w:r>
        <w:t>During the lab, I recognized the importance of distinguishing pilot readiness from full-scale adoption readiness. An organization may have sufficient resources to test a technology but still lack the employee cooperation, governance, or operational capabilities needed for broader implementation. I also realized that change management is not simply a separate management responsibility but an important part of organizational readiness.</w:t>
      </w:r>
    </w:p>
    <w:p>
      <w:pPr>
        <w:spacing w:after="200" w:line="276" w:lineRule="auto"/>
      </w:pPr>
      <w:r>
        <w:t>Another key realization was that readiness involves more than technical and financial capabilities. Skills and training, workflow integration, organizational culture, and ongoing operational ownership all influence whether a technology can be successfully adopted and sustained.</w:t>
      </w:r>
    </w:p>
    <w:p>
      <w:pPr>
        <w:spacing w:after="200" w:line="276" w:lineRule="auto"/>
      </w:pPr>
      <w:r>
        <w:t>The lab also refined my thinking about adoption timing and strategic value. I believe organizations should explore technologies with credible future potential, even when short-term financial returns are uncertain. However, early adoption does not automatically create a competitive advantage, and competitors adopting a technology does not necessarily justify following them. Decisions should consider technology maturity, market position, long-term value, risks, and opportunity costs.</w:t>
      </w:r>
    </w:p>
    <w:p>
      <w:pPr>
        <w:spacing w:after="200" w:line="276" w:lineRule="auto"/>
      </w:pPr>
      <w:r>
        <w:t>Overall, this lab strengthened my preference for gradual, evidence-based adoption while expanding my understanding of the organizational factors involved. My main takeaway is to explore early when feasible, adopt when justified, and scale when the organization is ready.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