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color w:val="57068C"/>
          <w:sz w:val="28"/>
        </w:rPr>
        <w:t>EMERGING TECHNOLOGIES</w:t>
      </w:r>
    </w:p>
    <w:p>
      <w:pPr>
        <w:pStyle w:val="Title"/>
        <w:jc w:val="center"/>
      </w:pPr>
      <w:r>
        <w:t>Specialist Agent Record Template</w:t>
      </w:r>
    </w:p>
    <w:p>
      <w:pPr>
        <w:jc w:val="center"/>
      </w:pPr>
      <w:r>
        <w:t>MASY1-GC 1800 | Assignments 2-8</w:t>
      </w:r>
    </w:p>
    <w:tbl>
      <w:tblPr>
        <w:tblW w:type="auto" w:w="0"/>
        <w:tblLook w:firstColumn="1" w:firstRow="1" w:lastColumn="0" w:lastRow="0" w:noHBand="0" w:noVBand="1" w:val="04A0"/>
      </w:tblPr>
      <w:tblGrid>
        <w:gridCol w:w="10454"/>
      </w:tblGrid>
      <w:tr>
        <w:tc>
          <w:tcPr>
            <w:tcW w:type="dxa" w:w="10454"/>
            <w:shd w:fill="F3EDF7"/>
            <w:tcMar>
              <w:top w:w="90" w:type="dxa"/>
              <w:start w:w="120" w:type="dxa"/>
              <w:bottom w:w="90" w:type="dxa"/>
              <w:end w:w="120" w:type="dxa"/>
            </w:tcMar>
          </w:tcPr>
          <w:p>
            <w:pPr>
              <w:pStyle w:val="Callout"/>
            </w:pPr>
            <w:r>
              <w:t>Complete this record from the evidence in your working scaffold. Keep it concise. The record documents what you specialized, how you tested it, what failed or changed, and what professional judgment you reached.</w:t>
            </w:r>
          </w:p>
        </w:tc>
      </w:tr>
    </w:tbl>
    <w:p>
      <w:pPr>
        <w:pStyle w:val="Heading1"/>
      </w:pPr>
      <w:r>
        <w:t>A. Agent and Version</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tcMar>
              <w:top w:w="70" w:type="dxa"/>
              <w:start w:w="90" w:type="dxa"/>
              <w:bottom w:w="70" w:type="dxa"/>
              <w:end w:w="90" w:type="dxa"/>
            </w:tcMar>
            <w:vAlign w:val="top"/>
            <w:shd w:fill="57068C"/>
          </w:tcPr>
          <w:p>
            <w:pPr>
              <w:spacing w:after="20"/>
            </w:pPr>
            <w:r>
              <w:rPr>
                <w:b/>
                <w:color w:val="FFFFFF"/>
                <w:sz w:val="17"/>
              </w:rPr>
              <w:t>Field</w:t>
            </w:r>
          </w:p>
        </w:tc>
        <w:tc>
          <w:tcPr>
            <w:tcW w:type="dxa" w:w="5227"/>
            <w:tcMar>
              <w:top w:w="70" w:type="dxa"/>
              <w:start w:w="90" w:type="dxa"/>
              <w:bottom w:w="70" w:type="dxa"/>
              <w:end w:w="90" w:type="dxa"/>
            </w:tcMar>
            <w:vAlign w:val="top"/>
            <w:shd w:fill="57068C"/>
          </w:tcPr>
          <w:p>
            <w:pPr>
              <w:spacing w:after="20"/>
            </w:pPr>
            <w:r>
              <w:rPr>
                <w:b/>
                <w:color w:val="FFFFFF"/>
                <w:sz w:val="17"/>
              </w:rPr>
              <w:t>Student record</w:t>
            </w:r>
          </w:p>
        </w:tc>
      </w:tr>
      <w:tr>
        <w:tc>
          <w:tcPr>
            <w:tcW w:type="dxa" w:w="5227"/>
            <w:tcMar>
              <w:top w:w="70" w:type="dxa"/>
              <w:start w:w="90" w:type="dxa"/>
              <w:bottom w:w="70" w:type="dxa"/>
              <w:end w:w="90" w:type="dxa"/>
            </w:tcMar>
            <w:vAlign w:val="top"/>
          </w:tcPr>
          <w:p>
            <w:pPr>
              <w:spacing w:after="20"/>
            </w:pPr>
            <w:r>
              <w:rPr>
                <w:sz w:val="17"/>
              </w:rPr>
              <w:t>Student / team</w:t>
            </w:r>
          </w:p>
        </w:tc>
        <w:tc>
          <w:tcPr>
            <w:tcW w:type="dxa" w:w="5227"/>
            <w:tcMar>
              <w:top w:w="70" w:type="dxa"/>
              <w:start w:w="90" w:type="dxa"/>
              <w:bottom w:w="70" w:type="dxa"/>
              <w:end w:w="90" w:type="dxa"/>
            </w:tcMar>
            <w:vAlign w:val="top"/>
          </w:tcPr>
          <w:p>
            <w:r>
              <w:t>Not specified</w:t>
            </w:r>
          </w:p>
        </w:tc>
      </w:tr>
      <w:tr>
        <w:tc>
          <w:tcPr>
            <w:tcW w:type="dxa" w:w="5227"/>
            <w:tcMar>
              <w:top w:w="70" w:type="dxa"/>
              <w:start w:w="90" w:type="dxa"/>
              <w:bottom w:w="70" w:type="dxa"/>
              <w:end w:w="90" w:type="dxa"/>
            </w:tcMar>
            <w:vAlign w:val="top"/>
          </w:tcPr>
          <w:p>
            <w:pPr>
              <w:spacing w:after="20"/>
            </w:pPr>
            <w:r>
              <w:rPr>
                <w:sz w:val="17"/>
              </w:rPr>
              <w:t>Assignment / specialist agent</w:t>
            </w:r>
          </w:p>
        </w:tc>
        <w:tc>
          <w:tcPr>
            <w:tcW w:type="dxa" w:w="5227"/>
            <w:tcMar>
              <w:top w:w="70" w:type="dxa"/>
              <w:start w:w="90" w:type="dxa"/>
              <w:bottom w:w="70" w:type="dxa"/>
              <w:end w:w="90" w:type="dxa"/>
            </w:tcMar>
            <w:vAlign w:val="top"/>
          </w:tcPr>
          <w:p>
            <w:r>
              <w:t>Lab 5 / Innovation Diffusion Agent</w:t>
            </w:r>
          </w:p>
        </w:tc>
      </w:tr>
      <w:tr>
        <w:tc>
          <w:tcPr>
            <w:tcW w:type="dxa" w:w="5227"/>
            <w:tcMar>
              <w:top w:w="70" w:type="dxa"/>
              <w:start w:w="90" w:type="dxa"/>
              <w:bottom w:w="70" w:type="dxa"/>
              <w:end w:w="90" w:type="dxa"/>
            </w:tcMar>
            <w:vAlign w:val="top"/>
          </w:tcPr>
          <w:p>
            <w:pPr>
              <w:spacing w:after="20"/>
            </w:pPr>
            <w:r>
              <w:rPr>
                <w:sz w:val="17"/>
              </w:rPr>
              <w:t>Date</w:t>
            </w:r>
          </w:p>
        </w:tc>
        <w:tc>
          <w:tcPr>
            <w:tcW w:type="dxa" w:w="5227"/>
            <w:tcMar>
              <w:top w:w="70" w:type="dxa"/>
              <w:start w:w="90" w:type="dxa"/>
              <w:bottom w:w="70" w:type="dxa"/>
              <w:end w:w="90" w:type="dxa"/>
            </w:tcMar>
            <w:vAlign w:val="top"/>
          </w:tcPr>
          <w:p>
            <w:r>
              <w:t>October 17, 2026</w:t>
            </w:r>
          </w:p>
        </w:tc>
      </w:tr>
      <w:tr>
        <w:tc>
          <w:tcPr>
            <w:tcW w:type="dxa" w:w="5227"/>
            <w:tcMar>
              <w:top w:w="70" w:type="dxa"/>
              <w:start w:w="90" w:type="dxa"/>
              <w:bottom w:w="70" w:type="dxa"/>
              <w:end w:w="90" w:type="dxa"/>
            </w:tcMar>
            <w:vAlign w:val="top"/>
          </w:tcPr>
          <w:p>
            <w:pPr>
              <w:spacing w:after="20"/>
            </w:pPr>
            <w:r>
              <w:rPr>
                <w:sz w:val="17"/>
              </w:rPr>
              <w:t>GitHub repository</w:t>
            </w:r>
          </w:p>
        </w:tc>
        <w:tc>
          <w:tcPr>
            <w:tcW w:type="dxa" w:w="5227"/>
            <w:tcMar>
              <w:top w:w="70" w:type="dxa"/>
              <w:start w:w="90" w:type="dxa"/>
              <w:bottom w:w="70" w:type="dxa"/>
              <w:end w:w="90" w:type="dxa"/>
            </w:tcMar>
            <w:vAlign w:val="top"/>
          </w:tcPr>
          <w:p>
            <w:r>
              <w:t>kh4214/MASY1800-ET-Agent-Lab</w:t>
            </w:r>
          </w:p>
        </w:tc>
      </w:tr>
      <w:tr>
        <w:tc>
          <w:tcPr>
            <w:tcW w:type="dxa" w:w="5227"/>
            <w:tcMar>
              <w:top w:w="70" w:type="dxa"/>
              <w:start w:w="90" w:type="dxa"/>
              <w:bottom w:w="70" w:type="dxa"/>
              <w:end w:w="90" w:type="dxa"/>
            </w:tcMar>
            <w:vAlign w:val="top"/>
          </w:tcPr>
          <w:p>
            <w:pPr>
              <w:spacing w:after="20"/>
            </w:pPr>
            <w:r>
              <w:rPr>
                <w:sz w:val="17"/>
              </w:rPr>
              <w:t>Branch</w:t>
            </w:r>
          </w:p>
        </w:tc>
        <w:tc>
          <w:tcPr>
            <w:tcW w:type="dxa" w:w="5227"/>
            <w:tcMar>
              <w:top w:w="70" w:type="dxa"/>
              <w:start w:w="90" w:type="dxa"/>
              <w:bottom w:w="70" w:type="dxa"/>
              <w:end w:w="90" w:type="dxa"/>
            </w:tcMar>
            <w:vAlign w:val="top"/>
          </w:tcPr>
          <w:p>
            <w:r>
              <w:t>lab5-innovation-diffusion</w:t>
            </w:r>
          </w:p>
        </w:tc>
      </w:tr>
      <w:tr>
        <w:tc>
          <w:tcPr>
            <w:tcW w:type="dxa" w:w="5227"/>
            <w:tcMar>
              <w:top w:w="70" w:type="dxa"/>
              <w:start w:w="90" w:type="dxa"/>
              <w:bottom w:w="70" w:type="dxa"/>
              <w:end w:w="90" w:type="dxa"/>
            </w:tcMar>
            <w:vAlign w:val="top"/>
          </w:tcPr>
          <w:p>
            <w:pPr>
              <w:spacing w:after="20"/>
            </w:pPr>
            <w:r>
              <w:rPr>
                <w:sz w:val="17"/>
              </w:rPr>
              <w:t>Commit</w:t>
            </w:r>
          </w:p>
        </w:tc>
        <w:tc>
          <w:tcPr>
            <w:tcW w:type="dxa" w:w="5227"/>
            <w:tcMar>
              <w:top w:w="70" w:type="dxa"/>
              <w:start w:w="90" w:type="dxa"/>
              <w:bottom w:w="70" w:type="dxa"/>
              <w:end w:w="90" w:type="dxa"/>
            </w:tcMar>
            <w:vAlign w:val="top"/>
          </w:tcPr>
          <w:p>
            <w:r>
              <w:t>3c383582e590098bebce66e782dec4d0f4070732 (record-completion commit)</w:t>
            </w:r>
          </w:p>
        </w:tc>
      </w:tr>
      <w:tr>
        <w:tc>
          <w:tcPr>
            <w:tcW w:type="dxa" w:w="5227"/>
            <w:tcMar>
              <w:top w:w="70" w:type="dxa"/>
              <w:start w:w="90" w:type="dxa"/>
              <w:bottom w:w="70" w:type="dxa"/>
              <w:end w:w="90" w:type="dxa"/>
            </w:tcMar>
            <w:vAlign w:val="top"/>
          </w:tcPr>
          <w:p>
            <w:pPr>
              <w:spacing w:after="20"/>
            </w:pPr>
            <w:r>
              <w:rPr>
                <w:sz w:val="17"/>
              </w:rPr>
              <w:t>Frozen scaffold version</w:t>
            </w:r>
          </w:p>
        </w:tc>
        <w:tc>
          <w:tcPr>
            <w:tcW w:type="dxa" w:w="5227"/>
            <w:tcMar>
              <w:top w:w="70" w:type="dxa"/>
              <w:start w:w="90" w:type="dxa"/>
              <w:bottom w:w="70" w:type="dxa"/>
              <w:end w:w="90" w:type="dxa"/>
            </w:tcMar>
            <w:vAlign w:val="top"/>
          </w:tcPr>
          <w:p>
            <w:pPr>
              <w:spacing w:after="20"/>
            </w:pPr>
            <w:r>
              <w:rPr>
                <w:sz w:val="17"/>
              </w:rPr>
              <w:t>MASY1800_ET_Agent_Scaffold_v1_0</w:t>
            </w:r>
          </w:p>
        </w:tc>
      </w:tr>
    </w:tbl>
    <w:p>
      <w:pPr>
        <w:pStyle w:val="Heading1"/>
      </w:pPr>
      <w:r>
        <w:t>B. Specialist Purpose and Context</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tcMar>
              <w:top w:w="70" w:type="dxa"/>
              <w:start w:w="90" w:type="dxa"/>
              <w:bottom w:w="70" w:type="dxa"/>
              <w:end w:w="90" w:type="dxa"/>
            </w:tcMar>
            <w:vAlign w:val="top"/>
            <w:shd w:fill="57068C"/>
          </w:tcPr>
          <w:p>
            <w:pPr>
              <w:spacing w:after="20"/>
            </w:pPr>
            <w:r>
              <w:rPr>
                <w:b/>
                <w:color w:val="FFFFFF"/>
                <w:sz w:val="17"/>
              </w:rPr>
              <w:t>Field</w:t>
            </w:r>
          </w:p>
        </w:tc>
        <w:tc>
          <w:tcPr>
            <w:tcW w:type="dxa" w:w="5227"/>
            <w:tcMar>
              <w:top w:w="70" w:type="dxa"/>
              <w:start w:w="90" w:type="dxa"/>
              <w:bottom w:w="70" w:type="dxa"/>
              <w:end w:w="90" w:type="dxa"/>
            </w:tcMar>
            <w:vAlign w:val="top"/>
            <w:shd w:fill="57068C"/>
          </w:tcPr>
          <w:p>
            <w:pPr>
              <w:spacing w:after="20"/>
            </w:pPr>
            <w:r>
              <w:rPr>
                <w:b/>
                <w:color w:val="FFFFFF"/>
                <w:sz w:val="17"/>
              </w:rPr>
              <w:t>Student record</w:t>
            </w:r>
          </w:p>
        </w:tc>
      </w:tr>
      <w:tr>
        <w:tc>
          <w:tcPr>
            <w:tcW w:type="dxa" w:w="5227"/>
            <w:tcMar>
              <w:top w:w="70" w:type="dxa"/>
              <w:start w:w="90" w:type="dxa"/>
              <w:bottom w:w="70" w:type="dxa"/>
              <w:end w:w="90" w:type="dxa"/>
            </w:tcMar>
            <w:vAlign w:val="top"/>
          </w:tcPr>
          <w:p>
            <w:pPr>
              <w:spacing w:after="20"/>
            </w:pPr>
            <w:r>
              <w:rPr>
                <w:sz w:val="17"/>
              </w:rPr>
              <w:t>Governing analytical question</w:t>
            </w:r>
          </w:p>
        </w:tc>
        <w:tc>
          <w:tcPr>
            <w:tcW w:type="dxa" w:w="5227"/>
            <w:tcMar>
              <w:top w:w="70" w:type="dxa"/>
              <w:start w:w="90" w:type="dxa"/>
              <w:bottom w:w="70" w:type="dxa"/>
              <w:end w:w="90" w:type="dxa"/>
            </w:tcMar>
            <w:vAlign w:val="top"/>
          </w:tcPr>
          <w:p>
            <w:r>
              <w:t>What do diffusion evidence and organizational context imply about timing for a controlled learning activity, without deciding whether to adopt?</w:t>
            </w:r>
          </w:p>
        </w:tc>
      </w:tr>
      <w:tr>
        <w:tc>
          <w:tcPr>
            <w:tcW w:type="dxa" w:w="5227"/>
            <w:tcMar>
              <w:top w:w="70" w:type="dxa"/>
              <w:start w:w="90" w:type="dxa"/>
              <w:bottom w:w="70" w:type="dxa"/>
              <w:end w:w="90" w:type="dxa"/>
            </w:tcMar>
            <w:vAlign w:val="top"/>
          </w:tcPr>
          <w:p>
            <w:pPr>
              <w:spacing w:after="20"/>
            </w:pPr>
            <w:r>
              <w:rPr>
                <w:sz w:val="17"/>
              </w:rPr>
              <w:t>Emerging technology</w:t>
            </w:r>
          </w:p>
        </w:tc>
        <w:tc>
          <w:tcPr>
            <w:tcW w:type="dxa" w:w="5227"/>
            <w:tcMar>
              <w:top w:w="70" w:type="dxa"/>
              <w:start w:w="90" w:type="dxa"/>
              <w:bottom w:w="70" w:type="dxa"/>
              <w:end w:w="90" w:type="dxa"/>
            </w:tcMar>
            <w:vAlign w:val="top"/>
          </w:tcPr>
          <w:p>
            <w:r>
              <w:t>LLM Coding Assistants</w:t>
            </w:r>
          </w:p>
        </w:tc>
      </w:tr>
      <w:tr>
        <w:tc>
          <w:tcPr>
            <w:tcW w:type="dxa" w:w="5227"/>
            <w:tcMar>
              <w:top w:w="70" w:type="dxa"/>
              <w:start w:w="90" w:type="dxa"/>
              <w:bottom w:w="70" w:type="dxa"/>
              <w:end w:w="90" w:type="dxa"/>
            </w:tcMar>
            <w:vAlign w:val="top"/>
          </w:tcPr>
          <w:p>
            <w:pPr>
              <w:spacing w:after="20"/>
            </w:pPr>
            <w:r>
              <w:rPr>
                <w:sz w:val="17"/>
              </w:rPr>
              <w:t>Intended application</w:t>
            </w:r>
          </w:p>
        </w:tc>
        <w:tc>
          <w:tcPr>
            <w:tcW w:type="dxa" w:w="5227"/>
            <w:tcMar>
              <w:top w:w="70" w:type="dxa"/>
              <w:start w:w="90" w:type="dxa"/>
              <w:bottom w:w="70" w:type="dxa"/>
              <w:end w:w="90" w:type="dxa"/>
            </w:tcMar>
            <w:vAlign w:val="top"/>
          </w:tcPr>
          <w:p>
            <w:r>
              <w:t>Code generation, unit testing, debugging, and related engineering assistance</w:t>
            </w:r>
          </w:p>
        </w:tc>
      </w:tr>
      <w:tr>
        <w:tc>
          <w:tcPr>
            <w:tcW w:type="dxa" w:w="5227"/>
            <w:tcMar>
              <w:top w:w="70" w:type="dxa"/>
              <w:start w:w="90" w:type="dxa"/>
              <w:bottom w:w="70" w:type="dxa"/>
              <w:end w:w="90" w:type="dxa"/>
            </w:tcMar>
            <w:vAlign w:val="top"/>
          </w:tcPr>
          <w:p>
            <w:pPr>
              <w:spacing w:after="20"/>
            </w:pPr>
            <w:r>
              <w:rPr>
                <w:sz w:val="17"/>
              </w:rPr>
              <w:t>Organization / industry</w:t>
            </w:r>
          </w:p>
        </w:tc>
        <w:tc>
          <w:tcPr>
            <w:tcW w:type="dxa" w:w="5227"/>
            <w:tcMar>
              <w:top w:w="70" w:type="dxa"/>
              <w:start w:w="90" w:type="dxa"/>
              <w:bottom w:w="70" w:type="dxa"/>
              <w:end w:w="90" w:type="dxa"/>
            </w:tcMar>
            <w:vAlign w:val="top"/>
          </w:tcPr>
          <w:p>
            <w:r>
              <w:t>Mature business-workflow SaaS company; approximately 1,000 employees</w:t>
            </w:r>
          </w:p>
        </w:tc>
      </w:tr>
      <w:tr>
        <w:tc>
          <w:tcPr>
            <w:tcW w:type="dxa" w:w="5227"/>
            <w:tcMar>
              <w:top w:w="70" w:type="dxa"/>
              <w:start w:w="90" w:type="dxa"/>
              <w:bottom w:w="70" w:type="dxa"/>
              <w:end w:w="90" w:type="dxa"/>
            </w:tcMar>
            <w:vAlign w:val="top"/>
          </w:tcPr>
          <w:p>
            <w:pPr>
              <w:spacing w:after="20"/>
            </w:pPr>
            <w:r>
              <w:rPr>
                <w:sz w:val="17"/>
              </w:rPr>
              <w:t>Adoption posture</w:t>
            </w:r>
          </w:p>
        </w:tc>
        <w:tc>
          <w:tcPr>
            <w:tcW w:type="dxa" w:w="5227"/>
            <w:tcMar>
              <w:top w:w="70" w:type="dxa"/>
              <w:start w:w="90" w:type="dxa"/>
              <w:bottom w:w="70" w:type="dxa"/>
              <w:end w:w="90" w:type="dxa"/>
            </w:tcMar>
            <w:vAlign w:val="top"/>
          </w:tcPr>
          <w:p>
            <w:r>
              <w:t>Primary: conservative. Contrast: proactive willingness for earlier bounded pilots.</w:t>
            </w:r>
          </w:p>
        </w:tc>
      </w:tr>
      <w:tr>
        <w:tc>
          <w:tcPr>
            <w:tcW w:type="dxa" w:w="5227"/>
            <w:tcMar>
              <w:top w:w="70" w:type="dxa"/>
              <w:start w:w="90" w:type="dxa"/>
              <w:bottom w:w="70" w:type="dxa"/>
              <w:end w:w="90" w:type="dxa"/>
            </w:tcMar>
            <w:vAlign w:val="top"/>
          </w:tcPr>
          <w:p>
            <w:pPr>
              <w:spacing w:after="20"/>
            </w:pPr>
            <w:r>
              <w:rPr>
                <w:sz w:val="17"/>
              </w:rPr>
              <w:t>Risk / consequence context</w:t>
            </w:r>
          </w:p>
        </w:tc>
        <w:tc>
          <w:tcPr>
            <w:tcW w:type="dxa" w:w="5227"/>
            <w:tcMar>
              <w:top w:w="70" w:type="dxa"/>
              <w:start w:w="90" w:type="dxa"/>
              <w:bottom w:w="70" w:type="dxa"/>
              <w:end w:w="90" w:type="dxa"/>
            </w:tcMar>
            <w:vAlign w:val="top"/>
          </w:tcPr>
          <w:p>
            <w:r>
              <w:t>Defects, insecure patterns, data/IP concerns, and SaaS reliability incidents; human review and CI/CD remain required.</w:t>
            </w:r>
          </w:p>
        </w:tc>
      </w:tr>
      <w:tr>
        <w:tc>
          <w:tcPr>
            <w:tcW w:type="dxa" w:w="5227"/>
            <w:tcMar>
              <w:top w:w="70" w:type="dxa"/>
              <w:start w:w="90" w:type="dxa"/>
              <w:bottom w:w="70" w:type="dxa"/>
              <w:end w:w="90" w:type="dxa"/>
            </w:tcMar>
            <w:vAlign w:val="top"/>
          </w:tcPr>
          <w:p>
            <w:pPr>
              <w:spacing w:after="20"/>
            </w:pPr>
            <w:r>
              <w:rPr>
                <w:sz w:val="17"/>
              </w:rPr>
              <w:t>Management question / time horizon</w:t>
            </w:r>
          </w:p>
        </w:tc>
        <w:tc>
          <w:tcPr>
            <w:tcW w:type="dxa" w:w="5227"/>
            <w:tcMar>
              <w:top w:w="70" w:type="dxa"/>
              <w:start w:w="90" w:type="dxa"/>
              <w:bottom w:w="70" w:type="dxa"/>
              <w:end w:w="90" w:type="dxa"/>
            </w:tcMar>
            <w:vAlign w:val="top"/>
          </w:tcPr>
          <w:p>
            <w:r>
              <w:t>Timing/design of a controlled learning activity; 6-12 months.</w:t>
            </w:r>
          </w:p>
        </w:tc>
      </w:tr>
    </w:tbl>
    <w:p>
      <w:pPr>
        <w:pStyle w:val="Heading1"/>
      </w:pPr>
      <w:r>
        <w:t>C. Three-Level Finding</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tcMar>
              <w:top w:w="70" w:type="dxa"/>
              <w:start w:w="90" w:type="dxa"/>
              <w:bottom w:w="70" w:type="dxa"/>
              <w:end w:w="90" w:type="dxa"/>
            </w:tcMar>
            <w:vAlign w:val="top"/>
            <w:shd w:fill="57068C"/>
          </w:tcPr>
          <w:p>
            <w:pPr>
              <w:spacing w:after="20"/>
            </w:pPr>
            <w:r>
              <w:rPr>
                <w:b/>
                <w:color w:val="FFFFFF"/>
                <w:sz w:val="17"/>
              </w:rPr>
              <w:t>Field</w:t>
            </w:r>
          </w:p>
        </w:tc>
        <w:tc>
          <w:tcPr>
            <w:tcW w:type="dxa" w:w="5227"/>
            <w:tcMar>
              <w:top w:w="70" w:type="dxa"/>
              <w:start w:w="90" w:type="dxa"/>
              <w:bottom w:w="70" w:type="dxa"/>
              <w:end w:w="90" w:type="dxa"/>
            </w:tcMar>
            <w:vAlign w:val="top"/>
            <w:shd w:fill="57068C"/>
          </w:tcPr>
          <w:p>
            <w:pPr>
              <w:spacing w:after="20"/>
            </w:pPr>
            <w:r>
              <w:rPr>
                <w:b/>
                <w:color w:val="FFFFFF"/>
                <w:sz w:val="17"/>
              </w:rPr>
              <w:t>Student record</w:t>
            </w:r>
          </w:p>
        </w:tc>
      </w:tr>
      <w:tr>
        <w:tc>
          <w:tcPr>
            <w:tcW w:type="dxa" w:w="5227"/>
            <w:tcMar>
              <w:top w:w="70" w:type="dxa"/>
              <w:start w:w="90" w:type="dxa"/>
              <w:bottom w:w="70" w:type="dxa"/>
              <w:end w:w="90" w:type="dxa"/>
            </w:tcMar>
            <w:vAlign w:val="top"/>
          </w:tcPr>
          <w:p>
            <w:pPr>
              <w:spacing w:after="20"/>
            </w:pPr>
            <w:r>
              <w:rPr>
                <w:sz w:val="17"/>
              </w:rPr>
              <w:t>ET generally</w:t>
            </w:r>
          </w:p>
        </w:tc>
        <w:tc>
          <w:tcPr>
            <w:tcW w:type="dxa" w:w="5227"/>
            <w:tcMar>
              <w:top w:w="70" w:type="dxa"/>
              <w:start w:w="90" w:type="dxa"/>
              <w:bottom w:w="70" w:type="dxa"/>
              <w:end w:w="90" w:type="dxa"/>
            </w:tcMar>
            <w:vAlign w:val="top"/>
          </w:tcPr>
          <w:p>
            <w:r>
              <w:t>High awareness and active individual use are supported in surveyed developer populations, but not a common Rogers category or sustained enterprise deployment rate. Trialability is the strongest driver; uncertain task-level value/trust is the strongest barrier.</w:t>
            </w:r>
          </w:p>
        </w:tc>
      </w:tr>
      <w:tr>
        <w:tc>
          <w:tcPr>
            <w:tcW w:type="dxa" w:w="5227"/>
            <w:tcMar>
              <w:top w:w="70" w:type="dxa"/>
              <w:start w:w="90" w:type="dxa"/>
              <w:bottom w:w="70" w:type="dxa"/>
              <w:end w:w="90" w:type="dxa"/>
            </w:tcMar>
            <w:vAlign w:val="top"/>
          </w:tcPr>
          <w:p>
            <w:pPr>
              <w:spacing w:after="20"/>
            </w:pPr>
            <w:r>
              <w:rPr>
                <w:sz w:val="17"/>
              </w:rPr>
              <w:t>ET for this application</w:t>
            </w:r>
          </w:p>
        </w:tc>
        <w:tc>
          <w:tcPr>
            <w:tcW w:type="dxa" w:w="5227"/>
            <w:tcMar>
              <w:top w:w="70" w:type="dxa"/>
              <w:start w:w="90" w:type="dxa"/>
              <w:bottom w:w="70" w:type="dxa"/>
              <w:end w:w="90" w:type="dxa"/>
            </w:tcMar>
            <w:vAlign w:val="top"/>
          </w:tcPr>
          <w:p>
            <w:r>
              <w:t>Assess value using review effort, defects, security findings, test effectiveness, and delivery outcomes; generated output is not approved code.</w:t>
            </w:r>
          </w:p>
        </w:tc>
      </w:tr>
      <w:tr>
        <w:tc>
          <w:tcPr>
            <w:tcW w:type="dxa" w:w="5227"/>
            <w:tcMar>
              <w:top w:w="70" w:type="dxa"/>
              <w:start w:w="90" w:type="dxa"/>
              <w:bottom w:w="70" w:type="dxa"/>
              <w:end w:w="90" w:type="dxa"/>
            </w:tcMar>
            <w:vAlign w:val="top"/>
          </w:tcPr>
          <w:p>
            <w:pPr>
              <w:spacing w:after="20"/>
            </w:pPr>
            <w:r>
              <w:rPr>
                <w:sz w:val="17"/>
              </w:rPr>
              <w:t>ET for this application in this organization</w:t>
            </w:r>
          </w:p>
        </w:tc>
        <w:tc>
          <w:tcPr>
            <w:tcW w:type="dxa" w:w="5227"/>
            <w:tcMar>
              <w:top w:w="70" w:type="dxa"/>
              <w:start w:w="90" w:type="dxa"/>
              <w:bottom w:w="70" w:type="dxa"/>
              <w:end w:w="90" w:type="dxa"/>
            </w:tcMar>
            <w:vAlign w:val="top"/>
          </w:tcPr>
          <w:p>
            <w:r>
              <w:t>Conservative posture: policy and baselines before a bounded pilot. Proactive contrast: same controls before an earlier bounded pilot. General/application findings remain stable.</w:t>
            </w:r>
          </w:p>
        </w:tc>
      </w:tr>
      <w:tr>
        <w:tc>
          <w:tcPr>
            <w:tcW w:type="dxa" w:w="5227"/>
            <w:tcMar>
              <w:top w:w="70" w:type="dxa"/>
              <w:start w:w="90" w:type="dxa"/>
              <w:bottom w:w="70" w:type="dxa"/>
              <w:end w:w="90" w:type="dxa"/>
            </w:tcMar>
            <w:vAlign w:val="top"/>
          </w:tcPr>
          <w:p>
            <w:pPr>
              <w:spacing w:after="20"/>
            </w:pPr>
            <w:r>
              <w:rPr>
                <w:sz w:val="17"/>
              </w:rPr>
              <w:t>Bounded management implication</w:t>
            </w:r>
          </w:p>
        </w:tc>
        <w:tc>
          <w:tcPr>
            <w:tcW w:type="dxa" w:w="5227"/>
            <w:tcMar>
              <w:top w:w="70" w:type="dxa"/>
              <w:start w:w="90" w:type="dxa"/>
              <w:bottom w:w="70" w:type="dxa"/>
              <w:end w:w="90" w:type="dxa"/>
            </w:tcMar>
            <w:vAlign w:val="top"/>
          </w:tcPr>
          <w:p>
            <w:r>
              <w:t>This agent does not make a final procurement or adoption decision. It identifies a reversible learning option and later decision inputs.</w:t>
            </w:r>
          </w:p>
        </w:tc>
      </w:tr>
      <w:tr>
        <w:tc>
          <w:tcPr>
            <w:tcW w:type="dxa" w:w="5227"/>
            <w:tcMar>
              <w:top w:w="70" w:type="dxa"/>
              <w:start w:w="90" w:type="dxa"/>
              <w:bottom w:w="70" w:type="dxa"/>
              <w:end w:w="90" w:type="dxa"/>
            </w:tcMar>
            <w:vAlign w:val="top"/>
          </w:tcPr>
          <w:p>
            <w:pPr>
              <w:spacing w:after="20"/>
            </w:pPr>
            <w:r>
              <w:rPr>
                <w:sz w:val="17"/>
              </w:rPr>
              <w:t>Confidence / uncertainty</w:t>
            </w:r>
          </w:p>
        </w:tc>
        <w:tc>
          <w:tcPr>
            <w:tcW w:type="dxa" w:w="5227"/>
            <w:tcMar>
              <w:top w:w="70" w:type="dxa"/>
              <w:start w:w="90" w:type="dxa"/>
              <w:bottom w:w="70" w:type="dxa"/>
              <w:end w:w="90" w:type="dxa"/>
            </w:tcMar>
            <w:vAlign w:val="top"/>
          </w:tcPr>
          <w:p>
            <w:r>
              <w:t>Moderate for widespread surveyed active use; high that this does not prove sustained enterprise adoption. Local value is uncertain without baselines and controls.</w:t>
            </w:r>
          </w:p>
        </w:tc>
      </w:tr>
      <w:tr>
        <w:tc>
          <w:tcPr>
            <w:tcW w:type="dxa" w:w="5227"/>
            <w:tcMar>
              <w:top w:w="70" w:type="dxa"/>
              <w:start w:w="90" w:type="dxa"/>
              <w:bottom w:w="70" w:type="dxa"/>
              <w:end w:w="90" w:type="dxa"/>
            </w:tcMar>
            <w:vAlign w:val="top"/>
          </w:tcPr>
          <w:p>
            <w:pPr>
              <w:spacing w:after="20"/>
            </w:pPr>
            <w:r>
              <w:rPr>
                <w:sz w:val="17"/>
              </w:rPr>
              <w:t>What evidence or condition would change the conclusion</w:t>
            </w:r>
          </w:p>
        </w:tc>
        <w:tc>
          <w:tcPr>
            <w:tcW w:type="dxa" w:w="5227"/>
            <w:tcMar>
              <w:top w:w="70" w:type="dxa"/>
              <w:start w:w="90" w:type="dxa"/>
              <w:bottom w:w="70" w:type="dxa"/>
              <w:end w:w="90" w:type="dxa"/>
            </w:tcMar>
            <w:vAlign w:val="top"/>
          </w:tcPr>
          <w:p>
            <w:r>
              <w:t>Pilot results by task type; vendor/model and data terms; security/legal review; local baselines; reproducible evidence on mature-codebase quality and productivity.</w:t>
            </w:r>
          </w:p>
        </w:tc>
      </w:tr>
    </w:tbl>
    <w:p>
      <w:pPr>
        <w:pStyle w:val="Heading1"/>
      </w:pPr>
      <w:r>
        <w:t>D. Evidence and Testing</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tcMar>
              <w:top w:w="70" w:type="dxa"/>
              <w:start w:w="90" w:type="dxa"/>
              <w:bottom w:w="70" w:type="dxa"/>
              <w:end w:w="90" w:type="dxa"/>
            </w:tcMar>
            <w:vAlign w:val="top"/>
            <w:shd w:fill="57068C"/>
          </w:tcPr>
          <w:p>
            <w:pPr>
              <w:spacing w:after="20"/>
            </w:pPr>
            <w:r>
              <w:rPr>
                <w:b/>
                <w:color w:val="FFFFFF"/>
                <w:sz w:val="17"/>
              </w:rPr>
              <w:t>Field</w:t>
            </w:r>
          </w:p>
        </w:tc>
        <w:tc>
          <w:tcPr>
            <w:tcW w:type="dxa" w:w="5227"/>
            <w:tcMar>
              <w:top w:w="70" w:type="dxa"/>
              <w:start w:w="90" w:type="dxa"/>
              <w:bottom w:w="70" w:type="dxa"/>
              <w:end w:w="90" w:type="dxa"/>
            </w:tcMar>
            <w:vAlign w:val="top"/>
            <w:shd w:fill="57068C"/>
          </w:tcPr>
          <w:p>
            <w:pPr>
              <w:spacing w:after="20"/>
            </w:pPr>
            <w:r>
              <w:rPr>
                <w:b/>
                <w:color w:val="FFFFFF"/>
                <w:sz w:val="17"/>
              </w:rPr>
              <w:t>Student record</w:t>
            </w:r>
          </w:p>
        </w:tc>
      </w:tr>
      <w:tr>
        <w:tc>
          <w:tcPr>
            <w:tcW w:type="dxa" w:w="5227"/>
            <w:tcMar>
              <w:top w:w="70" w:type="dxa"/>
              <w:start w:w="90" w:type="dxa"/>
              <w:bottom w:w="70" w:type="dxa"/>
              <w:end w:w="90" w:type="dxa"/>
            </w:tcMar>
            <w:vAlign w:val="top"/>
          </w:tcPr>
          <w:p>
            <w:pPr>
              <w:spacing w:after="20"/>
            </w:pPr>
            <w:r>
              <w:rPr>
                <w:sz w:val="17"/>
              </w:rPr>
              <w:t>Most important evidence/source(s)</w:t>
            </w:r>
          </w:p>
        </w:tc>
        <w:tc>
          <w:tcPr>
            <w:tcW w:type="dxa" w:w="5227"/>
            <w:tcMar>
              <w:top w:w="70" w:type="dxa"/>
              <w:start w:w="90" w:type="dxa"/>
              <w:bottom w:w="70" w:type="dxa"/>
              <w:end w:w="90" w:type="dxa"/>
            </w:tcMar>
            <w:vAlign w:val="top"/>
          </w:tcPr>
          <w:p>
            <w:r>
              <w:t>Stack Overflow 2024 developer survey; GitHub 2023 survey (vendor-sponsored; 500 U.S. developers at 1,000+ employee companies); METR July 2025 randomized mature-repository study.</w:t>
            </w:r>
          </w:p>
        </w:tc>
      </w:tr>
      <w:tr>
        <w:tc>
          <w:tcPr>
            <w:tcW w:type="dxa" w:w="5227"/>
            <w:tcMar>
              <w:top w:w="70" w:type="dxa"/>
              <w:start w:w="90" w:type="dxa"/>
              <w:bottom w:w="70" w:type="dxa"/>
              <w:end w:w="90" w:type="dxa"/>
            </w:tcMar>
            <w:vAlign w:val="top"/>
          </w:tcPr>
          <w:p>
            <w:pPr>
              <w:spacing w:after="20"/>
            </w:pPr>
            <w:r>
              <w:rPr>
                <w:sz w:val="17"/>
              </w:rPr>
              <w:t>Primary test - result</w:t>
            </w:r>
          </w:p>
        </w:tc>
        <w:tc>
          <w:tcPr>
            <w:tcW w:type="dxa" w:w="5227"/>
            <w:tcMar>
              <w:top w:w="70" w:type="dxa"/>
              <w:start w:w="90" w:type="dxa"/>
              <w:bottom w:w="70" w:type="dxa"/>
              <w:end w:w="90" w:type="dxa"/>
            </w:tcMar>
            <w:vAlign w:val="top"/>
          </w:tcPr>
          <w:p>
            <w:r>
              <w:t>Prompt built; independently executed in active Codex session; response saved as JSON; scaffold validator passed.</w:t>
            </w:r>
          </w:p>
        </w:tc>
      </w:tr>
      <w:tr>
        <w:tc>
          <w:tcPr>
            <w:tcW w:type="dxa" w:w="5227"/>
            <w:tcMar>
              <w:top w:w="70" w:type="dxa"/>
              <w:start w:w="90" w:type="dxa"/>
              <w:bottom w:w="70" w:type="dxa"/>
              <w:end w:w="90" w:type="dxa"/>
            </w:tcMar>
            <w:vAlign w:val="top"/>
          </w:tcPr>
          <w:p>
            <w:pPr>
              <w:spacing w:after="20"/>
            </w:pPr>
            <w:r>
              <w:rPr>
                <w:sz w:val="17"/>
              </w:rPr>
              <w:t>Contrast test - what appropriately stayed stable</w:t>
            </w:r>
          </w:p>
        </w:tc>
        <w:tc>
          <w:tcPr>
            <w:tcW w:type="dxa" w:w="5227"/>
            <w:tcMar>
              <w:top w:w="70" w:type="dxa"/>
              <w:start w:w="90" w:type="dxa"/>
              <w:bottom w:w="70" w:type="dxa"/>
              <w:end w:w="90" w:type="dxa"/>
            </w:tcMar>
            <w:vAlign w:val="top"/>
          </w:tcPr>
          <w:p>
            <w:r>
              <w:t>General diffusion/application findings, evidence, limitations, and safeguards.</w:t>
            </w:r>
          </w:p>
        </w:tc>
      </w:tr>
      <w:tr>
        <w:tc>
          <w:tcPr>
            <w:tcW w:type="dxa" w:w="5227"/>
            <w:tcMar>
              <w:top w:w="70" w:type="dxa"/>
              <w:start w:w="90" w:type="dxa"/>
              <w:bottom w:w="70" w:type="dxa"/>
              <w:end w:w="90" w:type="dxa"/>
            </w:tcMar>
            <w:vAlign w:val="top"/>
          </w:tcPr>
          <w:p>
            <w:pPr>
              <w:spacing w:after="20"/>
            </w:pPr>
            <w:r>
              <w:rPr>
                <w:sz w:val="17"/>
              </w:rPr>
              <w:t>Contrast test - what appropriately changed</w:t>
            </w:r>
          </w:p>
        </w:tc>
        <w:tc>
          <w:tcPr>
            <w:tcW w:type="dxa" w:w="5227"/>
            <w:tcMar>
              <w:top w:w="70" w:type="dxa"/>
              <w:start w:w="90" w:type="dxa"/>
              <w:bottom w:w="70" w:type="dxa"/>
              <w:end w:w="90" w:type="dxa"/>
            </w:tcMar>
            <w:vAlign w:val="top"/>
          </w:tcPr>
          <w:p>
            <w:r>
              <w:t>Only timing: proactive posture supports an earlier bounded pilot; conservative posture requires more preparation first.</w:t>
            </w:r>
          </w:p>
        </w:tc>
      </w:tr>
      <w:tr>
        <w:tc>
          <w:tcPr>
            <w:tcW w:type="dxa" w:w="5227"/>
            <w:tcMar>
              <w:top w:w="70" w:type="dxa"/>
              <w:start w:w="90" w:type="dxa"/>
              <w:bottom w:w="70" w:type="dxa"/>
              <w:end w:w="90" w:type="dxa"/>
            </w:tcMar>
            <w:vAlign w:val="top"/>
          </w:tcPr>
          <w:p>
            <w:pPr>
              <w:spacing w:after="20"/>
            </w:pPr>
            <w:r>
              <w:rPr>
                <w:sz w:val="17"/>
              </w:rPr>
              <w:t>Weakness/failure found</w:t>
            </w:r>
          </w:p>
        </w:tc>
        <w:tc>
          <w:tcPr>
            <w:tcW w:type="dxa" w:w="5227"/>
            <w:tcMar>
              <w:top w:w="70" w:type="dxa"/>
              <w:start w:w="90" w:type="dxa"/>
              <w:bottom w:w="70" w:type="dxa"/>
              <w:end w:w="90" w:type="dxa"/>
            </w:tcMar>
            <w:vAlign w:val="top"/>
          </w:tcPr>
          <w:p>
            <w:r>
              <w:t>High survey use cannot prove early-majority status or sustained enterprise deployment. GitHub's 92% includes work or personal use.</w:t>
            </w:r>
          </w:p>
        </w:tc>
      </w:tr>
      <w:tr>
        <w:tc>
          <w:tcPr>
            <w:tcW w:type="dxa" w:w="5227"/>
            <w:tcMar>
              <w:top w:w="70" w:type="dxa"/>
              <w:start w:w="90" w:type="dxa"/>
              <w:bottom w:w="70" w:type="dxa"/>
              <w:end w:w="90" w:type="dxa"/>
            </w:tcMar>
            <w:vAlign w:val="top"/>
          </w:tcPr>
          <w:p>
            <w:pPr>
              <w:spacing w:after="20"/>
            </w:pPr>
            <w:r>
              <w:rPr>
                <w:sz w:val="17"/>
              </w:rPr>
              <w:t>Revision made and why</w:t>
            </w:r>
          </w:p>
        </w:tc>
        <w:tc>
          <w:tcPr>
            <w:tcW w:type="dxa" w:w="5227"/>
            <w:tcMar>
              <w:top w:w="70" w:type="dxa"/>
              <w:start w:w="90" w:type="dxa"/>
              <w:bottom w:w="70" w:type="dxa"/>
              <w:end w:w="90" w:type="dxa"/>
            </w:tcMar>
            <w:vAlign w:val="top"/>
          </w:tcPr>
          <w:p>
            <w:r>
              <w:t>Version 0.2 instructions explicitly separate awareness, experimentation, active use, enterprise deployment, and sustained adoption to prevent survey overstatement.</w:t>
            </w:r>
          </w:p>
        </w:tc>
      </w:tr>
      <w:tr>
        <w:tc>
          <w:tcPr>
            <w:tcW w:type="dxa" w:w="5227"/>
            <w:tcMar>
              <w:top w:w="70" w:type="dxa"/>
              <w:start w:w="90" w:type="dxa"/>
              <w:bottom w:w="70" w:type="dxa"/>
              <w:end w:w="90" w:type="dxa"/>
            </w:tcMar>
            <w:vAlign w:val="top"/>
          </w:tcPr>
          <w:p>
            <w:pPr>
              <w:spacing w:after="20"/>
            </w:pPr>
            <w:r>
              <w:rPr>
                <w:sz w:val="17"/>
              </w:rPr>
              <w:t>Remaining limitation / abstention condition</w:t>
            </w:r>
          </w:p>
        </w:tc>
        <w:tc>
          <w:tcPr>
            <w:tcW w:type="dxa" w:w="5227"/>
            <w:tcMar>
              <w:top w:w="70" w:type="dxa"/>
              <w:start w:w="90" w:type="dxa"/>
              <w:bottom w:w="70" w:type="dxa"/>
              <w:end w:w="90" w:type="dxa"/>
            </w:tcMar>
            <w:vAlign w:val="top"/>
          </w:tcPr>
          <w:p>
            <w:r>
              <w:t>Missing provider/model, code-data policy, repository scope, local baseline, legal/IP review, and security capacity. Structural validation does not verify evidence accuracy.</w:t>
            </w:r>
          </w:p>
        </w:tc>
      </w:tr>
    </w:tbl>
    <w:p>
      <w:pPr>
        <w:pStyle w:val="Heading1"/>
      </w:pPr>
      <w:r>
        <w:t>E. Independent Judgment and Handoff</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tcMar>
              <w:top w:w="70" w:type="dxa"/>
              <w:start w:w="90" w:type="dxa"/>
              <w:bottom w:w="70" w:type="dxa"/>
              <w:end w:w="90" w:type="dxa"/>
            </w:tcMar>
            <w:vAlign w:val="top"/>
            <w:shd w:fill="57068C"/>
          </w:tcPr>
          <w:p>
            <w:pPr>
              <w:spacing w:after="20"/>
            </w:pPr>
            <w:r>
              <w:rPr>
                <w:b/>
                <w:color w:val="FFFFFF"/>
                <w:sz w:val="17"/>
              </w:rPr>
              <w:t>Field</w:t>
            </w:r>
          </w:p>
        </w:tc>
        <w:tc>
          <w:tcPr>
            <w:tcW w:type="dxa" w:w="5227"/>
            <w:tcMar>
              <w:top w:w="70" w:type="dxa"/>
              <w:start w:w="90" w:type="dxa"/>
              <w:bottom w:w="70" w:type="dxa"/>
              <w:end w:w="90" w:type="dxa"/>
            </w:tcMar>
            <w:vAlign w:val="top"/>
            <w:shd w:fill="57068C"/>
          </w:tcPr>
          <w:p>
            <w:pPr>
              <w:spacing w:after="20"/>
            </w:pPr>
            <w:r>
              <w:rPr>
                <w:b/>
                <w:color w:val="FFFFFF"/>
                <w:sz w:val="17"/>
              </w:rPr>
              <w:t>Student record</w:t>
            </w:r>
          </w:p>
        </w:tc>
      </w:tr>
      <w:tr>
        <w:tc>
          <w:tcPr>
            <w:tcW w:type="dxa" w:w="5227"/>
            <w:tcMar>
              <w:top w:w="70" w:type="dxa"/>
              <w:start w:w="90" w:type="dxa"/>
              <w:bottom w:w="70" w:type="dxa"/>
              <w:end w:w="90" w:type="dxa"/>
            </w:tcMar>
            <w:vAlign w:val="top"/>
          </w:tcPr>
          <w:p>
            <w:pPr>
              <w:spacing w:after="20"/>
            </w:pPr>
            <w:r>
              <w:rPr>
                <w:sz w:val="17"/>
              </w:rPr>
              <w:t>Is the agent credible enough for team consideration? Why?</w:t>
            </w:r>
          </w:p>
        </w:tc>
        <w:tc>
          <w:tcPr>
            <w:tcW w:type="dxa" w:w="5227"/>
            <w:tcMar>
              <w:top w:w="70" w:type="dxa"/>
              <w:start w:w="90" w:type="dxa"/>
              <w:bottom w:w="70" w:type="dxa"/>
              <w:end w:w="90" w:type="dxa"/>
            </w:tcMar>
            <w:vAlign w:val="top"/>
          </w:tcPr>
          <w:p>
            <w:r>
              <w:t>Based on the available evidence, LLM Coding Assistants are spreading rapidly among individual developers, but their diffusion within organizations is more difficult to determine. I believe trialability is one of the strongest factors encouraging diffusion because organizations can experiment with these tools before making larger commitments. However, uncertainty about productivity, code quality, security, and integration with existing workflows may slow broader organizational adoption.</w:t>
              <w:br/>
              <w:br/>
              <w:t>For a mature SaaS company, I would recommend considering a small, controlled pilot with clear performance and quality measures rather than moving directly toward large-scale adoption. The timing should depend on the organization's readiness and risk tolerance. This assessment provides guidance on adoption timing without making the final adoption decision.</w:t>
            </w:r>
          </w:p>
        </w:tc>
      </w:tr>
      <w:tr>
        <w:tc>
          <w:tcPr>
            <w:tcW w:type="dxa" w:w="5227"/>
            <w:tcMar>
              <w:top w:w="70" w:type="dxa"/>
              <w:start w:w="90" w:type="dxa"/>
              <w:bottom w:w="70" w:type="dxa"/>
              <w:end w:w="90" w:type="dxa"/>
            </w:tcMar>
            <w:vAlign w:val="top"/>
          </w:tcPr>
          <w:p>
            <w:pPr>
              <w:spacing w:after="20"/>
            </w:pPr>
            <w:r>
              <w:rPr>
                <w:sz w:val="17"/>
              </w:rPr>
              <w:t>Most important recommendation to the team</w:t>
            </w:r>
          </w:p>
        </w:tc>
        <w:tc>
          <w:tcPr>
            <w:tcW w:type="dxa" w:w="5227"/>
            <w:tcMar>
              <w:top w:w="70" w:type="dxa"/>
              <w:start w:w="90" w:type="dxa"/>
              <w:bottom w:w="70" w:type="dxa"/>
              <w:end w:w="90" w:type="dxa"/>
            </w:tcMar>
            <w:vAlign w:val="top"/>
          </w:tcPr>
          <w:p>
            <w:r>
              <w:t>Use this only as bounded diffusion input; obtain provider-specific security, legal, architecture, and operational analysis before any adoption decision.</w:t>
            </w:r>
          </w:p>
        </w:tc>
      </w:tr>
      <w:tr>
        <w:tc>
          <w:tcPr>
            <w:tcW w:type="dxa" w:w="5227"/>
            <w:tcMar>
              <w:top w:w="70" w:type="dxa"/>
              <w:start w:w="90" w:type="dxa"/>
              <w:bottom w:w="70" w:type="dxa"/>
              <w:end w:w="90" w:type="dxa"/>
            </w:tcMar>
            <w:vAlign w:val="top"/>
          </w:tcPr>
          <w:p>
            <w:pPr>
              <w:spacing w:after="20"/>
            </w:pPr>
            <w:r>
              <w:rPr>
                <w:sz w:val="17"/>
              </w:rPr>
              <w:t>AI / verification note</w:t>
            </w:r>
          </w:p>
        </w:tc>
        <w:tc>
          <w:tcPr>
            <w:tcW w:type="dxa" w:w="5227"/>
            <w:tcMar>
              <w:top w:w="70" w:type="dxa"/>
              <w:start w:w="90" w:type="dxa"/>
              <w:bottom w:w="70" w:type="dxa"/>
              <w:end w:w="90" w:type="dxa"/>
            </w:tcMar>
            <w:vAlign w:val="top"/>
          </w:tcPr>
          <w:p>
            <w:r>
              <w:t>Codex created the scaffolded agent, built/executed both prompt packets, validated output structure, and checked frozen core. Public source pages were consulted. Student supplied the independent judgment and reflection recorded here.</w:t>
            </w:r>
          </w:p>
        </w:tc>
      </w:tr>
      <w:tr>
        <w:tc>
          <w:tcPr>
            <w:tcW w:type="dxa" w:w="5227"/>
          </w:tcPr>
          <w:p>
            <w:r>
              <w:t>Personal reflection</w:t>
            </w:r>
          </w:p>
        </w:tc>
        <w:tc>
          <w:tcPr>
            <w:tcW w:type="dxa" w:w="5227"/>
          </w:tcPr>
          <w:p>
            <w:r>
              <w:t>Through this lab, I gained a better understanding of the challenges and processes involved in moving a technology from innovation to widespread adoption. I realized that developing an innovative technology is only the beginning, and that successful diffusion depends on much more than the technology itself.</w:t>
              <w:br/>
              <w:br/>
              <w:t>I think technological maturity is important, but so are real-world testing and validation. Organizations need evidence that a technology actually works, while also considering safety, ethical concerns, and regulatory requirements. Another important factor is how easily the technology can be adopted and integrated into existing systems and workflows.</w:t>
              <w:br/>
              <w:br/>
              <w:t>This lab helped me understand why some promising technologies spread quickly while others face barriers, even when they offer significant potential benefits. It also showed me that widespread adoption is a gradual process that requires not only technological progress but also evidence, trust, and organizational readiness.</w:t>
            </w:r>
          </w:p>
        </w:tc>
      </w:tr>
      <w:tr>
        <w:tc>
          <w:tcPr>
            <w:tcW w:type="dxa" w:w="5227"/>
          </w:tcPr>
          <w:p>
            <w:r>
              <w:t>Personal reflection</w:t>
            </w:r>
          </w:p>
        </w:tc>
        <w:tc>
          <w:tcPr>
            <w:tcW w:type="dxa" w:w="5227"/>
          </w:tcPr>
          <w:p>
            <w:r>
              <w:t>Through this lab, I gained a better understanding of the challenges and processes involved in moving a technology from innovation to widespread adoption. I realized that developing an innovative technology is only the beginning, and that successful diffusion depends on much more than the technology itself.</w:t>
              <w:br/>
              <w:br/>
              <w:t>I think technological maturity is important, but so are real-world testing and validation. Organizations need evidence that a technology actually works, while also considering safety, ethical concerns, and regulatory requirements. Another important factor is how easily the technology can be adopted and integrated into existing systems and workflows.</w:t>
              <w:br/>
              <w:br/>
              <w:t>This lab helped me understand why some promising technologies spread quickly while others face barriers, even when they offer significant potential benefits. It also showed me that widespread adoption is a gradual process that requires not only technological progress but also evidence, trust, and organizational readiness.</w:t>
            </w:r>
          </w:p>
        </w:tc>
      </w:tr>
    </w:tbl>
    <w:sectPr w:rsidR="00630F3A" w:rsidSect="00034616">
      <w:headerReference w:type="default" r:id="rId8"/>
      <w:footerReference w:type="default" r:id="rId9"/>
      <w:pgSz w:w="12240" w:h="15840"/>
      <w:pgMar w:top="792" w:right="893" w:bottom="792"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834FE" w:rsidRDefault="00F834FE">
      <w:pPr>
        <w:spacing w:after="0" w:line="240" w:lineRule="auto"/>
        <w:rPr>
          <w:rFonts w:hint="eastAsia"/>
        </w:rPr>
      </w:pPr>
      <w:r>
        <w:separator/>
      </w:r>
    </w:p>
  </w:endnote>
  <w:endnote w:type="continuationSeparator" w:id="0">
    <w:p w:rsidR="00F834FE" w:rsidRDefault="00F834F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0F3A" w:rsidRDefault="00000000">
    <w:pPr>
      <w:pStyle w:val="Footer"/>
      <w:jc w:val="center"/>
      <w:rPr>
        <w:rFonts w:hint="eastAsia"/>
      </w:rPr>
    </w:pPr>
    <w:r>
      <w:rPr>
        <w:color w:val="666666"/>
        <w:sz w:val="16"/>
      </w:rPr>
      <w:t>Specialist Agent Record Template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834FE" w:rsidRDefault="00F834FE">
      <w:pPr>
        <w:spacing w:after="0" w:line="240" w:lineRule="auto"/>
        <w:rPr>
          <w:rFonts w:hint="eastAsia"/>
        </w:rPr>
      </w:pPr>
      <w:r>
        <w:separator/>
      </w:r>
    </w:p>
  </w:footnote>
  <w:footnote w:type="continuationSeparator" w:id="0">
    <w:p w:rsidR="00F834FE" w:rsidRDefault="00F834FE">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0F3A" w:rsidRDefault="00000000">
    <w:pPr>
      <w:pStyle w:val="Header"/>
      <w:jc w:val="right"/>
      <w:rPr>
        <w:rFonts w:hint="eastAsia"/>
      </w:rPr>
    </w:pPr>
    <w:r>
      <w:rPr>
        <w:b/>
        <w:color w:val="57068C"/>
        <w:sz w:val="16"/>
      </w:rPr>
      <w:t>NYU SPS | MASY1-GC 1800 | EMERGING TECHNOLOGIES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2544149">
    <w:abstractNumId w:val="8"/>
  </w:num>
  <w:num w:numId="2" w16cid:durableId="1931616119">
    <w:abstractNumId w:val="6"/>
  </w:num>
  <w:num w:numId="3" w16cid:durableId="1238203996">
    <w:abstractNumId w:val="5"/>
  </w:num>
  <w:num w:numId="4" w16cid:durableId="1845591355">
    <w:abstractNumId w:val="4"/>
  </w:num>
  <w:num w:numId="5" w16cid:durableId="203055673">
    <w:abstractNumId w:val="7"/>
  </w:num>
  <w:num w:numId="6" w16cid:durableId="921061524">
    <w:abstractNumId w:val="3"/>
  </w:num>
  <w:num w:numId="7" w16cid:durableId="291711437">
    <w:abstractNumId w:val="2"/>
  </w:num>
  <w:num w:numId="8" w16cid:durableId="1521776730">
    <w:abstractNumId w:val="1"/>
  </w:num>
  <w:num w:numId="9" w16cid:durableId="144247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14B14"/>
    <w:rsid w:val="0029639D"/>
    <w:rsid w:val="00326F90"/>
    <w:rsid w:val="00630F3A"/>
    <w:rsid w:val="006E721C"/>
    <w:rsid w:val="00AA1D8D"/>
    <w:rsid w:val="00B47730"/>
    <w:rsid w:val="00CB0664"/>
    <w:rsid w:val="00F834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DC0CD959-1D97-D94F-BA39-D34FFBA87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52" w:lineRule="auto"/>
    </w:pPr>
    <w:rPr>
      <w:rFonts w:ascii="Liberation Sans" w:hAnsi="Liberation Sans"/>
      <w:sz w:val="19"/>
    </w:rPr>
  </w:style>
  <w:style w:type="paragraph" w:styleId="Heading1">
    <w:name w:val="heading 1"/>
    <w:basedOn w:val="Normal"/>
    <w:next w:val="Normal"/>
    <w:link w:val="Heading1Char"/>
    <w:uiPriority w:val="9"/>
    <w:qFormat/>
    <w:rsid w:val="00FC693F"/>
    <w:pPr>
      <w:keepNext/>
      <w:keepLines/>
      <w:spacing w:after="160"/>
      <w:outlineLvl w:val="0"/>
    </w:pPr>
    <w:rPr>
      <w:rFonts w:asciiTheme="majorHAnsi" w:eastAsiaTheme="majorEastAsia" w:hAnsiTheme="majorHAnsi" w:cstheme="majorBidi"/>
      <w:b/>
      <w:bCs/>
      <w:color w:val="57068C"/>
      <w:sz w:val="34"/>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b/>
      <w:bCs/>
      <w:color w:val="57068C"/>
      <w:sz w:val="25"/>
      <w:szCs w:val="26"/>
    </w:rPr>
  </w:style>
  <w:style w:type="paragraph" w:styleId="Heading3">
    <w:name w:val="heading 3"/>
    <w:basedOn w:val="Normal"/>
    <w:next w:val="Normal"/>
    <w:link w:val="Heading3Char"/>
    <w:uiPriority w:val="9"/>
    <w:unhideWhenUsed/>
    <w:qFormat/>
    <w:rsid w:val="00FC693F"/>
    <w:pPr>
      <w:keepNext/>
      <w:keepLines/>
      <w:spacing w:before="80" w:after="40"/>
      <w:outlineLvl w:val="2"/>
    </w:pPr>
    <w:rPr>
      <w:rFonts w:asciiTheme="majorHAnsi" w:eastAsiaTheme="majorEastAsia" w:hAnsiTheme="majorHAnsi" w:cstheme="majorBidi"/>
      <w:b/>
      <w:bCs/>
      <w:color w:val="25252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57068C"/>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pPr>
    <w:rPr>
      <w:rFonts w:ascii="Liberation Sans" w:hAnsi="Liberation Sans"/>
      <w:color w:val="666666"/>
      <w:sz w:val="18"/>
    </w:rPr>
  </w:style>
  <w:style w:type="paragraph" w:customStyle="1" w:styleId="Callout">
    <w:name w:val="Callout"/>
    <w:pPr>
      <w:spacing w:after="80"/>
    </w:pPr>
    <w:rPr>
      <w:rFonts w:ascii="Liberation Sans" w:hAnsi="Liberation Sans"/>
      <w:b/>
      <w:color w:val="57068C"/>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19</Pages>
  <Words>7921</Words>
  <Characters>45155</Characters>
  <Application>Microsoft Office Word</Application>
  <DocSecurity>0</DocSecurity>
  <Lines>376</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52971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Technologies - Specialist Agent Record Template</dc:title>
  <dc:subject>Student instructions for weekly individual assignments</dc:subject>
  <dc:creator>Andres Fortino</dc:creator>
  <cp:keywords>Advanced Business Informatics, weekly assignments, professional practice, AI, judgment, proof of concept</cp:keywords>
  <dc:description>generated by python-docx</dc:description>
  <cp:lastModifiedBy>Andres Fortino</cp:lastModifiedBy>
  <cp:revision>2</cp:revision>
  <dcterms:created xsi:type="dcterms:W3CDTF">2026-08-13T19:48:00Z</dcterms:created>
  <dcterms:modified xsi:type="dcterms:W3CDTF">2026-08-13T19:48:00Z</dcterms:modified>
  <cp:category/>
</cp:coreProperties>
</file>