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Organizational Adoption Agent Record</w:t>
      </w:r>
    </w:p>
    <w:p>
      <w:pPr>
        <w:jc w:val="center"/>
      </w:pPr>
      <w:r>
        <w:t>MASY1-GC 1800 | Assignments 2-8</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Complete this record from the evidence in your working scaffold. Keep it concise. The record documents what you specialized, how you tested it, what failed or changed, and what professional judgment you reached.</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40"/>
            </w:pPr>
            <w:r>
              <w:rPr>
                <w:sz w:val="18"/>
              </w:rPr>
              <w:t>Karoline He</w:t>
            </w:r>
          </w:p>
        </w:tc>
      </w:tr>
      <w:t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40"/>
            </w:pPr>
            <w:r>
              <w:rPr>
                <w:sz w:val="18"/>
              </w:rPr>
              <w:t>Assignment 7 - Organizational Adoption Agent</w:t>
            </w:r>
          </w:p>
        </w:tc>
      </w:tr>
      <w:t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40"/>
            </w:pPr>
            <w:r>
              <w:rPr>
                <w:sz w:val="18"/>
              </w:rPr>
              <w:t>October 30, 2026</w:t>
            </w:r>
          </w:p>
        </w:tc>
      </w:tr>
      <w:t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40"/>
            </w:pPr>
            <w:r>
              <w:rPr>
                <w:sz w:val="18"/>
              </w:rPr>
              <w:t>kh4214/MASY1800-ET-Agent-Lab</w:t>
            </w:r>
          </w:p>
        </w:tc>
      </w:tr>
      <w:t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40"/>
            </w:pPr>
            <w:r>
              <w:rPr>
                <w:sz w:val="18"/>
              </w:rPr>
              <w:t>assignment7-organizational-adoption</w:t>
            </w:r>
          </w:p>
        </w:tc>
      </w:tr>
      <w:t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40"/>
            </w:pPr>
            <w:r>
              <w:rPr>
                <w:sz w:val="18"/>
              </w:rPr>
              <w:t>199b9c8c9b9932011e217774972316d9a1ce62b4 (tested agent package)</w:t>
            </w:r>
          </w:p>
        </w:tc>
      </w:tr>
      <w:t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MASY1800_ET_Agent_Scaffold_v1_0</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40"/>
            </w:pPr>
            <w:r>
              <w:rPr>
                <w:sz w:val="18"/>
              </w:rPr>
              <w:t>Even if adoption is strategically appropriate, can this organization absorb, govern, and sustain the proposed application?</w:t>
            </w:r>
          </w:p>
        </w:tc>
      </w:tr>
      <w:t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40"/>
            </w:pPr>
            <w:r>
              <w:rPr>
                <w:sz w:val="18"/>
              </w:rPr>
              <w:t>Generative AI using a large language model</w:t>
            </w:r>
          </w:p>
        </w:tc>
      </w:tr>
      <w:t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40"/>
            </w:pPr>
            <w:r>
              <w:rPr>
                <w:sz w:val="18"/>
              </w:rPr>
              <w:t>First-line SaaS customer-support automation, with human escalation for consequential inquiries.</w:t>
            </w:r>
          </w:p>
        </w:tc>
      </w:tr>
      <w:t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40"/>
            </w:pPr>
            <w:r>
              <w:rPr>
                <w:sz w:val="18"/>
              </w:rPr>
              <w:t>Primary: early-stage B2B SaaS startup. Contrast: larger established B2B SaaS organization. Both are course scenarios.</w:t>
            </w:r>
          </w:p>
        </w:tc>
      </w:tr>
      <w:t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40"/>
            </w:pPr>
            <w:r>
              <w:rPr>
                <w:sz w:val="18"/>
              </w:rPr>
              <w:t>Startup: possible limited pilot. Contrast: controlled staged evaluation; neither case is approved for scale.</w:t>
            </w:r>
          </w:p>
        </w:tc>
      </w:tr>
      <w:t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40"/>
            </w:pPr>
            <w:r>
              <w:rPr>
                <w:sz w:val="18"/>
              </w:rPr>
              <w:t>Inaccurate responses may mislead customers or mishandle account, security, billing, or contractual inquiries.</w:t>
            </w:r>
          </w:p>
        </w:tc>
      </w:tr>
      <w:t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40"/>
            </w:pPr>
            <w:r>
              <w:rPr>
                <w:sz w:val="18"/>
              </w:rPr>
              <w:t>Is the organization ready, what is the consequential gap, and what must change before the next adoption stage? Startup: next 3 months; contrast: next 3-6 months.</w:t>
            </w:r>
          </w:p>
        </w:tc>
      </w:tr>
    </w:tbl>
    <w:p>
      <w:pPr>
        <w:pStyle w:val="Heading1"/>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40"/>
            </w:pPr>
            <w:r>
              <w:rPr>
                <w:sz w:val="18"/>
              </w:rPr>
              <w:t>Chapter 8 treats LLM-based generative AI as leading edge for most business applications, while warning that maturity is application- and organization-specific. The saved runs do not claim an independently verified maturity classification beyond the provided course framework.</w:t>
            </w:r>
          </w:p>
        </w:tc>
      </w:tr>
      <w:t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40"/>
            </w:pPr>
            <w:r>
              <w:rPr>
                <w:sz w:val="18"/>
              </w:rPr>
              <w:t>Customer-support automation can be explored in a bounded low-consequence setting, but requires a relevant support baseline and tested human escalation for consequential inquiries.</w:t>
            </w:r>
          </w:p>
        </w:tc>
      </w:tr>
      <w:t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40"/>
            </w:pPr>
            <w:r>
              <w:rPr>
                <w:sz w:val="18"/>
              </w:rPr>
              <w:t>Startup: readiness-building before a pilot; baseline, escalation design, accountable owner, governance process, and operating capacity are missing. Contrast: conditional low-consequence pilot; governance and ownership are stated, but controls are not proven. Neither is scale-ready.</w:t>
            </w:r>
          </w:p>
        </w:tc>
      </w:tr>
      <w:t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40"/>
            </w:pPr>
            <w:r>
              <w:rPr>
                <w:sz w:val="18"/>
              </w:rPr>
              <w:t>Startup: establish stage gates before launch. Contrast: run a constrained pilot with defined scope, escalation, baseline, stop conditions, and governance review; expand only after evidence shows controls work.</w:t>
            </w:r>
          </w:p>
        </w:tc>
      </w:tr>
      <w:t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40"/>
            </w:pPr>
            <w:r>
              <w:rPr>
                <w:sz w:val="18"/>
              </w:rPr>
              <w:t>Moderate confidence in stage recommendations from case assumptions. Low confidence in provider-specific privacy, security, legal, data, and production-control adequacy.</w:t>
            </w:r>
          </w:p>
        </w:tc>
      </w:tr>
      <w:t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40"/>
            </w:pPr>
            <w:r>
              <w:rPr>
                <w:sz w:val="18"/>
              </w:rPr>
              <w:t>Support-quality baseline; tested escalation; named accountable owner; staffing/monitoring capacity; provider/data controls; and pilot evidence that controls work.</w:t>
            </w:r>
          </w:p>
        </w:tc>
      </w:tr>
    </w:tbl>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40"/>
            </w:pPr>
            <w:r>
              <w:rPr>
                <w:sz w:val="18"/>
              </w:rPr>
              <w:t>Course case inputs; Assignment 7 brief; textbook Chapters 8-9. Chapter 8 supports contextual maturity and organization-specific readiness; source claims beyond the scenarios were not independently verified.</w:t>
            </w:r>
          </w:p>
        </w:tc>
      </w:tr>
      <w:t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40"/>
            </w:pPr>
            <w:r>
              <w:rPr>
                <w:sz w:val="18"/>
              </w:rPr>
              <w:t>Final `primary_response.json`: readiness-building before a customer-facing pilot. Most consequential gap: no demonstrated controlled-learning environment.</w:t>
            </w:r>
          </w:p>
        </w:tc>
      </w:tr>
      <w:t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40"/>
            </w:pPr>
            <w:r>
              <w:rPr>
                <w:sz w:val="18"/>
              </w:rPr>
              <w:t>Both final outputs separate maturity from readiness, require a support baseline and human escalation, avoid scale-up, and request provider/control evidence.</w:t>
            </w:r>
          </w:p>
        </w:tc>
      </w:tr>
      <w:t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40"/>
            </w:pPr>
            <w:r>
              <w:rPr>
                <w:sz w:val="18"/>
              </w:rPr>
              <w:t>Startup: readiness-building. Established SaaS organization: conditional low-consequence pilot because stated governance and operational ownership clear more stage gates.</w:t>
            </w:r>
          </w:p>
        </w:tc>
      </w:tr>
      <w:t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40"/>
            </w:pPr>
            <w:r>
              <w:rPr>
                <w:sz w:val="18"/>
              </w:rPr>
              <w:t>Initial outputs gave both organizations a conditional-pilot action, underweighting the startup's missing baseline, owner, escalation design, and capacity.</w:t>
            </w:r>
          </w:p>
        </w:tc>
      </w:tr>
      <w:t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40"/>
            </w:pPr>
            <w:r>
              <w:rPr>
                <w:sz w:val="18"/>
              </w:rPr>
              <w:t>Added a stage-gate rule: baseline, accountable owner, bounded scope, escalation/control design, and observation capacity are minimum prerequisites for a meaningful pilot. Rerun produced context-sensitive actions.</w:t>
            </w:r>
          </w:p>
        </w:tc>
      </w:tr>
      <w:t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40"/>
            </w:pPr>
            <w:r>
              <w:rPr>
                <w:sz w:val="18"/>
              </w:rPr>
              <w:t>Case facts are assumptions. Request current support metrics, ticket classification, escalation-test evidence, named owner/capacity, provider/data terms, controls, and approval criteria. No ECTM formula or score was invented.</w:t>
            </w:r>
          </w:p>
        </w:tc>
      </w:tr>
    </w:tbl>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40"/>
            </w:pPr>
            <w:r>
              <w:rPr>
                <w:sz w:val="18"/>
              </w:rPr>
              <w:t>Yes, as a bounded readiness specialist: it preserves the Frozen Core, applies eight dimensions, separates maturity/application/readiness, requests missing evidence, and passed the local validator on initial and revised primary/contrast responses.</w:t>
            </w:r>
          </w:p>
        </w:tc>
      </w:tr>
      <w:t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40"/>
            </w:pPr>
            <w:r>
              <w:rPr>
                <w:sz w:val="18"/>
              </w:rPr>
              <w:t>Explore early when feasible, adopt when justified, and scale only when the organization is ready. For this case, do not confuse a safe pilot with scale readiness; treat baseline, escalation, ownership, and monitoring as adoption-stage gates.</w:t>
            </w:r>
          </w:p>
        </w:tc>
      </w:tr>
      <w:t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40"/>
            </w:pPr>
            <w:r>
              <w:rPr>
                <w:sz w:val="18"/>
              </w:rPr>
              <w:t>Codex structured the agent, generated and saved packet-context responses, identified the initial contrast weakness, revised the stage gate, and ran the local validator and Frozen Core check. The textbook is now available; no provider-specific or external factual claim was presented as verified without source evidence.</w:t>
            </w:r>
          </w:p>
        </w:tc>
      </w:tr>
    </w:tbl>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