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color w:val="57068C"/>
          <w:sz w:val="28"/>
        </w:rPr>
        <w:t>EMERGING TECHNOLOGIES</w:t>
      </w:r>
    </w:p>
    <w:p>
      <w:pPr>
        <w:pStyle w:val="Title"/>
        <w:jc w:val="center"/>
      </w:pPr>
      <w:r>
        <w:t>Specialist Agent Record Template</w:t>
      </w:r>
    </w:p>
    <w:p>
      <w:pPr>
        <w:jc w:val="center"/>
      </w:pPr>
      <w:r>
        <w:t>MASY1-GC 1800 | Assignments 2-8</w:t>
      </w:r>
    </w:p>
    <w:tbl>
      <w:tblPr>
        <w:tblW w:type="auto" w:w="0"/>
        <w:tblLook w:firstColumn="1" w:firstRow="1" w:lastColumn="0" w:lastRow="0" w:noHBand="0" w:noVBand="1" w:val="04A0"/>
      </w:tblPr>
      <w:tblGrid>
        <w:gridCol w:w="10454"/>
      </w:tblGrid>
      <w:tr>
        <w:tc>
          <w:tcPr>
            <w:tcW w:type="dxa" w:w="10454"/>
            <w:shd w:fill="F3EDF7"/>
            <w:tcMar>
              <w:top w:w="90" w:type="dxa"/>
              <w:start w:w="120" w:type="dxa"/>
              <w:bottom w:w="90" w:type="dxa"/>
              <w:end w:w="120" w:type="dxa"/>
            </w:tcMar>
          </w:tcPr>
          <w:p>
            <w:pPr>
              <w:pStyle w:val="Callout"/>
            </w:pPr>
            <w:r>
              <w:t>Complete this record from the evidence in your working scaffold. Keep it concise. The record documents what you specialized, how you tested it, what failed or changed, and what professional judgment you reached.</w:t>
            </w:r>
          </w:p>
        </w:tc>
      </w:tr>
    </w:tbl>
    <w:p>
      <w:pPr>
        <w:pStyle w:val="Heading1"/>
      </w:pPr>
      <w:r>
        <w:t>A. Agent and Version</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Student / team</w:t>
            </w:r>
          </w:p>
        </w:tc>
        <w:tc>
          <w:tcPr>
            <w:tcW w:type="dxa" w:w="5227"/>
            <w:tcMar>
              <w:top w:w="70" w:type="dxa"/>
              <w:start w:w="90" w:type="dxa"/>
              <w:bottom w:w="70" w:type="dxa"/>
              <w:end w:w="90" w:type="dxa"/>
            </w:tcMar>
            <w:vAlign w:val="top"/>
          </w:tcPr>
          <w:p>
            <w:r>
              <w:t>REQUIRES STUDENT COMPLETION</w:t>
            </w:r>
          </w:p>
        </w:tc>
      </w:tr>
      <w:tr>
        <w:tc>
          <w:tcPr>
            <w:tcW w:type="dxa" w:w="5227"/>
            <w:tcMar>
              <w:top w:w="70" w:type="dxa"/>
              <w:start w:w="90" w:type="dxa"/>
              <w:bottom w:w="70" w:type="dxa"/>
              <w:end w:w="90" w:type="dxa"/>
            </w:tcMar>
            <w:vAlign w:val="top"/>
          </w:tcPr>
          <w:p>
            <w:pPr>
              <w:spacing w:after="20"/>
            </w:pPr>
            <w:r>
              <w:rPr>
                <w:sz w:val="17"/>
              </w:rPr>
              <w:t>Assignment / specialist agent</w:t>
            </w:r>
          </w:p>
        </w:tc>
        <w:tc>
          <w:tcPr>
            <w:tcW w:type="dxa" w:w="5227"/>
            <w:tcMar>
              <w:top w:w="70" w:type="dxa"/>
              <w:start w:w="90" w:type="dxa"/>
              <w:bottom w:w="70" w:type="dxa"/>
              <w:end w:w="90" w:type="dxa"/>
            </w:tcMar>
            <w:vAlign w:val="top"/>
          </w:tcPr>
          <w:p>
            <w:r>
              <w:t>Lab 5 / Innovation Diffusion Agent</w:t>
            </w:r>
          </w:p>
        </w:tc>
      </w:tr>
      <w:tr>
        <w:tc>
          <w:tcPr>
            <w:tcW w:type="dxa" w:w="5227"/>
            <w:tcMar>
              <w:top w:w="70" w:type="dxa"/>
              <w:start w:w="90" w:type="dxa"/>
              <w:bottom w:w="70" w:type="dxa"/>
              <w:end w:w="90" w:type="dxa"/>
            </w:tcMar>
            <w:vAlign w:val="top"/>
          </w:tcPr>
          <w:p>
            <w:pPr>
              <w:spacing w:after="20"/>
            </w:pPr>
            <w:r>
              <w:rPr>
                <w:sz w:val="17"/>
              </w:rPr>
              <w:t>Date</w:t>
            </w:r>
          </w:p>
        </w:tc>
        <w:tc>
          <w:tcPr>
            <w:tcW w:type="dxa" w:w="5227"/>
            <w:tcMar>
              <w:top w:w="70" w:type="dxa"/>
              <w:start w:w="90" w:type="dxa"/>
              <w:bottom w:w="70" w:type="dxa"/>
              <w:end w:w="90" w:type="dxa"/>
            </w:tcMar>
            <w:vAlign w:val="top"/>
          </w:tcPr>
          <w:p>
            <w:r>
              <w:t>October 17, 2026</w:t>
            </w:r>
          </w:p>
        </w:tc>
      </w:tr>
      <w:tr>
        <w:tc>
          <w:tcPr>
            <w:tcW w:type="dxa" w:w="5227"/>
            <w:tcMar>
              <w:top w:w="70" w:type="dxa"/>
              <w:start w:w="90" w:type="dxa"/>
              <w:bottom w:w="70" w:type="dxa"/>
              <w:end w:w="90" w:type="dxa"/>
            </w:tcMar>
            <w:vAlign w:val="top"/>
          </w:tcPr>
          <w:p>
            <w:pPr>
              <w:spacing w:after="20"/>
            </w:pPr>
            <w:r>
              <w:rPr>
                <w:sz w:val="17"/>
              </w:rPr>
              <w:t>GitHub repository</w:t>
            </w:r>
          </w:p>
        </w:tc>
        <w:tc>
          <w:tcPr>
            <w:tcW w:type="dxa" w:w="5227"/>
            <w:tcMar>
              <w:top w:w="70" w:type="dxa"/>
              <w:start w:w="90" w:type="dxa"/>
              <w:bottom w:w="70" w:type="dxa"/>
              <w:end w:w="90" w:type="dxa"/>
            </w:tcMar>
            <w:vAlign w:val="top"/>
          </w:tcPr>
          <w:p>
            <w:r>
              <w:t>kh4214/MASY1800-ET-Agent-Lab</w:t>
            </w:r>
          </w:p>
        </w:tc>
      </w:tr>
      <w:tr>
        <w:tc>
          <w:tcPr>
            <w:tcW w:type="dxa" w:w="5227"/>
            <w:tcMar>
              <w:top w:w="70" w:type="dxa"/>
              <w:start w:w="90" w:type="dxa"/>
              <w:bottom w:w="70" w:type="dxa"/>
              <w:end w:w="90" w:type="dxa"/>
            </w:tcMar>
            <w:vAlign w:val="top"/>
          </w:tcPr>
          <w:p>
            <w:pPr>
              <w:spacing w:after="20"/>
            </w:pPr>
            <w:r>
              <w:rPr>
                <w:sz w:val="17"/>
              </w:rPr>
              <w:t>Branch</w:t>
            </w:r>
          </w:p>
        </w:tc>
        <w:tc>
          <w:tcPr>
            <w:tcW w:type="dxa" w:w="5227"/>
            <w:tcMar>
              <w:top w:w="70" w:type="dxa"/>
              <w:start w:w="90" w:type="dxa"/>
              <w:bottom w:w="70" w:type="dxa"/>
              <w:end w:w="90" w:type="dxa"/>
            </w:tcMar>
            <w:vAlign w:val="top"/>
          </w:tcPr>
          <w:p>
            <w:r>
              <w:t>lab5-innovation-diffusion</w:t>
            </w:r>
          </w:p>
        </w:tc>
      </w:tr>
      <w:tr>
        <w:tc>
          <w:tcPr>
            <w:tcW w:type="dxa" w:w="5227"/>
            <w:tcMar>
              <w:top w:w="70" w:type="dxa"/>
              <w:start w:w="90" w:type="dxa"/>
              <w:bottom w:w="70" w:type="dxa"/>
              <w:end w:w="90" w:type="dxa"/>
            </w:tcMar>
            <w:vAlign w:val="top"/>
          </w:tcPr>
          <w:p>
            <w:pPr>
              <w:spacing w:after="20"/>
            </w:pPr>
            <w:r>
              <w:rPr>
                <w:sz w:val="17"/>
              </w:rPr>
              <w:t>Commit</w:t>
            </w:r>
          </w:p>
        </w:tc>
        <w:tc>
          <w:tcPr>
            <w:tcW w:type="dxa" w:w="5227"/>
            <w:tcMar>
              <w:top w:w="70" w:type="dxa"/>
              <w:start w:w="90" w:type="dxa"/>
              <w:bottom w:w="70" w:type="dxa"/>
              <w:end w:w="90" w:type="dxa"/>
            </w:tcMar>
            <w:vAlign w:val="top"/>
          </w:tcPr>
          <w:p>
            <w:r>
              <w:t>See final Git commit after submission preparation</w:t>
            </w:r>
          </w:p>
        </w:tc>
      </w:tr>
      <w:tr>
        <w:tc>
          <w:tcPr>
            <w:tcW w:type="dxa" w:w="5227"/>
            <w:tcMar>
              <w:top w:w="70" w:type="dxa"/>
              <w:start w:w="90" w:type="dxa"/>
              <w:bottom w:w="70" w:type="dxa"/>
              <w:end w:w="90" w:type="dxa"/>
            </w:tcMar>
            <w:vAlign w:val="top"/>
          </w:tcPr>
          <w:p>
            <w:pPr>
              <w:spacing w:after="20"/>
            </w:pPr>
            <w:r>
              <w:rPr>
                <w:sz w:val="17"/>
              </w:rPr>
              <w:t>Frozen scaffold version</w:t>
            </w:r>
          </w:p>
        </w:tc>
        <w:tc>
          <w:tcPr>
            <w:tcW w:type="dxa" w:w="5227"/>
            <w:tcMar>
              <w:top w:w="70" w:type="dxa"/>
              <w:start w:w="90" w:type="dxa"/>
              <w:bottom w:w="70" w:type="dxa"/>
              <w:end w:w="90" w:type="dxa"/>
            </w:tcMar>
            <w:vAlign w:val="top"/>
          </w:tcPr>
          <w:p>
            <w:pPr>
              <w:spacing w:after="20"/>
            </w:pPr>
            <w:r>
              <w:rPr>
                <w:sz w:val="17"/>
              </w:rPr>
              <w:t>MASY1800_ET_Agent_Scaffold_v1_0</w:t>
            </w:r>
          </w:p>
        </w:tc>
      </w:tr>
    </w:tbl>
    <w:p>
      <w:pPr>
        <w:pStyle w:val="Heading1"/>
      </w:pPr>
      <w:r>
        <w:t>B. Specialist Purpose and Context</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Governing analytical question</w:t>
            </w:r>
          </w:p>
        </w:tc>
        <w:tc>
          <w:tcPr>
            <w:tcW w:type="dxa" w:w="5227"/>
            <w:tcMar>
              <w:top w:w="70" w:type="dxa"/>
              <w:start w:w="90" w:type="dxa"/>
              <w:bottom w:w="70" w:type="dxa"/>
              <w:end w:w="90" w:type="dxa"/>
            </w:tcMar>
            <w:vAlign w:val="top"/>
          </w:tcPr>
          <w:p>
            <w:r>
              <w:t>What do diffusion evidence and organizational context imply about timing for a controlled learning activity, without deciding whether to adopt?</w:t>
            </w:r>
          </w:p>
        </w:tc>
      </w:tr>
      <w:tr>
        <w:tc>
          <w:tcPr>
            <w:tcW w:type="dxa" w:w="5227"/>
            <w:tcMar>
              <w:top w:w="70" w:type="dxa"/>
              <w:start w:w="90" w:type="dxa"/>
              <w:bottom w:w="70" w:type="dxa"/>
              <w:end w:w="90" w:type="dxa"/>
            </w:tcMar>
            <w:vAlign w:val="top"/>
          </w:tcPr>
          <w:p>
            <w:pPr>
              <w:spacing w:after="20"/>
            </w:pPr>
            <w:r>
              <w:rPr>
                <w:sz w:val="17"/>
              </w:rPr>
              <w:t>Emerging technology</w:t>
            </w:r>
          </w:p>
        </w:tc>
        <w:tc>
          <w:tcPr>
            <w:tcW w:type="dxa" w:w="5227"/>
            <w:tcMar>
              <w:top w:w="70" w:type="dxa"/>
              <w:start w:w="90" w:type="dxa"/>
              <w:bottom w:w="70" w:type="dxa"/>
              <w:end w:w="90" w:type="dxa"/>
            </w:tcMar>
            <w:vAlign w:val="top"/>
          </w:tcPr>
          <w:p>
            <w:r>
              <w:t>LLM Coding Assistants</w:t>
            </w:r>
          </w:p>
        </w:tc>
      </w:tr>
      <w:tr>
        <w:tc>
          <w:tcPr>
            <w:tcW w:type="dxa" w:w="5227"/>
            <w:tcMar>
              <w:top w:w="70" w:type="dxa"/>
              <w:start w:w="90" w:type="dxa"/>
              <w:bottom w:w="70" w:type="dxa"/>
              <w:end w:w="90" w:type="dxa"/>
            </w:tcMar>
            <w:vAlign w:val="top"/>
          </w:tcPr>
          <w:p>
            <w:pPr>
              <w:spacing w:after="20"/>
            </w:pPr>
            <w:r>
              <w:rPr>
                <w:sz w:val="17"/>
              </w:rPr>
              <w:t>Intended application</w:t>
            </w:r>
          </w:p>
        </w:tc>
        <w:tc>
          <w:tcPr>
            <w:tcW w:type="dxa" w:w="5227"/>
            <w:tcMar>
              <w:top w:w="70" w:type="dxa"/>
              <w:start w:w="90" w:type="dxa"/>
              <w:bottom w:w="70" w:type="dxa"/>
              <w:end w:w="90" w:type="dxa"/>
            </w:tcMar>
            <w:vAlign w:val="top"/>
          </w:tcPr>
          <w:p>
            <w:r>
              <w:t>Code generation, unit testing, debugging, and related engineering assistance</w:t>
            </w:r>
          </w:p>
        </w:tc>
      </w:tr>
      <w:tr>
        <w:tc>
          <w:tcPr>
            <w:tcW w:type="dxa" w:w="5227"/>
            <w:tcMar>
              <w:top w:w="70" w:type="dxa"/>
              <w:start w:w="90" w:type="dxa"/>
              <w:bottom w:w="70" w:type="dxa"/>
              <w:end w:w="90" w:type="dxa"/>
            </w:tcMar>
            <w:vAlign w:val="top"/>
          </w:tcPr>
          <w:p>
            <w:pPr>
              <w:spacing w:after="20"/>
            </w:pPr>
            <w:r>
              <w:rPr>
                <w:sz w:val="17"/>
              </w:rPr>
              <w:t>Organization / industry</w:t>
            </w:r>
          </w:p>
        </w:tc>
        <w:tc>
          <w:tcPr>
            <w:tcW w:type="dxa" w:w="5227"/>
            <w:tcMar>
              <w:top w:w="70" w:type="dxa"/>
              <w:start w:w="90" w:type="dxa"/>
              <w:bottom w:w="70" w:type="dxa"/>
              <w:end w:w="90" w:type="dxa"/>
            </w:tcMar>
            <w:vAlign w:val="top"/>
          </w:tcPr>
          <w:p>
            <w:r>
              <w:t>Mature business-workflow SaaS company; approximately 1,000 employees</w:t>
            </w:r>
          </w:p>
        </w:tc>
      </w:tr>
      <w:tr>
        <w:tc>
          <w:tcPr>
            <w:tcW w:type="dxa" w:w="5227"/>
            <w:tcMar>
              <w:top w:w="70" w:type="dxa"/>
              <w:start w:w="90" w:type="dxa"/>
              <w:bottom w:w="70" w:type="dxa"/>
              <w:end w:w="90" w:type="dxa"/>
            </w:tcMar>
            <w:vAlign w:val="top"/>
          </w:tcPr>
          <w:p>
            <w:pPr>
              <w:spacing w:after="20"/>
            </w:pPr>
            <w:r>
              <w:rPr>
                <w:sz w:val="17"/>
              </w:rPr>
              <w:t>Adoption posture</w:t>
            </w:r>
          </w:p>
        </w:tc>
        <w:tc>
          <w:tcPr>
            <w:tcW w:type="dxa" w:w="5227"/>
            <w:tcMar>
              <w:top w:w="70" w:type="dxa"/>
              <w:start w:w="90" w:type="dxa"/>
              <w:bottom w:w="70" w:type="dxa"/>
              <w:end w:w="90" w:type="dxa"/>
            </w:tcMar>
            <w:vAlign w:val="top"/>
          </w:tcPr>
          <w:p>
            <w:r>
              <w:t>Primary: conservative. Contrast: proactive willingness for earlier bounded pilots.</w:t>
            </w:r>
          </w:p>
        </w:tc>
      </w:tr>
      <w:tr>
        <w:tc>
          <w:tcPr>
            <w:tcW w:type="dxa" w:w="5227"/>
            <w:tcMar>
              <w:top w:w="70" w:type="dxa"/>
              <w:start w:w="90" w:type="dxa"/>
              <w:bottom w:w="70" w:type="dxa"/>
              <w:end w:w="90" w:type="dxa"/>
            </w:tcMar>
            <w:vAlign w:val="top"/>
          </w:tcPr>
          <w:p>
            <w:pPr>
              <w:spacing w:after="20"/>
            </w:pPr>
            <w:r>
              <w:rPr>
                <w:sz w:val="17"/>
              </w:rPr>
              <w:t>Risk / consequence context</w:t>
            </w:r>
          </w:p>
        </w:tc>
        <w:tc>
          <w:tcPr>
            <w:tcW w:type="dxa" w:w="5227"/>
            <w:tcMar>
              <w:top w:w="70" w:type="dxa"/>
              <w:start w:w="90" w:type="dxa"/>
              <w:bottom w:w="70" w:type="dxa"/>
              <w:end w:w="90" w:type="dxa"/>
            </w:tcMar>
            <w:vAlign w:val="top"/>
          </w:tcPr>
          <w:p>
            <w:r>
              <w:t>Defects, insecure patterns, data/IP concerns, and SaaS reliability incidents; human review and CI/CD remain required.</w:t>
            </w:r>
          </w:p>
        </w:tc>
      </w:tr>
      <w:tr>
        <w:tc>
          <w:tcPr>
            <w:tcW w:type="dxa" w:w="5227"/>
            <w:tcMar>
              <w:top w:w="70" w:type="dxa"/>
              <w:start w:w="90" w:type="dxa"/>
              <w:bottom w:w="70" w:type="dxa"/>
              <w:end w:w="90" w:type="dxa"/>
            </w:tcMar>
            <w:vAlign w:val="top"/>
          </w:tcPr>
          <w:p>
            <w:pPr>
              <w:spacing w:after="20"/>
            </w:pPr>
            <w:r>
              <w:rPr>
                <w:sz w:val="17"/>
              </w:rPr>
              <w:t>Management question / time horizon</w:t>
            </w:r>
          </w:p>
        </w:tc>
        <w:tc>
          <w:tcPr>
            <w:tcW w:type="dxa" w:w="5227"/>
            <w:tcMar>
              <w:top w:w="70" w:type="dxa"/>
              <w:start w:w="90" w:type="dxa"/>
              <w:bottom w:w="70" w:type="dxa"/>
              <w:end w:w="90" w:type="dxa"/>
            </w:tcMar>
            <w:vAlign w:val="top"/>
          </w:tcPr>
          <w:p>
            <w:r>
              <w:t>Timing/design of a controlled learning activity; 6-12 months.</w:t>
            </w:r>
          </w:p>
        </w:tc>
      </w:tr>
    </w:tbl>
    <w:p>
      <w:pPr>
        <w:pStyle w:val="Heading1"/>
      </w:pPr>
      <w:r>
        <w:t>C. Three-Level Finding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ET generally</w:t>
            </w:r>
          </w:p>
        </w:tc>
        <w:tc>
          <w:tcPr>
            <w:tcW w:type="dxa" w:w="5227"/>
            <w:tcMar>
              <w:top w:w="70" w:type="dxa"/>
              <w:start w:w="90" w:type="dxa"/>
              <w:bottom w:w="70" w:type="dxa"/>
              <w:end w:w="90" w:type="dxa"/>
            </w:tcMar>
            <w:vAlign w:val="top"/>
          </w:tcPr>
          <w:p>
            <w:r>
              <w:t>High awareness and active individual use are supported in surveyed developer populations, but not a common Rogers category or sustained enterprise deployment rate. Trialability is the strongest driver; uncertain task-level value/trust is the strongest barrier.</w:t>
            </w:r>
          </w:p>
        </w:tc>
      </w:tr>
      <w:tr>
        <w:tc>
          <w:tcPr>
            <w:tcW w:type="dxa" w:w="5227"/>
            <w:tcMar>
              <w:top w:w="70" w:type="dxa"/>
              <w:start w:w="90" w:type="dxa"/>
              <w:bottom w:w="70" w:type="dxa"/>
              <w:end w:w="90" w:type="dxa"/>
            </w:tcMar>
            <w:vAlign w:val="top"/>
          </w:tcPr>
          <w:p>
            <w:pPr>
              <w:spacing w:after="20"/>
            </w:pPr>
            <w:r>
              <w:rPr>
                <w:sz w:val="17"/>
              </w:rPr>
              <w:t>ET for this application</w:t>
            </w:r>
          </w:p>
        </w:tc>
        <w:tc>
          <w:tcPr>
            <w:tcW w:type="dxa" w:w="5227"/>
            <w:tcMar>
              <w:top w:w="70" w:type="dxa"/>
              <w:start w:w="90" w:type="dxa"/>
              <w:bottom w:w="70" w:type="dxa"/>
              <w:end w:w="90" w:type="dxa"/>
            </w:tcMar>
            <w:vAlign w:val="top"/>
          </w:tcPr>
          <w:p>
            <w:r>
              <w:t>Assess value using review effort, defects, security findings, test effectiveness, and delivery outcomes; generated output is not approved code.</w:t>
            </w:r>
          </w:p>
        </w:tc>
      </w:tr>
      <w:tr>
        <w:tc>
          <w:tcPr>
            <w:tcW w:type="dxa" w:w="5227"/>
            <w:tcMar>
              <w:top w:w="70" w:type="dxa"/>
              <w:start w:w="90" w:type="dxa"/>
              <w:bottom w:w="70" w:type="dxa"/>
              <w:end w:w="90" w:type="dxa"/>
            </w:tcMar>
            <w:vAlign w:val="top"/>
          </w:tcPr>
          <w:p>
            <w:pPr>
              <w:spacing w:after="20"/>
            </w:pPr>
            <w:r>
              <w:rPr>
                <w:sz w:val="17"/>
              </w:rPr>
              <w:t>ET for this application in this organization</w:t>
            </w:r>
          </w:p>
        </w:tc>
        <w:tc>
          <w:tcPr>
            <w:tcW w:type="dxa" w:w="5227"/>
            <w:tcMar>
              <w:top w:w="70" w:type="dxa"/>
              <w:start w:w="90" w:type="dxa"/>
              <w:bottom w:w="70" w:type="dxa"/>
              <w:end w:w="90" w:type="dxa"/>
            </w:tcMar>
            <w:vAlign w:val="top"/>
          </w:tcPr>
          <w:p>
            <w:r>
              <w:t>Conservative posture: policy and baselines before a bounded pilot. Proactive contrast: same controls before an earlier bounded pilot. General/application findings remain stable.</w:t>
            </w:r>
          </w:p>
        </w:tc>
      </w:tr>
      <w:tr>
        <w:tc>
          <w:tcPr>
            <w:tcW w:type="dxa" w:w="5227"/>
            <w:tcMar>
              <w:top w:w="70" w:type="dxa"/>
              <w:start w:w="90" w:type="dxa"/>
              <w:bottom w:w="70" w:type="dxa"/>
              <w:end w:w="90" w:type="dxa"/>
            </w:tcMar>
            <w:vAlign w:val="top"/>
          </w:tcPr>
          <w:p>
            <w:pPr>
              <w:spacing w:after="20"/>
            </w:pPr>
            <w:r>
              <w:rPr>
                <w:sz w:val="17"/>
              </w:rPr>
              <w:t>Bounded management implication</w:t>
            </w:r>
          </w:p>
        </w:tc>
        <w:tc>
          <w:tcPr>
            <w:tcW w:type="dxa" w:w="5227"/>
            <w:tcMar>
              <w:top w:w="70" w:type="dxa"/>
              <w:start w:w="90" w:type="dxa"/>
              <w:bottom w:w="70" w:type="dxa"/>
              <w:end w:w="90" w:type="dxa"/>
            </w:tcMar>
            <w:vAlign w:val="top"/>
          </w:tcPr>
          <w:p>
            <w:r>
              <w:t>This agent does not make a final procurement or adoption decision. It identifies a reversible learning option and later decision inputs.</w:t>
            </w:r>
          </w:p>
        </w:tc>
      </w:tr>
      <w:tr>
        <w:tc>
          <w:tcPr>
            <w:tcW w:type="dxa" w:w="5227"/>
            <w:tcMar>
              <w:top w:w="70" w:type="dxa"/>
              <w:start w:w="90" w:type="dxa"/>
              <w:bottom w:w="70" w:type="dxa"/>
              <w:end w:w="90" w:type="dxa"/>
            </w:tcMar>
            <w:vAlign w:val="top"/>
          </w:tcPr>
          <w:p>
            <w:pPr>
              <w:spacing w:after="20"/>
            </w:pPr>
            <w:r>
              <w:rPr>
                <w:sz w:val="17"/>
              </w:rPr>
              <w:t>Confidence / uncertainty</w:t>
            </w:r>
          </w:p>
        </w:tc>
        <w:tc>
          <w:tcPr>
            <w:tcW w:type="dxa" w:w="5227"/>
            <w:tcMar>
              <w:top w:w="70" w:type="dxa"/>
              <w:start w:w="90" w:type="dxa"/>
              <w:bottom w:w="70" w:type="dxa"/>
              <w:end w:w="90" w:type="dxa"/>
            </w:tcMar>
            <w:vAlign w:val="top"/>
          </w:tcPr>
          <w:p>
            <w:r>
              <w:t>Moderate for widespread surveyed active use; high that this does not prove sustained enterprise adoption. Local value is uncertain without baselines and controls.</w:t>
            </w:r>
          </w:p>
        </w:tc>
      </w:tr>
      <w:tr>
        <w:tc>
          <w:tcPr>
            <w:tcW w:type="dxa" w:w="5227"/>
            <w:tcMar>
              <w:top w:w="70" w:type="dxa"/>
              <w:start w:w="90" w:type="dxa"/>
              <w:bottom w:w="70" w:type="dxa"/>
              <w:end w:w="90" w:type="dxa"/>
            </w:tcMar>
            <w:vAlign w:val="top"/>
          </w:tcPr>
          <w:p>
            <w:pPr>
              <w:spacing w:after="20"/>
            </w:pPr>
            <w:r>
              <w:rPr>
                <w:sz w:val="17"/>
              </w:rPr>
              <w:t>What evidence or condition would change the conclusion</w:t>
            </w:r>
          </w:p>
        </w:tc>
        <w:tc>
          <w:tcPr>
            <w:tcW w:type="dxa" w:w="5227"/>
            <w:tcMar>
              <w:top w:w="70" w:type="dxa"/>
              <w:start w:w="90" w:type="dxa"/>
              <w:bottom w:w="70" w:type="dxa"/>
              <w:end w:w="90" w:type="dxa"/>
            </w:tcMar>
            <w:vAlign w:val="top"/>
          </w:tcPr>
          <w:p>
            <w:r>
              <w:t>Pilot results by task type; vendor/model and data terms; security/legal review; local baselines; reproducible evidence on mature-codebase quality and productivity.</w:t>
            </w:r>
          </w:p>
        </w:tc>
      </w:tr>
    </w:tbl>
    <w:p>
      <w:pPr>
        <w:pStyle w:val="Heading1"/>
      </w:pPr>
      <w:r>
        <w:t>D. Evidence and Testing</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Most important evidence/source(s)</w:t>
            </w:r>
          </w:p>
        </w:tc>
        <w:tc>
          <w:tcPr>
            <w:tcW w:type="dxa" w:w="5227"/>
            <w:tcMar>
              <w:top w:w="70" w:type="dxa"/>
              <w:start w:w="90" w:type="dxa"/>
              <w:bottom w:w="70" w:type="dxa"/>
              <w:end w:w="90" w:type="dxa"/>
            </w:tcMar>
            <w:vAlign w:val="top"/>
          </w:tcPr>
          <w:p>
            <w:r>
              <w:t>Stack Overflow 2024 developer survey; GitHub 2023 survey (vendor-sponsored; 500 U.S. developers at 1,000+ employee companies); METR July 2025 randomized mature-repository study.</w:t>
            </w:r>
          </w:p>
        </w:tc>
      </w:tr>
      <w:tr>
        <w:tc>
          <w:tcPr>
            <w:tcW w:type="dxa" w:w="5227"/>
            <w:tcMar>
              <w:top w:w="70" w:type="dxa"/>
              <w:start w:w="90" w:type="dxa"/>
              <w:bottom w:w="70" w:type="dxa"/>
              <w:end w:w="90" w:type="dxa"/>
            </w:tcMar>
            <w:vAlign w:val="top"/>
          </w:tcPr>
          <w:p>
            <w:pPr>
              <w:spacing w:after="20"/>
            </w:pPr>
            <w:r>
              <w:rPr>
                <w:sz w:val="17"/>
              </w:rPr>
              <w:t>Primary test - result</w:t>
            </w:r>
          </w:p>
        </w:tc>
        <w:tc>
          <w:tcPr>
            <w:tcW w:type="dxa" w:w="5227"/>
            <w:tcMar>
              <w:top w:w="70" w:type="dxa"/>
              <w:start w:w="90" w:type="dxa"/>
              <w:bottom w:w="70" w:type="dxa"/>
              <w:end w:w="90" w:type="dxa"/>
            </w:tcMar>
            <w:vAlign w:val="top"/>
          </w:tcPr>
          <w:p>
            <w:r>
              <w:t>Prompt built; independently executed in active Codex session; response saved as JSON; scaffold validator passed.</w:t>
            </w:r>
          </w:p>
        </w:tc>
      </w:tr>
      <w:tr>
        <w:tc>
          <w:tcPr>
            <w:tcW w:type="dxa" w:w="5227"/>
            <w:tcMar>
              <w:top w:w="70" w:type="dxa"/>
              <w:start w:w="90" w:type="dxa"/>
              <w:bottom w:w="70" w:type="dxa"/>
              <w:end w:w="90" w:type="dxa"/>
            </w:tcMar>
            <w:vAlign w:val="top"/>
          </w:tcPr>
          <w:p>
            <w:pPr>
              <w:spacing w:after="20"/>
            </w:pPr>
            <w:r>
              <w:rPr>
                <w:sz w:val="17"/>
              </w:rPr>
              <w:t>Contrast test - what appropriately stayed stable</w:t>
            </w:r>
          </w:p>
        </w:tc>
        <w:tc>
          <w:tcPr>
            <w:tcW w:type="dxa" w:w="5227"/>
            <w:tcMar>
              <w:top w:w="70" w:type="dxa"/>
              <w:start w:w="90" w:type="dxa"/>
              <w:bottom w:w="70" w:type="dxa"/>
              <w:end w:w="90" w:type="dxa"/>
            </w:tcMar>
            <w:vAlign w:val="top"/>
          </w:tcPr>
          <w:p>
            <w:r>
              <w:t>General diffusion/application findings, evidence, limitations, and safeguards.</w:t>
            </w:r>
          </w:p>
        </w:tc>
      </w:tr>
      <w:tr>
        <w:tc>
          <w:tcPr>
            <w:tcW w:type="dxa" w:w="5227"/>
            <w:tcMar>
              <w:top w:w="70" w:type="dxa"/>
              <w:start w:w="90" w:type="dxa"/>
              <w:bottom w:w="70" w:type="dxa"/>
              <w:end w:w="90" w:type="dxa"/>
            </w:tcMar>
            <w:vAlign w:val="top"/>
          </w:tcPr>
          <w:p>
            <w:pPr>
              <w:spacing w:after="20"/>
            </w:pPr>
            <w:r>
              <w:rPr>
                <w:sz w:val="17"/>
              </w:rPr>
              <w:t>Contrast test - what appropriately changed</w:t>
            </w:r>
          </w:p>
        </w:tc>
        <w:tc>
          <w:tcPr>
            <w:tcW w:type="dxa" w:w="5227"/>
            <w:tcMar>
              <w:top w:w="70" w:type="dxa"/>
              <w:start w:w="90" w:type="dxa"/>
              <w:bottom w:w="70" w:type="dxa"/>
              <w:end w:w="90" w:type="dxa"/>
            </w:tcMar>
            <w:vAlign w:val="top"/>
          </w:tcPr>
          <w:p>
            <w:r>
              <w:t>Only timing: proactive posture supports an earlier bounded pilot; conservative posture requires more preparation first.</w:t>
            </w:r>
          </w:p>
        </w:tc>
      </w:tr>
      <w:tr>
        <w:tc>
          <w:tcPr>
            <w:tcW w:type="dxa" w:w="5227"/>
            <w:tcMar>
              <w:top w:w="70" w:type="dxa"/>
              <w:start w:w="90" w:type="dxa"/>
              <w:bottom w:w="70" w:type="dxa"/>
              <w:end w:w="90" w:type="dxa"/>
            </w:tcMar>
            <w:vAlign w:val="top"/>
          </w:tcPr>
          <w:p>
            <w:pPr>
              <w:spacing w:after="20"/>
            </w:pPr>
            <w:r>
              <w:rPr>
                <w:sz w:val="17"/>
              </w:rPr>
              <w:t>Weakness/failure found</w:t>
            </w:r>
          </w:p>
        </w:tc>
        <w:tc>
          <w:tcPr>
            <w:tcW w:type="dxa" w:w="5227"/>
            <w:tcMar>
              <w:top w:w="70" w:type="dxa"/>
              <w:start w:w="90" w:type="dxa"/>
              <w:bottom w:w="70" w:type="dxa"/>
              <w:end w:w="90" w:type="dxa"/>
            </w:tcMar>
            <w:vAlign w:val="top"/>
          </w:tcPr>
          <w:p>
            <w:r>
              <w:t>High survey use cannot prove early-majority status or sustained enterprise deployment. GitHub's 92% includes work or personal use.</w:t>
            </w:r>
          </w:p>
        </w:tc>
      </w:tr>
      <w:tr>
        <w:tc>
          <w:tcPr>
            <w:tcW w:type="dxa" w:w="5227"/>
            <w:tcMar>
              <w:top w:w="70" w:type="dxa"/>
              <w:start w:w="90" w:type="dxa"/>
              <w:bottom w:w="70" w:type="dxa"/>
              <w:end w:w="90" w:type="dxa"/>
            </w:tcMar>
            <w:vAlign w:val="top"/>
          </w:tcPr>
          <w:p>
            <w:pPr>
              <w:spacing w:after="20"/>
            </w:pPr>
            <w:r>
              <w:rPr>
                <w:sz w:val="17"/>
              </w:rPr>
              <w:t>Revision made and why</w:t>
            </w:r>
          </w:p>
        </w:tc>
        <w:tc>
          <w:tcPr>
            <w:tcW w:type="dxa" w:w="5227"/>
            <w:tcMar>
              <w:top w:w="70" w:type="dxa"/>
              <w:start w:w="90" w:type="dxa"/>
              <w:bottom w:w="70" w:type="dxa"/>
              <w:end w:w="90" w:type="dxa"/>
            </w:tcMar>
            <w:vAlign w:val="top"/>
          </w:tcPr>
          <w:p>
            <w:r>
              <w:t>Version 0.2 instructions explicitly separate awareness, experimentation, active use, enterprise deployment, and sustained adoption to prevent survey overstatement.</w:t>
            </w:r>
          </w:p>
        </w:tc>
      </w:tr>
      <w:tr>
        <w:tc>
          <w:tcPr>
            <w:tcW w:type="dxa" w:w="5227"/>
            <w:tcMar>
              <w:top w:w="70" w:type="dxa"/>
              <w:start w:w="90" w:type="dxa"/>
              <w:bottom w:w="70" w:type="dxa"/>
              <w:end w:w="90" w:type="dxa"/>
            </w:tcMar>
            <w:vAlign w:val="top"/>
          </w:tcPr>
          <w:p>
            <w:pPr>
              <w:spacing w:after="20"/>
            </w:pPr>
            <w:r>
              <w:rPr>
                <w:sz w:val="17"/>
              </w:rPr>
              <w:t>Remaining limitation / abstention condition</w:t>
            </w:r>
          </w:p>
        </w:tc>
        <w:tc>
          <w:tcPr>
            <w:tcW w:type="dxa" w:w="5227"/>
            <w:tcMar>
              <w:top w:w="70" w:type="dxa"/>
              <w:start w:w="90" w:type="dxa"/>
              <w:bottom w:w="70" w:type="dxa"/>
              <w:end w:w="90" w:type="dxa"/>
            </w:tcMar>
            <w:vAlign w:val="top"/>
          </w:tcPr>
          <w:p>
            <w:r>
              <w:t>Missing provider/model, code-data policy, repository scope, local baseline, legal/IP review, and security capacity. Structural validation does not verify evidence accuracy.</w:t>
            </w:r>
          </w:p>
        </w:tc>
      </w:tr>
    </w:tbl>
    <w:p>
      <w:pPr>
        <w:pStyle w:val="Heading1"/>
      </w:pPr>
      <w:r>
        <w:t>E. Independent Judgment and Handoff</w:t>
      </w:r>
    </w:p>
    <w:tbl>
      <w:tblPr>
        <w:tblStyle w:val="TableGrid"/>
        <w:tblW w:type="auto" w:w="0"/>
        <w:jc w:val="center"/>
        <w:tblLayout w:type="autofit"/>
        <w:tblLook w:firstColumn="1" w:firstRow="1" w:lastColumn="0" w:lastRow="0" w:noHBand="0" w:noVBand="1" w:val="04A0"/>
      </w:tblPr>
      <w:tblGrid>
        <w:gridCol w:w="5227"/>
        <w:gridCol w:w="5227"/>
      </w:tblGrid>
      <w:tr>
        <w:tc>
          <w:tcPr>
            <w:tcW w:type="dxa" w:w="5227"/>
            <w:tcMar>
              <w:top w:w="70" w:type="dxa"/>
              <w:start w:w="90" w:type="dxa"/>
              <w:bottom w:w="70" w:type="dxa"/>
              <w:end w:w="90" w:type="dxa"/>
            </w:tcMar>
            <w:vAlign w:val="top"/>
            <w:shd w:fill="57068C"/>
          </w:tcPr>
          <w:p>
            <w:pPr>
              <w:spacing w:after="20"/>
            </w:pPr>
            <w:r>
              <w:rPr>
                <w:b/>
                <w:color w:val="FFFFFF"/>
                <w:sz w:val="17"/>
              </w:rPr>
              <w:t>Field</w:t>
            </w:r>
          </w:p>
        </w:tc>
        <w:tc>
          <w:tcPr>
            <w:tcW w:type="dxa" w:w="5227"/>
            <w:tcMar>
              <w:top w:w="70" w:type="dxa"/>
              <w:start w:w="90" w:type="dxa"/>
              <w:bottom w:w="70" w:type="dxa"/>
              <w:end w:w="90" w:type="dxa"/>
            </w:tcMar>
            <w:vAlign w:val="top"/>
            <w:shd w:fill="57068C"/>
          </w:tcPr>
          <w:p>
            <w:pPr>
              <w:spacing w:after="20"/>
            </w:pPr>
            <w:r>
              <w:rPr>
                <w:b/>
                <w:color w:val="FFFFFF"/>
                <w:sz w:val="17"/>
              </w:rPr>
              <w:t>Student record</w:t>
            </w:r>
          </w:p>
        </w:tc>
      </w:tr>
      <w:tr>
        <w:tc>
          <w:tcPr>
            <w:tcW w:type="dxa" w:w="5227"/>
            <w:tcMar>
              <w:top w:w="70" w:type="dxa"/>
              <w:start w:w="90" w:type="dxa"/>
              <w:bottom w:w="70" w:type="dxa"/>
              <w:end w:w="90" w:type="dxa"/>
            </w:tcMar>
            <w:vAlign w:val="top"/>
          </w:tcPr>
          <w:p>
            <w:pPr>
              <w:spacing w:after="20"/>
            </w:pPr>
            <w:r>
              <w:rPr>
                <w:sz w:val="17"/>
              </w:rPr>
              <w:t>Is the agent credible enough for team consideration? Why?</w:t>
            </w:r>
          </w:p>
        </w:tc>
        <w:tc>
          <w:tcPr>
            <w:tcW w:type="dxa" w:w="5227"/>
            <w:tcMar>
              <w:top w:w="70" w:type="dxa"/>
              <w:start w:w="90" w:type="dxa"/>
              <w:bottom w:w="70" w:type="dxa"/>
              <w:end w:w="90" w:type="dxa"/>
            </w:tcMar>
            <w:vAlign w:val="top"/>
          </w:tcPr>
          <w:p>
            <w:r>
              <w:t>REQUIRES STUDENT COMPLETION: provide your independent judgment after reviewing the evidence and test outputs.</w:t>
            </w:r>
          </w:p>
        </w:tc>
      </w:tr>
      <w:tr>
        <w:tc>
          <w:tcPr>
            <w:tcW w:type="dxa" w:w="5227"/>
            <w:tcMar>
              <w:top w:w="70" w:type="dxa"/>
              <w:start w:w="90" w:type="dxa"/>
              <w:bottom w:w="70" w:type="dxa"/>
              <w:end w:w="90" w:type="dxa"/>
            </w:tcMar>
            <w:vAlign w:val="top"/>
          </w:tcPr>
          <w:p>
            <w:pPr>
              <w:spacing w:after="20"/>
            </w:pPr>
            <w:r>
              <w:rPr>
                <w:sz w:val="17"/>
              </w:rPr>
              <w:t>Most important recommendation to the team</w:t>
            </w:r>
          </w:p>
        </w:tc>
        <w:tc>
          <w:tcPr>
            <w:tcW w:type="dxa" w:w="5227"/>
            <w:tcMar>
              <w:top w:w="70" w:type="dxa"/>
              <w:start w:w="90" w:type="dxa"/>
              <w:bottom w:w="70" w:type="dxa"/>
              <w:end w:w="90" w:type="dxa"/>
            </w:tcMar>
            <w:vAlign w:val="top"/>
          </w:tcPr>
          <w:p>
            <w:r>
              <w:t>Use this only as bounded diffusion input; obtain provider-specific security, legal, architecture, and operational analysis before any adoption decision.</w:t>
            </w:r>
          </w:p>
        </w:tc>
      </w:tr>
      <w:tr>
        <w:tc>
          <w:tcPr>
            <w:tcW w:type="dxa" w:w="5227"/>
            <w:tcMar>
              <w:top w:w="70" w:type="dxa"/>
              <w:start w:w="90" w:type="dxa"/>
              <w:bottom w:w="70" w:type="dxa"/>
              <w:end w:w="90" w:type="dxa"/>
            </w:tcMar>
            <w:vAlign w:val="top"/>
          </w:tcPr>
          <w:p>
            <w:pPr>
              <w:spacing w:after="20"/>
            </w:pPr>
            <w:r>
              <w:rPr>
                <w:sz w:val="17"/>
              </w:rPr>
              <w:t>AI / verification note</w:t>
            </w:r>
          </w:p>
        </w:tc>
        <w:tc>
          <w:tcPr>
            <w:tcW w:type="dxa" w:w="5227"/>
            <w:tcMar>
              <w:top w:w="70" w:type="dxa"/>
              <w:start w:w="90" w:type="dxa"/>
              <w:bottom w:w="70" w:type="dxa"/>
              <w:end w:w="90" w:type="dxa"/>
            </w:tcMar>
            <w:vAlign w:val="top"/>
          </w:tcPr>
          <w:p>
            <w:r>
              <w:t>Codex created the scaffolded agent, built/executed both prompt packets, validated output structure, and checked frozen core. Public source pages were consulted. Student must verify source fit and provide independent judgment/reflection.</w:t>
            </w:r>
          </w:p>
        </w:tc>
      </w:tr>
    </w:tbl>
    <w:sectPr w:rsidR="00630F3A" w:rsidSect="00034616">
      <w:headerReference w:type="default" r:id="rId8"/>
      <w:footerReference w:type="default" r:id="rId9"/>
      <w:pgSz w:w="12240" w:h="15840"/>
      <w:pgMar w:top="792" w:right="893" w:bottom="792"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834FE" w:rsidRDefault="00F834FE">
      <w:pPr>
        <w:spacing w:after="0" w:line="240" w:lineRule="auto"/>
        <w:rPr>
          <w:rFonts w:hint="eastAsia"/>
        </w:rPr>
      </w:pPr>
      <w:r>
        <w:separator/>
      </w:r>
    </w:p>
  </w:endnote>
  <w:endnote w:type="continuationSeparator" w:id="0">
    <w:p w:rsidR="00F834FE" w:rsidRDefault="00F834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iberation Sans">
    <w:altName w:val="Arial"/>
    <w:panose1 w:val="020B0604020202020204"/>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Footer"/>
      <w:jc w:val="center"/>
      <w:rPr>
        <w:rFonts w:hint="eastAsia"/>
      </w:rPr>
    </w:pPr>
    <w:r>
      <w:rPr>
        <w:color w:val="666666"/>
        <w:sz w:val="16"/>
      </w:rPr>
      <w:t>Specialist Agent Record Template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834FE" w:rsidRDefault="00F834FE">
      <w:pPr>
        <w:spacing w:after="0" w:line="240" w:lineRule="auto"/>
        <w:rPr>
          <w:rFonts w:hint="eastAsia"/>
        </w:rPr>
      </w:pPr>
      <w:r>
        <w:separator/>
      </w:r>
    </w:p>
  </w:footnote>
  <w:footnote w:type="continuationSeparator" w:id="0">
    <w:p w:rsidR="00F834FE" w:rsidRDefault="00F834FE">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30F3A" w:rsidRDefault="00000000">
    <w:pPr>
      <w:pStyle w:val="Header"/>
      <w:jc w:val="right"/>
      <w:rPr>
        <w:rFonts w:hint="eastAsia"/>
      </w:rPr>
    </w:pPr>
    <w:r>
      <w:rPr>
        <w:b/>
        <w:color w:val="57068C"/>
        <w:sz w:val="16"/>
      </w:rPr>
      <w:t>NYU SPS | MASY1-GC 1800 | EMERGING TECHNOLOGIES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2544149">
    <w:abstractNumId w:val="8"/>
  </w:num>
  <w:num w:numId="2" w16cid:durableId="1931616119">
    <w:abstractNumId w:val="6"/>
  </w:num>
  <w:num w:numId="3" w16cid:durableId="1238203996">
    <w:abstractNumId w:val="5"/>
  </w:num>
  <w:num w:numId="4" w16cid:durableId="1845591355">
    <w:abstractNumId w:val="4"/>
  </w:num>
  <w:num w:numId="5" w16cid:durableId="203055673">
    <w:abstractNumId w:val="7"/>
  </w:num>
  <w:num w:numId="6" w16cid:durableId="921061524">
    <w:abstractNumId w:val="3"/>
  </w:num>
  <w:num w:numId="7" w16cid:durableId="291711437">
    <w:abstractNumId w:val="2"/>
  </w:num>
  <w:num w:numId="8" w16cid:durableId="1521776730">
    <w:abstractNumId w:val="1"/>
  </w:num>
  <w:num w:numId="9" w16cid:durableId="14424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14B14"/>
    <w:rsid w:val="0029639D"/>
    <w:rsid w:val="00326F90"/>
    <w:rsid w:val="00630F3A"/>
    <w:rsid w:val="006E721C"/>
    <w:rsid w:val="00AA1D8D"/>
    <w:rsid w:val="00B47730"/>
    <w:rsid w:val="00CB0664"/>
    <w:rsid w:val="00F834F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C0CD959-1D97-D94F-BA39-D34FFBA87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Liberation Sans" w:hAnsi="Liberation Sans"/>
      <w:sz w:val="19"/>
    </w:rPr>
  </w:style>
  <w:style w:type="paragraph" w:styleId="Heading1">
    <w:name w:val="heading 1"/>
    <w:basedOn w:val="Normal"/>
    <w:next w:val="Normal"/>
    <w:link w:val="Heading1Char"/>
    <w:uiPriority w:val="9"/>
    <w:qFormat/>
    <w:rsid w:val="00FC693F"/>
    <w:pPr>
      <w:keepNext/>
      <w:keepLines/>
      <w:spacing w:after="160"/>
      <w:outlineLvl w:val="0"/>
    </w:pPr>
    <w:rPr>
      <w:rFonts w:asciiTheme="majorHAnsi" w:eastAsiaTheme="majorEastAsia" w:hAnsiTheme="majorHAnsi" w:cstheme="majorBidi"/>
      <w:b/>
      <w:bCs/>
      <w:color w:val="57068C"/>
      <w:sz w:val="34"/>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57068C"/>
      <w:sz w:val="25"/>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b/>
      <w:bCs/>
      <w:color w:val="25252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57068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80"/>
    </w:pPr>
    <w:rPr>
      <w:rFonts w:ascii="Liberation Sans" w:hAnsi="Liberation Sans"/>
      <w:color w:val="666666"/>
      <w:sz w:val="18"/>
    </w:rPr>
  </w:style>
  <w:style w:type="paragraph" w:customStyle="1" w:styleId="Callout">
    <w:name w:val="Callout"/>
    <w:pPr>
      <w:spacing w:after="80"/>
    </w:pPr>
    <w:rPr>
      <w:rFonts w:ascii="Liberation Sans" w:hAnsi="Liberation Sans"/>
      <w:b/>
      <w:color w:val="57068C"/>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19</Pages>
  <Words>7921</Words>
  <Characters>45155</Characters>
  <Application>Microsoft Office Word</Application>
  <DocSecurity>0</DocSecurity>
  <Lines>376</Lines>
  <Paragraphs>105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Emerging Technologies - Specialist Agent Record Template</dc:title>
  <dc:subject>Student instructions for weekly individual assignments</dc:subject>
  <dc:creator>Andres Fortino</dc:creator>
  <cp:keywords>Advanced Business Informatics, weekly assignments, professional practice, AI, judgment, proof of concept</cp:keywords>
  <dc:description>generated by python-docx</dc:description>
  <cp:lastModifiedBy>Andres Fortino</cp:lastModifiedBy>
  <cp:revision>2</cp:revision>
  <dcterms:created xsi:type="dcterms:W3CDTF">2026-08-13T19:48:00Z</dcterms:created>
  <dcterms:modified xsi:type="dcterms:W3CDTF">2026-08-13T19:48:00Z</dcterms:modified>
  <cp:category/>
</cp:coreProperties>
</file>