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Orion Strategic Whitepaper (EN)</w:t>
      </w:r>
    </w:p>
    <w:p/>
    <w:p>
      <w:pPr>
        <w:pStyle w:val="Heading2"/>
      </w:pPr>
      <w:r>
        <w:t>Title: Bitcoin-Registered Monetary Reform and SOL-Based Infrastructure Strategy</w:t>
      </w:r>
    </w:p>
    <w:p/>
    <w:p>
      <w:pPr>
        <w:pStyle w:val="Heading3"/>
      </w:pPr>
      <w:r>
        <w:t>Abstract:</w:t>
      </w:r>
    </w:p>
    <w:p>
      <w:r>
        <w:t>This whitepaper proposes a strategic framework for integrating Bitcoin (BTC) as a reserve currency through a "registration system" while utilizing Solana (SOL) as the primary transactional layer, avoiding the systemic risk and inefficiencies posed by CBDCs or ETH-based settlement architectures.</w:t>
      </w:r>
    </w:p>
    <w:p/>
    <w:p>
      <w:pPr>
        <w:pStyle w:val="Heading3"/>
      </w:pPr>
      <w:r>
        <w:t>1. Background &amp; Motivation</w:t>
      </w:r>
    </w:p>
    <w:p>
      <w:r>
        <w:t>- Global monetary fragmentation</w:t>
      </w:r>
    </w:p>
    <w:p>
      <w:r>
        <w:t>- Inflation uncertainty &amp; protectionism (Trump-era tariffs)</w:t>
      </w:r>
    </w:p>
    <w:p>
      <w:r>
        <w:t>- Strategic necessity for a decentralized yet controllable infrastructure</w:t>
      </w:r>
    </w:p>
    <w:p/>
    <w:p>
      <w:pPr>
        <w:pStyle w:val="Heading3"/>
      </w:pPr>
      <w:r>
        <w:t>2. Orion Strategy Pillars:</w:t>
      </w:r>
    </w:p>
    <w:p>
      <w:r>
        <w:t>- BTC: Store of Value / Institutional Reserve</w:t>
      </w:r>
    </w:p>
    <w:p>
      <w:r>
        <w:t>- SOL: L1-based Ultra-Fast Smart Contract &amp; Payment Layer</w:t>
      </w:r>
    </w:p>
    <w:p>
      <w:r>
        <w:t>- Registration System: Filtering Satoshi wallet, hacks, dormant addresses</w:t>
      </w:r>
    </w:p>
    <w:p>
      <w:r>
        <w:t>- Layered tax structure: Progressive taxation, donation deductions, split-sale incentives</w:t>
      </w:r>
    </w:p>
    <w:p/>
    <w:p>
      <w:pPr>
        <w:pStyle w:val="Heading3"/>
      </w:pPr>
      <w:r>
        <w:t>3. Risk Elimination:</w:t>
      </w:r>
    </w:p>
    <w:p>
      <w:r>
        <w:t>| Risk Type         | Orion Solution                                |</w:t>
      </w:r>
    </w:p>
    <w:p>
      <w:r>
        <w:t>|-------------------|-----------------------------------------------|</w:t>
      </w:r>
    </w:p>
    <w:p>
      <w:r>
        <w:t>| Satoshi risk      | BTC registration requirement                  |</w:t>
      </w:r>
    </w:p>
    <w:p>
      <w:r>
        <w:t>| Black market BTC  | Penalized post-registration or lock system    |</w:t>
      </w:r>
    </w:p>
    <w:p>
      <w:r>
        <w:t>| Ethereum control  | Avoids L2 bottlenecks, no ETH reliance        |</w:t>
      </w:r>
    </w:p>
    <w:p>
      <w:r>
        <w:t>| CBDC backlash     | Completely bypassed                           |</w:t>
      </w:r>
    </w:p>
    <w:p>
      <w:r>
        <w:t>| Network failure   | SOL + mirrornet (PoH) dual redundancy         |</w:t>
      </w:r>
    </w:p>
    <w:p>
      <w:r>
        <w:t>| Market volatility | Tax buffer + policy control system            |</w:t>
      </w:r>
    </w:p>
    <w:p/>
    <w:p>
      <w:pPr>
        <w:pStyle w:val="Heading3"/>
      </w:pPr>
      <w:r>
        <w:t>4. Global Legitimacy:</w:t>
      </w:r>
    </w:p>
    <w:p>
      <w:r>
        <w:t>- FATCA-style global crypto tax alliance</w:t>
      </w:r>
    </w:p>
    <w:p>
      <w:r>
        <w:t>- UTXO tracking + tax API for KYC-ed wallets</w:t>
      </w:r>
    </w:p>
    <w:p>
      <w:r>
        <w:t>- High-income crypto earners subject to 70~90% progressive tax</w:t>
      </w:r>
    </w:p>
    <w:p/>
    <w:p>
      <w:pPr>
        <w:pStyle w:val="Heading3"/>
      </w:pPr>
      <w:r>
        <w:t>5. Strategic Value Assessment (Neutral):</w:t>
      </w:r>
    </w:p>
    <w:p>
      <w:r>
        <w:t>| Category                    | % Value | Commentary                                  |</w:t>
      </w:r>
    </w:p>
    <w:p>
      <w:r>
        <w:t>|----------------------------|---------|----------------------------------------------|</w:t>
      </w:r>
    </w:p>
    <w:p>
      <w:r>
        <w:t>| Technical feasibility      | 87%     | Mirror chain solves L1 risks, SOL maturity   |</w:t>
      </w:r>
    </w:p>
    <w:p>
      <w:r>
        <w:t>| US alignment potential     | 83%     | Fits Trump’s anti-CBDC stance, tariff logic  |</w:t>
      </w:r>
    </w:p>
    <w:p>
      <w:r>
        <w:t>| Risk elimination coverage  | 88%     | BTC filters + taxation                       |</w:t>
      </w:r>
    </w:p>
    <w:p>
      <w:r>
        <w:t>| Global coordination        | 75%     | Depends on tax alliance incentives           |</w:t>
      </w:r>
    </w:p>
    <w:p>
      <w:r>
        <w:t>| Market control capacity    | 82%     | Tax + whitelist control                      |</w:t>
      </w:r>
    </w:p>
    <w:p>
      <w:r>
        <w:t>| Institutional adoption     | 79%     | Needs Blackrock/Fed node participation       |</w:t>
      </w:r>
    </w:p>
    <w:p>
      <w:r>
        <w:t>| Innovation potential       | 90%     | Structural upgrade of monetary architecture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