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sz w:val="56"/>
          <w:szCs w:val="56"/>
        </w:rPr>
        <w:t xml:space="preserve">IX</w:t>
      </w:r>
    </w:p>
    <w:p>
      <w:pPr>
        <w:spacing w:after="240"/>
        <w:jc w:val="center"/>
      </w:pPr>
      <w:r>
        <w:rPr>
          <w:rFonts w:ascii="Arial" w:cs="Arial" w:eastAsia="Arial" w:hAnsi="Arial"/>
          <w:i/>
          <w:iCs/>
          <w:sz w:val="26"/>
          <w:szCs w:val="26"/>
        </w:rPr>
        <w:t xml:space="preserve">A Tractable Descendant of AIXI for Autonomous Capital Compounding</w:t>
      </w:r>
    </w:p>
    <w:p>
      <w:pPr>
        <w:spacing w:after="80"/>
        <w:jc w:val="center"/>
      </w:pPr>
      <w:r>
        <w:rPr>
          <w:rFonts w:ascii="Arial" w:cs="Arial" w:eastAsia="Arial" w:hAnsi="Arial"/>
          <w:sz w:val="22"/>
          <w:szCs w:val="22"/>
        </w:rPr>
        <w:t xml:space="preserve">Aldrich K. Wooden, Sr.</w:t>
      </w:r>
    </w:p>
    <w:p>
      <w:pPr>
        <w:spacing w:after="80"/>
        <w:jc w:val="center"/>
      </w:pPr>
      <w:r>
        <w:rPr>
          <w:rFonts w:ascii="Arial" w:cs="Arial" w:eastAsia="Arial" w:hAnsi="Arial"/>
          <w:i/>
          <w:iCs/>
          <w:sz w:val="20"/>
          <w:szCs w:val="20"/>
        </w:rPr>
        <w:t xml:space="preserve">Zuup Innovation Lab  •  Visionblox LLC</w:t>
      </w:r>
    </w:p>
    <w:p>
      <w:pPr>
        <w:spacing w:after="360"/>
        <w:jc w:val="center"/>
      </w:pPr>
      <w:r>
        <w:rPr>
          <w:rFonts w:ascii="Arial" w:cs="Arial" w:eastAsia="Arial" w:hAnsi="Arial"/>
          <w:sz w:val="20"/>
          <w:szCs w:val="20"/>
        </w:rPr>
        <w:t xml:space="preserve">Draft v0.1  —  May 2026</w:t>
      </w:r>
    </w:p>
    <w:p>
      <w:pPr>
        <w:pStyle w:val="Heading2"/>
        <w:spacing w:after="80" w:before="160"/>
      </w:pPr>
      <w:r>
        <w:rPr>
          <w:rFonts w:ascii="Arial" w:cs="Arial" w:eastAsia="Arial" w:hAnsi="Arial"/>
          <w:b/>
          <w:bCs/>
          <w:sz w:val="24"/>
          <w:szCs w:val="24"/>
        </w:rPr>
        <w:t xml:space="preserve">Abstract</w:t>
      </w:r>
    </w:p>
    <w:p>
      <w:pPr>
        <w:spacing w:after="140" w:line="280"/>
        <w:jc w:val="both"/>
      </w:pPr>
      <w:r>
        <w:rPr>
          <w:rFonts w:ascii="Arial" w:cs="Arial" w:eastAsia="Arial" w:hAnsi="Arial"/>
          <w:sz w:val="22"/>
          <w:szCs w:val="22"/>
        </w:rPr>
        <w:t xml:space="preserve">We introduce IX, a tractable architecture for an autonomous agent whose objective is recursive self-financing (RSF): the bootstrapping of a fixed initial capital allocation toward a specified liquidity target through reinvestment of generated returns. IX inherits its theoretical scaffolding from Hutter’s AIXI and its computational pattern from the MC-AIXI-CTW approximation of Veness et al., substituting AIXI’s uncomputable universal prior with a domain-specific Bayesian world model over market microstructure, and substituting its expectimax planner with policy-guided Monte Carlo tree search under an explicit ruin-probability constraint. We propose IX-Bench v0.1, an eight-family benchmark suite that grades agents on returns, risk, recursion quality, and probability-of-target-achievement under stated capital constraints. We outline a seven-phase implementation pipeline mapped to USPTO prior-art clusters and open-source repository anchors. We close with a non-optional treatment of empirical reality: the published literature does not support reproducible 100× annual returns from sub-thousand-dollar starting capital, and the benchmark is structured to surface that fact rather than obscure it.</w:t>
      </w:r>
    </w:p>
    <w:p>
      <w:pPr>
        <w:pStyle w:val="Heading1"/>
        <w:spacing w:after="120" w:before="240"/>
      </w:pPr>
      <w:r>
        <w:rPr>
          <w:rFonts w:ascii="Arial" w:cs="Arial" w:eastAsia="Arial" w:hAnsi="Arial"/>
          <w:b/>
          <w:bCs/>
          <w:sz w:val="28"/>
          <w:szCs w:val="28"/>
        </w:rPr>
        <w:t xml:space="preserve">1.  Introduction</w:t>
      </w:r>
    </w:p>
    <w:p>
      <w:pPr>
        <w:spacing w:after="140" w:line="280"/>
        <w:jc w:val="both"/>
      </w:pPr>
      <w:r>
        <w:rPr>
          <w:rFonts w:ascii="Arial" w:cs="Arial" w:eastAsia="Arial" w:hAnsi="Arial"/>
          <w:sz w:val="22"/>
          <w:szCs w:val="22"/>
        </w:rPr>
        <w:t xml:space="preserve">A recursively self-financing agent is a closed-loop system that takes positions in markets, reinvests realized gains, updates its own policy from realized outcomes, and does so without human intervention beyond strategic configuration. The construct composes three problems usually studied in isolation: sequential decision under uncertainty, online learning under non-stationarity, and capital allocation under irreversibility. The first has a clean theoretical ceiling (AIXI). The second is the subject of decades of online-learning literature. The third is the source of practical ruin for most agents that succeed in the first two.</w:t>
      </w:r>
    </w:p>
    <w:p>
      <w:pPr>
        <w:spacing w:after="140" w:line="280"/>
        <w:jc w:val="both"/>
      </w:pPr>
      <w:r>
        <w:rPr>
          <w:rFonts w:ascii="Arial" w:cs="Arial" w:eastAsia="Arial" w:hAnsi="Arial"/>
          <w:sz w:val="22"/>
          <w:szCs w:val="22"/>
        </w:rPr>
        <w:t xml:space="preserve">The motivating scenario for IX is a starting capital of US$500 in USDC, a 12-month target of US$50,000, and a long-horizon ceiling of US$10M in after-tax liquidity. The first target implies a 100× return (≈9,900% CAGR; ≈46.8% per month). An agent that achieves this reproducibly does not exist in the published record; the benchmark must therefore evaluate candidate agents probabilistically rather than treat the target as a deterministic threshold. Epistemic markers are used throughout: ✓ VERIFIED, ◐ PLAUSIBLE, ◯ SPECULATIVE.</w:t>
      </w:r>
    </w:p>
    <w:p>
      <w:pPr>
        <w:pStyle w:val="Heading1"/>
        <w:spacing w:after="120" w:before="240"/>
      </w:pPr>
      <w:r>
        <w:rPr>
          <w:rFonts w:ascii="Arial" w:cs="Arial" w:eastAsia="Arial" w:hAnsi="Arial"/>
          <w:b/>
          <w:bCs/>
          <w:sz w:val="28"/>
          <w:szCs w:val="28"/>
        </w:rPr>
        <w:t xml:space="preserve">2.  Theoretical Foundations</w:t>
      </w:r>
    </w:p>
    <w:p>
      <w:pPr>
        <w:pStyle w:val="Heading2"/>
        <w:spacing w:after="80" w:before="160"/>
      </w:pPr>
      <w:r>
        <w:rPr>
          <w:rFonts w:ascii="Arial" w:cs="Arial" w:eastAsia="Arial" w:hAnsi="Arial"/>
          <w:b/>
          <w:bCs/>
          <w:sz w:val="24"/>
          <w:szCs w:val="24"/>
        </w:rPr>
        <w:t xml:space="preserve">2.1  The AIXI Ceiling</w:t>
      </w:r>
    </w:p>
    <w:p>
      <w:pPr>
        <w:spacing w:after="140" w:line="280"/>
        <w:jc w:val="both"/>
      </w:pPr>
      <w:r>
        <w:rPr>
          <w:rFonts w:ascii="Arial" w:cs="Arial" w:eastAsia="Arial" w:hAnsi="Arial"/>
          <w:sz w:val="22"/>
          <w:szCs w:val="22"/>
        </w:rPr>
        <w:t xml:space="preserve">AIXI defines the optimal action for an agent in any computable environment as the action that maximizes expected future reward, where the expectation is taken over all computable environment hypotheses weighted by their Kolmogorov complexity. Schematically, the optimal action at time t is the argmax over a_t of the expectimax expansion across future observations and rewards, with the inner mixture over programs q running on a universal Turing machine U, each weighted by 2^(−ℓ(q)) where ℓ(q) is program length. ✓ AIXI is asymptotically optimal across the class of all computable environments. ✓ AIXI is uncomputable: Kolmogorov complexity is not a computable function.</w:t>
      </w:r>
    </w:p>
    <w:p>
      <w:pPr>
        <w:pStyle w:val="Heading2"/>
        <w:spacing w:after="80" w:before="160"/>
      </w:pPr>
      <w:r>
        <w:rPr>
          <w:rFonts w:ascii="Arial" w:cs="Arial" w:eastAsia="Arial" w:hAnsi="Arial"/>
          <w:b/>
          <w:bCs/>
          <w:sz w:val="24"/>
          <w:szCs w:val="24"/>
        </w:rPr>
        <w:t xml:space="preserve">2.2  The MC-AIXI-CTW Tractability Pattern</w:t>
      </w:r>
    </w:p>
    <w:p>
      <w:pPr>
        <w:spacing w:after="140" w:line="280"/>
        <w:jc w:val="both"/>
      </w:pPr>
      <w:r>
        <w:rPr>
          <w:rFonts w:ascii="Arial" w:cs="Arial" w:eastAsia="Arial" w:hAnsi="Arial"/>
          <w:sz w:val="22"/>
          <w:szCs w:val="22"/>
        </w:rPr>
        <w:t xml:space="preserve">Veness, Ng, Hutter, Uther, and Silver (2011) demonstrated that AIXI’s two-slot structure survives two surgical substitutions. The world-model slot becomes Context Tree Weighting (CTW): a Bayesian mixture over variable-order Markov models bounded by depth D, which preserves the mixture-of-experts character of Solomonoff induction inside a tractable model class. The planner slot becomes Monte Carlo Tree Search (MCTS): expectimax is replaced by stochastic rollouts that concentrate compute on promising branches. The composed system is computable on commodity hardware and learned non-trivial domains (Pac-Man, Kuhn poker, TicTacToe) from scratch.</w:t>
      </w:r>
    </w:p>
    <w:p>
      <w:pPr>
        <w:pStyle w:val="Heading2"/>
        <w:spacing w:after="80" w:before="160"/>
      </w:pPr>
      <w:r>
        <w:rPr>
          <w:rFonts w:ascii="Arial" w:cs="Arial" w:eastAsia="Arial" w:hAnsi="Arial"/>
          <w:b/>
          <w:bCs/>
          <w:sz w:val="24"/>
          <w:szCs w:val="24"/>
        </w:rPr>
        <w:t xml:space="preserve">2.3  The IX Substitution</w:t>
      </w:r>
    </w:p>
    <w:p>
      <w:pPr>
        <w:spacing w:after="140" w:line="280"/>
        <w:jc w:val="both"/>
      </w:pPr>
      <w:r>
        <w:rPr>
          <w:rFonts w:ascii="Arial" w:cs="Arial" w:eastAsia="Arial" w:hAnsi="Arial"/>
          <w:sz w:val="22"/>
          <w:szCs w:val="22"/>
        </w:rPr>
        <w:t xml:space="preserve">IX preserves the two-slot pattern but specializes each slot for the RSF domain. The world model is a hybrid: a regime-aware state-space model over price and volume, an on-chain liquidity and orderflow model, and a finite Bayesian mixture over candidate trading hypotheses whose weights are updated by realized PnL — preserving the AIXI-style discipline of crediting theories that predict correctly and shrinking those that do not. The planner is MCTS guided by a policy network trained via PPO or its successor, with rollouts that evaluate not only expected return but the realized empirical ruin probability under each candidate action. The objective is therefore not max E[R] but max E[R] subject to P(ruin) ≤ ε. ◐ This constrained variant is essential when capital is irreversibly lost on failure; the unconstrained AIXI objective is silently incompatible with leveraged or concentrated betting.</w:t>
      </w:r>
    </w:p>
    <w:p>
      <w:pPr>
        <w:pStyle w:val="Heading1"/>
        <w:spacing w:after="120" w:before="240"/>
      </w:pPr>
      <w:r>
        <w:rPr>
          <w:rFonts w:ascii="Arial" w:cs="Arial" w:eastAsia="Arial" w:hAnsi="Arial"/>
          <w:b/>
          <w:bCs/>
          <w:sz w:val="28"/>
          <w:szCs w:val="28"/>
        </w:rPr>
        <w:t xml:space="preserve">3.  Architecture: The Seven Layers</w:t>
      </w:r>
    </w:p>
    <w:p>
      <w:pPr>
        <w:spacing w:after="140" w:line="280"/>
        <w:jc w:val="both"/>
      </w:pPr>
      <w:r>
        <w:rPr>
          <w:rFonts w:ascii="Arial" w:cs="Arial" w:eastAsia="Arial" w:hAnsi="Arial"/>
          <w:sz w:val="22"/>
          <w:szCs w:val="22"/>
        </w:rPr>
        <w:t xml:space="preserve">IX decomposes into seven layers, each addressing a single concern. Inter-layer interfaces are explicit data contracts so that any single layer can be reimplemented or replaced without disturbing the rest.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Phase</w:t>
            </w:r>
          </w:p>
        </w:tc>
        <w:tc>
          <w:tcPr>
            <w:tcW w:type="dxa" w:w="2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Layer</w:t>
            </w:r>
          </w:p>
        </w:tc>
        <w:tc>
          <w:tcPr>
            <w:tcW w:type="dxa" w:w="57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Concern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Substrate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Data ingestion, on/off-chain unified feed, latency-aware reconciliation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World Model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Bayesian posterior over market regimes and competing hypotheses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Strategy</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Policy generation under complexity-penalty regularization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Execution</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Routing with information-leakage cost internalized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Risk</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Recursive Kelly damped by self-calibration error; ruin-bounded sizing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Compounding &amp; Withdrawal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Real-time tax-aware reinvestment scheduling</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Self-Improvement</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Meta-learning grounded in live out-of-sample PnL</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Compliance &amp; Tax</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After-tax reward signal; 1099-DA / 8949 audit-trail by construction</w:t>
            </w:r>
          </w:p>
        </w:tc>
      </w:tr>
    </w:tbl>
    <w:p>
      <w:pPr>
        <w:spacing w:after="140" w:line="280"/>
        <w:jc w:val="both"/>
      </w:pPr>
      <w:r>
        <w:rPr>
          <w:rFonts w:ascii="Arial" w:cs="Arial" w:eastAsia="Arial" w:hAnsi="Arial"/>
          <w:sz w:val="22"/>
          <w:szCs w:val="22"/>
        </w:rPr>
        <w:t xml:space="preserve"> </w:t>
      </w:r>
    </w:p>
    <w:p>
      <w:pPr>
        <w:spacing w:after="140" w:line="280"/>
        <w:jc w:val="both"/>
      </w:pPr>
      <w:r>
        <w:rPr>
          <w:rFonts w:ascii="Arial" w:cs="Arial" w:eastAsia="Arial" w:hAnsi="Arial"/>
          <w:sz w:val="22"/>
          <w:szCs w:val="22"/>
        </w:rPr>
        <w:t xml:space="preserve">Two architectural choices distinguish IX from a generic deep-RL trader. First, the risk layer implements recursive Kelly: position size is the Kelly fraction multiplied by a damping coefficient that is a function of the agent’s own recent calibration error, measured as the empirical Brier score on its forward predictions — an overconfident agent shrinks its own bet size automatically. Second, the self-improvement layer treats meta-loss as live realized PnL on small bounded capital, not backtested PnL, grounding self-modification in irreversible feedback rather than self-deception about a model that overfit the test set.</w:t>
      </w:r>
    </w:p>
    <w:p>
      <w:pPr>
        <w:pStyle w:val="Heading1"/>
        <w:spacing w:after="120" w:before="240"/>
      </w:pPr>
      <w:r>
        <w:rPr>
          <w:rFonts w:ascii="Arial" w:cs="Arial" w:eastAsia="Arial" w:hAnsi="Arial"/>
          <w:b/>
          <w:bCs/>
          <w:sz w:val="28"/>
          <w:szCs w:val="28"/>
        </w:rPr>
        <w:t xml:space="preserve">4.  Benchmark Framework: IX-Bench v0.1</w:t>
      </w:r>
    </w:p>
    <w:p>
      <w:pPr>
        <w:spacing w:after="140" w:line="280"/>
        <w:jc w:val="both"/>
      </w:pPr>
      <w:r>
        <w:rPr>
          <w:rFonts w:ascii="Arial" w:cs="Arial" w:eastAsia="Arial" w:hAnsi="Arial"/>
          <w:sz w:val="22"/>
          <w:szCs w:val="22"/>
        </w:rPr>
        <w:t xml:space="preserve">IX-Bench evaluates candidate agents across eight metric families. Each family resolves to a 0–100 sub-score; sub-scores compose into a single IX Capability Score (IX-CS) with weights configurable per operational phase. Family 8 — Probabilistic Target Achievement — is the family most often omitted by performance frameworks and is non-optional here.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w:t>
            </w:r>
          </w:p>
        </w:tc>
        <w:tc>
          <w:tcPr>
            <w:tcW w:type="dxa" w:w="26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Family</w:t>
            </w:r>
          </w:p>
        </w:tc>
        <w:tc>
          <w:tcPr>
            <w:tcW w:type="dxa" w:w="61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Representative Metrics</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Return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CAGR, TWR, IRR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Risk</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Max Drawdown, DD Duration, VaR/CVaR, Risk-of-Ruin, Sharpe, Sortino, Calmar</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Strategy Quality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Win Rate, Avg Win/Loss, Profit Factor, Recovery Factor, Tail Ratio, Info Ratio vs BTC-HODL</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Agent Performance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Decision Latency, Brier Calibration, Tool-Call Success, Hallucination Rate, OPE, Strategy Diversity</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Capital Efficiency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Utilization, Reinvestment Velocity, Slippage, Fee Ratio</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6</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Recursion (RSF-defining)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Generation-over-Generation Sharpe Improvement, OOS Degradation, Walk-Forward, Regime Detection Accuracy, Alpha Half-Life</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Compliance / Operational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After-Tax Net Return, 1099-DA/8949 Accuracy, AML False Positive Rate, Audit Coverage, Custody Risk</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8</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Probabilistic Target (honesty layer)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P($50K by m12), P(ruin), E[time to $50K], E[time to $10M], Sensitivity to model misspecification</w:t>
            </w:r>
          </w:p>
        </w:tc>
      </w:tr>
    </w:tbl>
    <w:p>
      <w:pPr>
        <w:spacing w:after="140" w:line="280"/>
        <w:jc w:val="both"/>
      </w:pPr>
      <w:r>
        <w:rPr>
          <w:rFonts w:ascii="Arial" w:cs="Arial" w:eastAsia="Arial" w:hAnsi="Arial"/>
          <w:sz w:val="22"/>
          <w:szCs w:val="22"/>
        </w:rPr>
        <w:t xml:space="preserve"> </w:t>
      </w:r>
    </w:p>
    <w:p>
      <w:pPr>
        <w:pStyle w:val="Heading1"/>
        <w:spacing w:after="120" w:before="240"/>
      </w:pPr>
      <w:r>
        <w:rPr>
          <w:rFonts w:ascii="Arial" w:cs="Arial" w:eastAsia="Arial" w:hAnsi="Arial"/>
          <w:b/>
          <w:bCs/>
          <w:sz w:val="28"/>
          <w:szCs w:val="28"/>
        </w:rPr>
        <w:t xml:space="preserve">5.  Implementation Pipeline</w:t>
      </w:r>
    </w:p>
    <w:p>
      <w:pPr>
        <w:spacing w:after="140" w:line="280"/>
        <w:jc w:val="both"/>
      </w:pPr>
      <w:r>
        <w:rPr>
          <w:rFonts w:ascii="Arial" w:cs="Arial" w:eastAsia="Arial" w:hAnsi="Arial"/>
          <w:sz w:val="22"/>
          <w:szCs w:val="22"/>
        </w:rPr>
        <w:t xml:space="preserve">Each phase pairs a USPTO prior-art cluster (a region of patent space densely covered by existing claims) with a non-obvious gap (the angle IX exploits that is not foreclosed by prior art) and an open-source repository anchor (the existing code that minimizes the rebuild surface). The complete patent-gap matrix is maintained as a companion artifact; representative entries follow.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80"/>
        <w:gridCol w:w="3280"/>
      </w:tblGrid>
      <w:tr>
        <w:trPr>
          <w:tblHeader/>
        </w:trPr>
        <w:tc>
          <w:tcPr>
            <w:tcW w:type="dxa" w:w="1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Phase</w:t>
            </w:r>
          </w:p>
        </w:tc>
        <w:tc>
          <w:tcPr>
            <w:tcW w:type="dxa" w:w="14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USPTO Cluster</w:t>
            </w:r>
          </w:p>
        </w:tc>
        <w:tc>
          <w:tcPr>
            <w:tcW w:type="dxa" w:w="32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Non-Obvious Gap</w:t>
            </w:r>
          </w:p>
        </w:tc>
        <w:tc>
          <w:tcPr>
            <w:tcW w:type="dxa" w:w="328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line="260"/>
            </w:pPr>
            <w:r>
              <w:rPr>
                <w:rFonts w:ascii="Arial" w:cs="Arial" w:eastAsia="Arial" w:hAnsi="Arial"/>
                <w:b/>
                <w:bCs/>
                <w:sz w:val="20"/>
                <w:szCs w:val="20"/>
              </w:rPr>
              <w:t xml:space="preserve">Open-Source Anchors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0 — Substrate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G06Q40/04</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Cross-feed disagreement treated as alpha signal, not noise to average away</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ccxt, web3.py / ethers.js, clickhouse / arctic, polars / duckdb</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1 — World Model</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G06N5/04, G06N3/08</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Explicit Bayesian posterior over competing market hypotheses; disagreement as exploration signal</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hmmlearn, pytorch-forecasting, mlfinlab, vectorbt, tslearn</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2 — Strategy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G06N3/126, G06Q40/00</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Strategy synthesis under explicit Kolmogorov-complexity penalty as generalization regularizer</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DEAP, PyGAD, stable-baselines3, Ray RLlib, FinRL</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3 — Execution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G06Q40/04</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Routing that internalizes the agent’s own information-leakage cost; slippage treated as endogenous</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hummingbot, jesse, freqtrade, 1inch SDK, cowswap</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4 — Risk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G06Q40/06</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Recursive Kelly damped by self-calibration error (Brier-score-driven sizing damping)</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empyrical, pyfolio, riskfolio-lib, cvxpy, quantstats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5 — Compounding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G06Q40/06</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Real-time pricing of marginal compounding opportunity vs. marginal tax cost</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defi-sdk, aave-v3-sdk, backtesting.py</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6 — Self-Improve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G06N3/08, G06N20/00</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Meta-loss grounded in live OOS PnL on bounded real capital, not backtest</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Optuna, Ray Tune, NNI, MAML reference impls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7 — Compliance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G06Q40/12</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RL reward signal = after-tax net realized, not gross PnL (1099-DA-aware)</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line="260"/>
            </w:pPr>
            <w:r>
              <w:rPr>
                <w:rFonts w:ascii="Arial" w:cs="Arial" w:eastAsia="Arial" w:hAnsi="Arial"/>
                <w:b w:val="false"/>
                <w:bCs w:val="false"/>
                <w:sz w:val="20"/>
                <w:szCs w:val="20"/>
              </w:rPr>
              <w:t xml:space="preserve">rotki, open IRS-form generators</w:t>
            </w:r>
          </w:p>
        </w:tc>
      </w:tr>
    </w:tbl>
    <w:p>
      <w:pPr>
        <w:spacing w:after="140" w:line="280"/>
        <w:jc w:val="both"/>
      </w:pPr>
      <w:r>
        <w:rPr>
          <w:rFonts w:ascii="Arial" w:cs="Arial" w:eastAsia="Arial" w:hAnsi="Arial"/>
          <w:sz w:val="22"/>
          <w:szCs w:val="22"/>
        </w:rPr>
        <w:t xml:space="preserve"> </w:t>
      </w:r>
    </w:p>
    <w:p>
      <w:pPr>
        <w:spacing w:after="140" w:line="280"/>
        <w:jc w:val="both"/>
      </w:pPr>
      <w:r>
        <w:rPr>
          <w:rFonts w:ascii="Arial" w:cs="Arial" w:eastAsia="Arial" w:hAnsi="Arial"/>
          <w:sz w:val="22"/>
          <w:szCs w:val="22"/>
        </w:rPr>
        <w:t xml:space="preserve">Build stack: Claude Code for primary implementation; Cursor for IDE iteration on Phases 1–2; Gemini for second-pass verification of Kelly derivations, ruin-probability arithmetic, and patent-claim novelty against the USPTO record; Claude (interactive thread) for architecture and document iteration.</w:t>
      </w:r>
    </w:p>
    <w:p>
      <w:pPr>
        <w:pStyle w:val="Heading1"/>
        <w:spacing w:after="120" w:before="240"/>
      </w:pPr>
      <w:r>
        <w:rPr>
          <w:rFonts w:ascii="Arial" w:cs="Arial" w:eastAsia="Arial" w:hAnsi="Arial"/>
          <w:b/>
          <w:bCs/>
          <w:sz w:val="28"/>
          <w:szCs w:val="28"/>
        </w:rPr>
        <w:t xml:space="preserve">6.  Risk, Reality, and Honest Limitations</w:t>
      </w:r>
    </w:p>
    <w:p>
      <w:pPr>
        <w:spacing w:after="140" w:line="280"/>
        <w:jc w:val="both"/>
      </w:pPr>
      <w:r>
        <w:rPr>
          <w:rFonts w:ascii="Arial" w:cs="Arial" w:eastAsia="Arial" w:hAnsi="Arial"/>
          <w:sz w:val="22"/>
          <w:szCs w:val="22"/>
        </w:rPr>
        <w:t xml:space="preserve">Any whitepaper that omits the following is engaged in rhetorical performance rather than research.</w:t>
      </w:r>
    </w:p>
    <w:p>
      <w:pPr>
        <w:pStyle w:val="Heading2"/>
        <w:spacing w:after="80" w:before="160"/>
      </w:pPr>
      <w:r>
        <w:rPr>
          <w:rFonts w:ascii="Arial" w:cs="Arial" w:eastAsia="Arial" w:hAnsi="Arial"/>
          <w:b/>
          <w:bCs/>
          <w:sz w:val="24"/>
          <w:szCs w:val="24"/>
        </w:rPr>
        <w:t xml:space="preserve">6.1  The 100× Problem</w:t>
      </w:r>
    </w:p>
    <w:p>
      <w:pPr>
        <w:spacing w:after="140" w:line="280"/>
        <w:jc w:val="both"/>
      </w:pPr>
      <w:r>
        <w:rPr>
          <w:rFonts w:ascii="Arial" w:cs="Arial" w:eastAsia="Arial" w:hAnsi="Arial"/>
          <w:sz w:val="22"/>
          <w:szCs w:val="22"/>
        </w:rPr>
        <w:t xml:space="preserve">✓ The empirical distribution of one-year returns for skilled discretionary and systematic traders, even in the top quintile, does not exceed approximately 100% annually with reproducibility. ✓ Renaissance Technologies’ Medallion Fund averaged approximately 40% annually net of fees over its public history, the highest sustained return documented at scale. ◐ Top crypto-native funds in best years have realized 200–400% but with subsequent drawdowns averaging 60–80%. ◯ A reproducible 100× return over 12 months from US$500 starting capital, on a non-survivorship-biased basis, is not supported by any published evidence the author can identify. The legitimate paths to a realized 100× outcome are: extreme concentration on a single asymmetric bet (survivorship-biased; expected value far below realized for the few who succeed); high leverage on directional bets (ruin probability approaches one under reasonable parameters over 12 months); exploitation of information asymmetry (legality and scalability constrained); and lottery-like selection on memetic assets. A rigorous IX deployment must report which regime the agent is operating in and update the family-8 probabilities accordingly.</w:t>
      </w:r>
    </w:p>
    <w:p>
      <w:pPr>
        <w:pStyle w:val="Heading2"/>
        <w:spacing w:after="80" w:before="160"/>
      </w:pPr>
      <w:r>
        <w:rPr>
          <w:rFonts w:ascii="Arial" w:cs="Arial" w:eastAsia="Arial" w:hAnsi="Arial"/>
          <w:b/>
          <w:bCs/>
          <w:sz w:val="24"/>
          <w:szCs w:val="24"/>
        </w:rPr>
        <w:t xml:space="preserve">6.2  The 108-Year Problem</w:t>
      </w:r>
    </w:p>
    <w:p>
      <w:pPr>
        <w:spacing w:after="140" w:line="280"/>
        <w:jc w:val="both"/>
      </w:pPr>
      <w:r>
        <w:rPr>
          <w:rFonts w:ascii="Arial" w:cs="Arial" w:eastAsia="Arial" w:hAnsi="Arial"/>
          <w:sz w:val="22"/>
          <w:szCs w:val="22"/>
        </w:rPr>
        <w:t xml:space="preserve">The stated Phase-2 target — 5% annual compounding from US$50,000 to US$10,000,000 — yields a time horizon of log(200)/log(1.05) ≈ 108 years. This is mathematically incompatible with any reasonable human deployment horizon. The IX framework assumes the operator intends one of: (a) 5% monthly (approximately 9 years), (b) 50% annually (approximately 13 years), or (c) continued compounding at the achieved Phase-1 rate capped by an operator-set drawdown tolerance. Each calibration yields different benchmark weights, particularly for Family 2 (Risk) and Family 8 (Probabilistic Target Achievement).</w:t>
      </w:r>
    </w:p>
    <w:p>
      <w:pPr>
        <w:pStyle w:val="Heading2"/>
        <w:spacing w:after="80" w:before="160"/>
      </w:pPr>
      <w:r>
        <w:rPr>
          <w:rFonts w:ascii="Arial" w:cs="Arial" w:eastAsia="Arial" w:hAnsi="Arial"/>
          <w:b/>
          <w:bCs/>
          <w:sz w:val="24"/>
          <w:szCs w:val="24"/>
        </w:rPr>
        <w:t xml:space="preserve">6.3  Regulatory and Tax Surface</w:t>
      </w:r>
    </w:p>
    <w:p>
      <w:pPr>
        <w:spacing w:after="140" w:line="280"/>
        <w:jc w:val="both"/>
      </w:pPr>
      <w:r>
        <w:rPr>
          <w:rFonts w:ascii="Arial" w:cs="Arial" w:eastAsia="Arial" w:hAnsi="Arial"/>
          <w:sz w:val="22"/>
          <w:szCs w:val="22"/>
        </w:rPr>
        <w:t xml:space="preserve">✓ Autonomous trading by U.S. persons is subject to CFTC, SEC, and FinCEN regimes depending on instrument class. ✓ Digital asset gains are reported on Form 8949 and Schedule D, with broker reporting under Form 1099-DA effective from 2026. ◐ Operating an autonomous agent on behalf of any party other than the operator introduces fiduciary and registration questions whose resolution depends on jurisdiction and on whether the operator is acting as an investment adviser. The compliance layer (Phase 7) is non-negotiable and is therefore architecturally co-equal with the return-generating layers.</w:t>
      </w:r>
    </w:p>
    <w:p>
      <w:pPr>
        <w:pStyle w:val="Heading1"/>
        <w:spacing w:after="120" w:before="240"/>
      </w:pPr>
      <w:r>
        <w:rPr>
          <w:rFonts w:ascii="Arial" w:cs="Arial" w:eastAsia="Arial" w:hAnsi="Arial"/>
          <w:b/>
          <w:bCs/>
          <w:sz w:val="28"/>
          <w:szCs w:val="28"/>
        </w:rPr>
        <w:t xml:space="preserve">7.  Conclusion and Future Work</w:t>
      </w:r>
    </w:p>
    <w:p>
      <w:pPr>
        <w:spacing w:after="140" w:line="280"/>
        <w:jc w:val="both"/>
      </w:pPr>
      <w:r>
        <w:rPr>
          <w:rFonts w:ascii="Arial" w:cs="Arial" w:eastAsia="Arial" w:hAnsi="Arial"/>
          <w:sz w:val="22"/>
          <w:szCs w:val="22"/>
        </w:rPr>
        <w:t xml:space="preserve">IX is a research program, not a product. Its contribution is threefold: a clean theoretical lineage from AIXI through MC-AIXI-CTW to a domain-specific tractable agent; a benchmark framework that grades agents probabilistically and refuses to obscure the gap between target and feasible; and a seven-phase pipeline mapped to USPTO prior-art clusters and open-source anchors. Future work: derivation of the constrained-MCTS variant with formal ruin-probability bounds; empirical calibration of CTW depth for crypto microstructure; formal definition of the IX-RSI metric (Recursive Sharpe Improvement); and small-capital live trials with hard ruin-probability ceilings to populate Family 8 of IX-Bench with empirical posteriors.</w:t>
      </w:r>
    </w:p>
    <w:p>
      <w:pPr>
        <w:pStyle w:val="Heading1"/>
        <w:spacing w:after="120" w:before="240"/>
      </w:pPr>
      <w:r>
        <w:rPr>
          <w:rFonts w:ascii="Arial" w:cs="Arial" w:eastAsia="Arial" w:hAnsi="Arial"/>
          <w:b/>
          <w:bCs/>
          <w:sz w:val="28"/>
          <w:szCs w:val="28"/>
        </w:rPr>
        <w:t xml:space="preserve">References</w:t>
      </w:r>
    </w:p>
    <w:p>
      <w:pPr>
        <w:spacing w:after="20" w:line="220"/>
        <w:ind w:left="360" w:hanging="360"/>
      </w:pPr>
      <w:r>
        <w:rPr>
          <w:rFonts w:ascii="Arial" w:cs="Arial" w:eastAsia="Arial" w:hAnsi="Arial"/>
          <w:sz w:val="18"/>
          <w:szCs w:val="18"/>
        </w:rPr>
        <w:t xml:space="preserve">[1]  M. Hutter, Universal Artificial Intelligence: Sequential Decisions Based on Algorithmic Probability. Springer, 2005.</w:t>
      </w:r>
    </w:p>
    <w:p>
      <w:pPr>
        <w:spacing w:after="20" w:line="220"/>
        <w:ind w:left="360" w:hanging="360"/>
      </w:pPr>
      <w:r>
        <w:rPr>
          <w:rFonts w:ascii="Arial" w:cs="Arial" w:eastAsia="Arial" w:hAnsi="Arial"/>
          <w:sz w:val="18"/>
          <w:szCs w:val="18"/>
        </w:rPr>
        <w:t xml:space="preserve">[2]  J. Veness, K. S. Ng, M. Hutter, W. Uther, and D. Silver, “A Monte-Carlo AIXI Approximation,” Journal of Artificial Intelligence Research, vol. 40, pp. 95–142, 2011.</w:t>
      </w:r>
    </w:p>
    <w:p>
      <w:pPr>
        <w:spacing w:after="20" w:line="220"/>
        <w:ind w:left="360" w:hanging="360"/>
      </w:pPr>
      <w:r>
        <w:rPr>
          <w:rFonts w:ascii="Arial" w:cs="Arial" w:eastAsia="Arial" w:hAnsi="Arial"/>
          <w:sz w:val="18"/>
          <w:szCs w:val="18"/>
        </w:rPr>
        <w:t xml:space="preserve">[3]  R. J. Solomonoff, “A Formal Theory of Inductive Inference, Part I,” Information and Control, vol. 7, no. 1, pp. 1–22, 1964.</w:t>
      </w:r>
    </w:p>
    <w:p>
      <w:pPr>
        <w:spacing w:after="20" w:line="220"/>
        <w:ind w:left="360" w:hanging="360"/>
      </w:pPr>
      <w:r>
        <w:rPr>
          <w:rFonts w:ascii="Arial" w:cs="Arial" w:eastAsia="Arial" w:hAnsi="Arial"/>
          <w:sz w:val="18"/>
          <w:szCs w:val="18"/>
        </w:rPr>
        <w:t xml:space="preserve">[4]  J. L. Kelly Jr., “A New Interpretation of Information Rate,” Bell System Technical Journal, vol. 35, pp. 917–926, 1956.</w:t>
      </w:r>
    </w:p>
    <w:p>
      <w:pPr>
        <w:spacing w:after="20" w:line="220"/>
        <w:ind w:left="360" w:hanging="360"/>
      </w:pPr>
      <w:r>
        <w:rPr>
          <w:rFonts w:ascii="Arial" w:cs="Arial" w:eastAsia="Arial" w:hAnsi="Arial"/>
          <w:sz w:val="18"/>
          <w:szCs w:val="18"/>
        </w:rPr>
        <w:t xml:space="preserve">[5]  D. Silver et al., “Mastering the Game of Go with Deep Neural Networks and Tree Search,” Nature, vol. 529, pp. 484–489, 2016.</w:t>
      </w:r>
    </w:p>
    <w:p>
      <w:pPr>
        <w:spacing w:after="20" w:line="220"/>
        <w:ind w:left="360" w:hanging="360"/>
      </w:pPr>
      <w:r>
        <w:rPr>
          <w:rFonts w:ascii="Arial" w:cs="Arial" w:eastAsia="Arial" w:hAnsi="Arial"/>
          <w:sz w:val="18"/>
          <w:szCs w:val="18"/>
        </w:rPr>
        <w:t xml:space="preserve">[6]  J. Schulman et al., “Proximal Policy Optimization Algorithms,” arXiv:1707.06347, 2017.</w:t>
      </w:r>
    </w:p>
    <w:p>
      <w:pPr>
        <w:spacing w:after="20" w:line="220"/>
        <w:ind w:left="360" w:hanging="360"/>
      </w:pPr>
      <w:r>
        <w:rPr>
          <w:rFonts w:ascii="Arial" w:cs="Arial" w:eastAsia="Arial" w:hAnsi="Arial"/>
          <w:sz w:val="18"/>
          <w:szCs w:val="18"/>
        </w:rPr>
        <w:t xml:space="preserve">[7]  U.S. Internal Revenue Service, Final Regulations: Gross Proceeds and Basis Reporting by Brokers and Determination of Amount Realized and Basis for Digital Asset Transactions, T.D. 10000, 2024.</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IX — v0.1 — Zuup Innovation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IX: A Tractable Descendant of AIXI for Autonomous Capital Compounding</dc:title>
  <dc:creator>Aldrich K. Wooden, Sr.</dc:creator>
  <cp:lastModifiedBy>Un-named</cp:lastModifiedBy>
  <cp:revision>1</cp:revision>
  <dcterms:created xsi:type="dcterms:W3CDTF">2026-05-16T21:49:19.462Z</dcterms:created>
  <dcterms:modified xsi:type="dcterms:W3CDTF">2026-05-16T21:49:19.462Z</dcterms:modified>
</cp:coreProperties>
</file>

<file path=docProps/custom.xml><?xml version="1.0" encoding="utf-8"?>
<Properties xmlns="http://schemas.openxmlformats.org/officeDocument/2006/custom-properties" xmlns:vt="http://schemas.openxmlformats.org/officeDocument/2006/docPropsVTypes"/>
</file>