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0"/>
        <w:gridCol w:w="66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2D5A" w:val="clear"/>
            <w:tcMar>
              <w:top w:type="dxa" w:w="120"/>
              <w:left w:type="dxa" w:w="200"/>
              <w:bottom w:type="dxa" w:w="120"/>
              <w:right w:type="dxa" w:w="10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80975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2D5A" w:val="clear"/>
            <w:tcMar>
              <w:top w:type="dxa" w:w="120"/>
              <w:left w:type="dxa" w:w="100"/>
              <w:bottom w:type="dxa" w:w="120"/>
              <w:right w:type="dxa" w:w="200"/>
            </w:tcMar>
            <w:vAlign w:val="center"/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SEWP VI Partner Profile — TES Consultants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7B801"/>
                <w:sz w:val="16"/>
                <w:szCs w:val="16"/>
              </w:rPr>
              <w:t xml:space="preserve">Capability Keywords &amp; Company Information  •  August 2026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2E2E2E"/>
          <w:sz w:val="16"/>
          <w:szCs w:val="16"/>
        </w:rPr>
        <w:t xml:space="preserve">Prepared for the TES SEWP VI Partner Capability Catalog and opportunity-matching automation engine (SEWP VI GWAC, Category C — ITC/AV Mission-Based Services). Keywords are grouped by capability domain; individual terms are semicolon-delimited for direct ingestion.</w:t>
      </w:r>
    </w:p>
    <w:p>
      <w:pPr>
        <w:pBdr>
          <w:bottom w:val="single" w:color="2EA891" w:sz="8" w:space="2"/>
        </w:pBdr>
        <w:spacing w:after="70" w:before="180"/>
      </w:pPr>
      <w:r>
        <w:rPr>
          <w:rFonts w:ascii="Arial" w:cs="Arial" w:eastAsia="Arial" w:hAnsi="Arial"/>
          <w:b/>
          <w:bCs/>
          <w:color w:val="232D5A"/>
          <w:sz w:val="21"/>
          <w:szCs w:val="21"/>
        </w:rPr>
        <w:t xml:space="preserve">CAPABILITY KEYWORDS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0"/>
      </w:tblGrid>
      <w:tr>
        <w:tc>
          <w:tcPr>
            <w:tcW w:type="dxa" w:w="3000"/>
            <w:shd w:fill="232D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Healthcare IT &amp; Interoperability</w:t>
            </w:r>
          </w:p>
        </w:tc>
        <w:tc>
          <w:tcPr>
            <w:tcW w:type="dxa" w:w="7800"/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6"/>
                <w:szCs w:val="16"/>
              </w:rPr>
              <w:t xml:space="preserve">healthcare IT; health IT modernization; EHR integration; EMR; Epic; HL7; FHIR; HL7 v2; FHIR API; interoperability; 21st Century Cures Act; patient portal; patient access; telehealth; clinical data integration; health information exchange; prior authorization API; CMS interoperability</w:t>
            </w:r>
          </w:p>
        </w:tc>
      </w:tr>
      <w:tr>
        <w:tc>
          <w:tcPr>
            <w:tcW w:type="dxa" w:w="3000"/>
            <w:shd w:fill="232D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Medicaid &amp; Health Programs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6"/>
                <w:szCs w:val="16"/>
              </w:rPr>
              <w:t xml:space="preserve">Medicaid modernization; MITA; MMIS; MES; claims processing; fiscal reporting; eligibility systems; state health IT; CMS compliance; healthcare claims; provider data management</w:t>
            </w:r>
          </w:p>
        </w:tc>
      </w:tr>
      <w:tr>
        <w:tc>
          <w:tcPr>
            <w:tcW w:type="dxa" w:w="3000"/>
            <w:shd w:fill="232D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AI / ML &amp; Document Intelligence</w:t>
            </w:r>
          </w:p>
        </w:tc>
        <w:tc>
          <w:tcPr>
            <w:tcW w:type="dxa" w:w="7800"/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6"/>
                <w:szCs w:val="16"/>
              </w:rPr>
              <w:t xml:space="preserve">artificial intelligence; machine learning; AI/ML; intelligent document processing; document intelligence; OCR; NLP; natural language processing; predictive analytics; workflow automation; AI governance; NIST AI RMF; generative AI</w:t>
            </w:r>
          </w:p>
        </w:tc>
      </w:tr>
      <w:tr>
        <w:tc>
          <w:tcPr>
            <w:tcW w:type="dxa" w:w="3000"/>
            <w:shd w:fill="232D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Cloud &amp; DevSecOps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6"/>
                <w:szCs w:val="16"/>
              </w:rPr>
              <w:t xml:space="preserve">AWS; cloud migration; cloud-native development; serverless; AWS Lambda; AWS Batch; Amazon EMR; microservices; containers; DevSecOps; CI/CD; infrastructure as code; PHI-secure cloud; FedRAMP-aligned architecture</w:t>
            </w:r>
          </w:p>
        </w:tc>
      </w:tr>
      <w:tr>
        <w:tc>
          <w:tcPr>
            <w:tcW w:type="dxa" w:w="3000"/>
            <w:shd w:fill="232D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Software Development &amp; Integration</w:t>
            </w:r>
          </w:p>
        </w:tc>
        <w:tc>
          <w:tcPr>
            <w:tcW w:type="dxa" w:w="7800"/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6"/>
                <w:szCs w:val="16"/>
              </w:rPr>
              <w:t xml:space="preserve">custom software development; application development; application modernization; legacy modernization; systems integration; API development; ETL; data pipelines; data engineering; database modernization; agile development; full-stack development</w:t>
            </w:r>
          </w:p>
        </w:tc>
      </w:tr>
      <w:tr>
        <w:tc>
          <w:tcPr>
            <w:tcW w:type="dxa" w:w="3000"/>
            <w:shd w:fill="232D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Data &amp; Analytics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6"/>
                <w:szCs w:val="16"/>
              </w:rPr>
              <w:t xml:space="preserve">data analytics; business intelligence; data warehousing; real-time dashboards; big data; high-volume transaction processing; data visualization; reporting systems</w:t>
            </w:r>
          </w:p>
        </w:tc>
      </w:tr>
      <w:tr>
        <w:tc>
          <w:tcPr>
            <w:tcW w:type="dxa" w:w="3000"/>
            <w:shd w:fill="232D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Enterprise ERP</w:t>
            </w:r>
          </w:p>
        </w:tc>
        <w:tc>
          <w:tcPr>
            <w:tcW w:type="dxa" w:w="7800"/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6"/>
                <w:szCs w:val="16"/>
              </w:rPr>
              <w:t xml:space="preserve">SAP; S/4HANA; SAP S/4HANA; ERP modernization; ERP migration; enterprise applications; enterprise integration</w:t>
            </w:r>
          </w:p>
        </w:tc>
      </w:tr>
      <w:tr>
        <w:tc>
          <w:tcPr>
            <w:tcW w:type="dxa" w:w="3000"/>
            <w:shd w:fill="232D5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Cybersecurity &amp; Compliance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6"/>
                <w:szCs w:val="16"/>
              </w:rPr>
              <w:t xml:space="preserve">cybersecurity; HIPAA; PHI security; healthcare data security; HITRUST; secure SDLC; security engineering; zero trust; data protection; Section 889; TAA compliant</w:t>
            </w:r>
          </w:p>
        </w:tc>
      </w:tr>
    </w:tbl>
    <w:p>
      <w:pPr>
        <w:pBdr>
          <w:bottom w:val="single" w:color="2EA891" w:sz="8" w:space="2"/>
        </w:pBdr>
        <w:spacing w:after="70" w:before="180"/>
      </w:pPr>
      <w:r>
        <w:rPr>
          <w:rFonts w:ascii="Arial" w:cs="Arial" w:eastAsia="Arial" w:hAnsi="Arial"/>
          <w:b/>
          <w:bCs/>
          <w:color w:val="232D5A"/>
          <w:sz w:val="21"/>
          <w:szCs w:val="21"/>
        </w:rPr>
        <w:t xml:space="preserve">COMPANY INFORMATION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0"/>
      </w:tblGrid>
      <w:tr>
        <w:tc>
          <w:tcPr>
            <w:tcW w:type="dxa" w:w="30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D5A"/>
                <w:sz w:val="16"/>
                <w:szCs w:val="16"/>
              </w:rPr>
              <w:t xml:space="preserve">Legal Name</w:t>
            </w:r>
          </w:p>
        </w:tc>
        <w:tc>
          <w:tcPr>
            <w:tcW w:type="dxa" w:w="78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6"/>
                <w:szCs w:val="16"/>
              </w:rPr>
              <w:t xml:space="preserve">Visionblox LLC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D5A"/>
                <w:sz w:val="16"/>
                <w:szCs w:val="16"/>
              </w:rPr>
              <w:t xml:space="preserve">Headquarters</w:t>
            </w:r>
          </w:p>
        </w:tc>
        <w:tc>
          <w:tcPr>
            <w:tcW w:type="dxa" w:w="7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6"/>
                <w:szCs w:val="16"/>
              </w:rPr>
              <w:t xml:space="preserve">2570 N. First Street, San Jose, CA 95131</w:t>
            </w:r>
          </w:p>
        </w:tc>
      </w:tr>
      <w:tr>
        <w:tc>
          <w:tcPr>
            <w:tcW w:type="dxa" w:w="30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D5A"/>
                <w:sz w:val="16"/>
                <w:szCs w:val="16"/>
              </w:rPr>
              <w:t xml:space="preserve">CAGE / UEI</w:t>
            </w:r>
          </w:p>
        </w:tc>
        <w:tc>
          <w:tcPr>
            <w:tcW w:type="dxa" w:w="78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6"/>
                <w:szCs w:val="16"/>
              </w:rPr>
              <w:t xml:space="preserve">9Z4X2  /  H4X2Z7R9E3E3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D5A"/>
                <w:sz w:val="16"/>
                <w:szCs w:val="16"/>
              </w:rPr>
              <w:t xml:space="preserve">Socioeconomic Status</w:t>
            </w:r>
          </w:p>
        </w:tc>
        <w:tc>
          <w:tcPr>
            <w:tcW w:type="dxa" w:w="7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6"/>
                <w:szCs w:val="16"/>
              </w:rPr>
              <w:t xml:space="preserve">Minority-Owned Small Business</w:t>
            </w:r>
          </w:p>
        </w:tc>
      </w:tr>
      <w:tr>
        <w:tc>
          <w:tcPr>
            <w:tcW w:type="dxa" w:w="30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D5A"/>
                <w:sz w:val="16"/>
                <w:szCs w:val="16"/>
              </w:rPr>
              <w:t xml:space="preserve">Compliance</w:t>
            </w:r>
          </w:p>
        </w:tc>
        <w:tc>
          <w:tcPr>
            <w:tcW w:type="dxa" w:w="78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6"/>
                <w:szCs w:val="16"/>
              </w:rPr>
              <w:t xml:space="preserve">TAA Compliant; Section 889 Compliant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D5A"/>
                <w:sz w:val="16"/>
                <w:szCs w:val="16"/>
              </w:rPr>
              <w:t xml:space="preserve">NAICS</w:t>
            </w:r>
          </w:p>
        </w:tc>
        <w:tc>
          <w:tcPr>
            <w:tcW w:type="dxa" w:w="7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6"/>
                <w:szCs w:val="16"/>
              </w:rPr>
              <w:t xml:space="preserve">541511 (primary), 541512, 541519, 518210</w:t>
            </w:r>
          </w:p>
        </w:tc>
      </w:tr>
      <w:tr>
        <w:tc>
          <w:tcPr>
            <w:tcW w:type="dxa" w:w="30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D5A"/>
                <w:sz w:val="16"/>
                <w:szCs w:val="16"/>
              </w:rPr>
              <w:t xml:space="preserve">Business Model</w:t>
            </w:r>
          </w:p>
        </w:tc>
        <w:tc>
          <w:tcPr>
            <w:tcW w:type="dxa" w:w="78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6"/>
                <w:szCs w:val="16"/>
              </w:rPr>
              <w:t xml:space="preserve">Systems integrator and services provider — custom development, integration, and modernization. Not a COTS reseller or product operator.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D5A"/>
                <w:sz w:val="16"/>
                <w:szCs w:val="16"/>
              </w:rPr>
              <w:t xml:space="preserve">Preferred Contract Types</w:t>
            </w:r>
          </w:p>
        </w:tc>
        <w:tc>
          <w:tcPr>
            <w:tcW w:type="dxa" w:w="7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6"/>
                <w:szCs w:val="16"/>
              </w:rPr>
              <w:t xml:space="preserve">T&amp;M, Labor Hour, Cost-Plus, or FFP for custom development and systems integration</w:t>
            </w:r>
          </w:p>
        </w:tc>
      </w:tr>
      <w:tr>
        <w:tc>
          <w:tcPr>
            <w:tcW w:type="dxa" w:w="30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D5A"/>
                <w:sz w:val="16"/>
                <w:szCs w:val="16"/>
              </w:rPr>
              <w:t xml:space="preserve">Order Sweet Spot</w:t>
            </w:r>
          </w:p>
        </w:tc>
        <w:tc>
          <w:tcPr>
            <w:tcW w:type="dxa" w:w="78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6"/>
                <w:szCs w:val="16"/>
              </w:rPr>
              <w:t xml:space="preserve">$500K–$5M task orders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D5A"/>
                <w:sz w:val="16"/>
                <w:szCs w:val="16"/>
              </w:rPr>
              <w:t xml:space="preserve">Target Agencies</w:t>
            </w:r>
          </w:p>
        </w:tc>
        <w:tc>
          <w:tcPr>
            <w:tcW w:type="dxa" w:w="7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6"/>
                <w:szCs w:val="16"/>
              </w:rPr>
              <w:t xml:space="preserve">VA OIT, HHS (CMS, HRSA, IHS), state Medicaid/DOH agencies; open to all SEWP VI ordering activities with healthcare, AI/ML, cloud, or modernization requirements</w:t>
            </w:r>
          </w:p>
        </w:tc>
      </w:tr>
      <w:tr>
        <w:tc>
          <w:tcPr>
            <w:tcW w:type="dxa" w:w="30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D5A"/>
                <w:sz w:val="16"/>
                <w:szCs w:val="16"/>
              </w:rPr>
              <w:t xml:space="preserve">Teaming Posture</w:t>
            </w:r>
          </w:p>
        </w:tc>
        <w:tc>
          <w:tcPr>
            <w:tcW w:type="dxa" w:w="78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6"/>
                <w:szCs w:val="16"/>
              </w:rPr>
              <w:t xml:space="preserve">Subcontractor / delivery partner to TES on SEWP VI Category C task orders; niche prime-referral candidate for healthcare-heavy requirements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D5A"/>
                <w:sz w:val="16"/>
                <w:szCs w:val="16"/>
              </w:rPr>
              <w:t xml:space="preserve">BD Point of Contact</w:t>
            </w:r>
          </w:p>
        </w:tc>
        <w:tc>
          <w:tcPr>
            <w:tcW w:type="dxa" w:w="7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6"/>
                <w:szCs w:val="16"/>
              </w:rPr>
              <w:t xml:space="preserve">Khaalis Wooden, MBA — Director of Enterprise Capture &amp; Compliance | khaalis.wooden@visionblox.com | (256) 988-1130</w:t>
            </w:r>
          </w:p>
        </w:tc>
      </w:tr>
      <w:tr>
        <w:tc>
          <w:tcPr>
            <w:tcW w:type="dxa" w:w="30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D5A"/>
                <w:sz w:val="16"/>
                <w:szCs w:val="16"/>
              </w:rPr>
              <w:t xml:space="preserve">Technical POC (Evaluations)</w:t>
            </w:r>
          </w:p>
        </w:tc>
        <w:tc>
          <w:tcPr>
            <w:tcW w:type="dxa" w:w="78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6"/>
                <w:szCs w:val="16"/>
              </w:rPr>
              <w:t xml:space="preserve">Technical Director — Data Engineering &amp; AI/ML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D5A"/>
                <w:sz w:val="16"/>
                <w:szCs w:val="16"/>
              </w:rPr>
              <w:t xml:space="preserve">Executive Sponsor</w:t>
            </w:r>
          </w:p>
        </w:tc>
        <w:tc>
          <w:tcPr>
            <w:tcW w:type="dxa" w:w="7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6"/>
                <w:szCs w:val="16"/>
              </w:rPr>
              <w:t xml:space="preserve">CEO &amp; Principal Architect — AWS-SAA, PMP | 925-481-4595</w:t>
            </w:r>
          </w:p>
        </w:tc>
      </w:tr>
      <w:tr>
        <w:tc>
          <w:tcPr>
            <w:tcW w:type="dxa" w:w="30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D5A"/>
                <w:sz w:val="16"/>
                <w:szCs w:val="16"/>
              </w:rPr>
              <w:t xml:space="preserve">Web</w:t>
            </w:r>
          </w:p>
        </w:tc>
        <w:tc>
          <w:tcPr>
            <w:tcW w:type="dxa" w:w="78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6"/>
                <w:szCs w:val="16"/>
              </w:rPr>
              <w:t xml:space="preserve">visionblox.org</w:t>
            </w:r>
          </w:p>
        </w:tc>
      </w:tr>
    </w:tbl>
    <w:sectPr>
      <w:pgSz w:w="12240" w:h="15840" w:orient="portrait"/>
      <w:pgMar w:top="50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08ca476bf971acdca8e6e4580760c15c043b60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2026-08-13T23:06:07.208Z</dcterms:created>
  <dcterms:modified xsi:type="dcterms:W3CDTF">2026-08-13T23:06:07.209Z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