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28"/>
        <w:gridCol w:w="5328"/>
      </w:tblGrid>
      <w:tr>
        <w:tc>
          <w:tcPr>
            <w:tcW w:w="6480" w:type="dxa"/>
            <w:shd w:val="clear" w:color="auto" w:fill="232D5A"/>
            <w:vAlign w:val="center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60"/>
            </w:pPr>
            <w:r>
              <w:drawing>
                <wp:inline xmlns:a="http://schemas.openxmlformats.org/drawingml/2006/main" xmlns:pic="http://schemas.openxmlformats.org/drawingml/2006/picture">
                  <wp:extent cx="2194560" cy="924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sionblox-logo-knocko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924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b/>
                <w:i w:val="0"/>
                <w:color w:val="7FD4C1"/>
                <w:sz w:val="13"/>
                <w:caps w:val="1"/>
                <w:spacing w:val="60"/>
              </w:rPr>
              <w:t>BUILD WHAT DOESN'T EXIST YET</w:t>
            </w:r>
          </w:p>
        </w:tc>
        <w:tc>
          <w:tcPr>
            <w:tcW w:w="4176" w:type="dxa"/>
            <w:shd w:val="clear" w:color="auto" w:fill="232D5A"/>
            <w:vAlign w:val="center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  <w:spacing w:val="20"/>
              </w:rPr>
              <w:t>SEWP VI PARTNER PROFILE</w:t>
            </w:r>
          </w:p>
          <w:p>
            <w:pPr>
              <w:spacing w:before="0" w:after="100"/>
              <w:jc w:val="right"/>
            </w:pPr>
            <w:r>
              <w:rPr>
                <w:rFonts w:ascii="Arial" w:hAnsi="Arial" w:cs="Arial"/>
                <w:b w:val="0"/>
                <w:i w:val="0"/>
                <w:color w:val="7FD4C1"/>
                <w:sz w:val="16"/>
              </w:rPr>
              <w:t>Capability Keywords &amp; Company Information</w:t>
            </w:r>
          </w:p>
          <w:p>
            <w:pPr>
              <w:spacing w:before="0" w:after="0"/>
              <w:jc w:val="right"/>
              <w:pBdr>
                <w:top w:val="single" w:sz="6" w:space="3" w:color="F7B801"/>
              </w:pBdr>
            </w:pPr>
            <w:r>
              <w:rPr>
                <w:rFonts w:ascii="Arial" w:hAnsi="Arial" w:cs="Arial"/>
                <w:b w:val="0"/>
                <w:i w:val="0"/>
                <w:color w:val="F5F5F0"/>
                <w:sz w:val="16"/>
              </w:rPr>
              <w:t xml:space="preserve">Prepared for </w:t>
            </w:r>
            <w:r>
              <w:rPr>
                <w:rFonts w:ascii="Arial" w:hAnsi="Arial" w:cs="Arial"/>
                <w:b/>
                <w:i w:val="0"/>
                <w:color w:val="F7B801"/>
                <w:sz w:val="16"/>
              </w:rPr>
              <w:t>TES Consultants</w:t>
            </w:r>
            <w:r>
              <w:rPr>
                <w:rFonts w:ascii="Arial" w:hAnsi="Arial" w:cs="Arial"/>
                <w:b w:val="0"/>
                <w:i w:val="0"/>
                <w:color w:val="F5F5F0"/>
                <w:sz w:val="16"/>
              </w:rPr>
              <w:t xml:space="preserve">   •   August 2026</w:t>
            </w:r>
          </w:p>
        </w:tc>
      </w:tr>
    </w:tbl>
    <w:p>
      <w:pPr>
        <w:spacing w:before="0" w:after="40"/>
        <w:pBdr>
          <w:bottom w:val="single" w:sz="18" w:space="0" w:color="F7B801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656"/>
      </w:tblGrid>
      <w:tr>
        <w:tc>
          <w:tcPr>
            <w:tcW w:w="10656" w:type="dxa"/>
            <w:shd w:val="clear" w:color="auto" w:fill="E7F5F1"/>
            <w:tcMar>
              <w:top w:w="115" w:type="dxa"/>
              <w:left w:w="160" w:type="dxa"/>
              <w:bottom w:w="115" w:type="dxa"/>
              <w:right w:w="160" w:type="dxa"/>
            </w:tcMar>
            <w:tcBorders>
              <w:top w:val="nil"/>
              <w:left w:val="single" w:sz="30" w:space="0" w:color="2EA891"/>
              <w:bottom w:val="nil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8"/>
              </w:rPr>
              <w:t>Prepared for the TES SEWP VI Partner Capability Catalog</w:t>
            </w:r>
            <w:r>
              <w:rPr>
                <w:rFonts w:ascii="Arial" w:hAnsi="Arial" w:cs="Arial"/>
                <w:b w:val="0"/>
                <w:i w:val="0"/>
                <w:color w:val="2E2E2E"/>
                <w:sz w:val="18"/>
              </w:rPr>
              <w:t xml:space="preserve"> and opportunity-matching automation engine (SEWP VI GWAC, Category C — ITC/AV Mission-Based Services). Keywords are grouped by capability domain; individual terms are semicolon-delimited for direct ingestion.</w:t>
            </w:r>
          </w:p>
        </w:tc>
      </w:tr>
    </w:tbl>
    <w:p>
      <w:pPr>
        <w:spacing w:before="200" w:after="80"/>
        <w:pBdr>
          <w:bottom w:val="single" w:sz="8" w:space="2" w:color="2EA891"/>
        </w:pBdr>
      </w:pPr>
      <w:r>
        <w:rPr>
          <w:rFonts w:ascii="Arial" w:hAnsi="Arial" w:cs="Arial"/>
          <w:b/>
          <w:i w:val="0"/>
          <w:color w:val="2EA891"/>
          <w:sz w:val="20"/>
          <w:caps w:val="1"/>
          <w:spacing w:val="48"/>
        </w:rPr>
        <w:t>Capability Keywords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28"/>
        <w:gridCol w:w="5328"/>
      </w:tblGrid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Healthcare IT &amp; Interoperability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healthcare IT; health IT modernization; EHR integration; EMR; Epic; HL7; FHIR; HL7 v2; FHIR API; interoperability; 21st Century Cures Act; patient portal; patient access; telehealth; clinical data integration; health information exchange; prior authorization API; CMS interoperability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Medicaid &amp; Health Programs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Medicaid modernization; MITA; MMIS; MES; claims processing; fiscal reporting; eligibility systems; state health IT; CMS compliance; healthcare claims; provider data management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AI / ML &amp; Document Intelligence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artificial intelligence; machine learning; AI/ML; intelligent document processing; document intelligence; OCR; NLP; natural language processing; predictive analytics; workflow automation; AI governance; NIST AI RMF; generative AI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Cloud &amp; DevSecOps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AWS; cloud migration; cloud-native development; serverless; AWS Lambda; AWS Batch; Amazon EMR; microservices; containers; DevSecOps; CI/CD; infrastructure as code; PHI-secure cloud; FedRAMP-aligned architecture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Software Development &amp; Integration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custom software development; application development; application modernization; legacy modernization; systems integration; API development; ETL; data pipelines; data engineering; database modernization; agile development; full-stack development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Data &amp; Analytics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data analytics; business intelligence; data warehousing; real-time dashboards; big data; high-volume transaction processing; data visualization; reporting systems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Enterprise ERP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SAP; S/4HANA; SAP S/4HANA; ERP modernization; ERP migration; enterprise applications; enterprise integration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E7F5F1"/>
            <w:vAlign w:val="center"/>
            <w:tcMar>
              <w:top w:w="85" w:type="dxa"/>
              <w:left w:w="130" w:type="dxa"/>
              <w:bottom w:w="85" w:type="dxa"/>
              <w:right w:w="120" w:type="dxa"/>
            </w:tcMar>
            <w:tcBorders>
              <w:top w:val="nil"/>
              <w:left w:val="single" w:sz="22" w:space="0" w:color="2EA891"/>
              <w:bottom w:val="single" w:sz="4" w:space="0" w:color="FFFFFF"/>
              <w:right w:val="nil"/>
            </w:tcBorders>
          </w:tcPr>
          <w:p>
            <w:pPr>
              <w:spacing w:before="0" w:after="0" w:line="252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7"/>
              </w:rPr>
              <w:t>Cybersecurity &amp; Compliance</w:t>
            </w:r>
          </w:p>
        </w:tc>
        <w:tc>
          <w:tcPr>
            <w:tcW w:w="7560" w:type="dxa"/>
            <w:shd w:val="clear" w:color="auto" w:fill="FFFFFF"/>
            <w:tcMar>
              <w:top w:w="85" w:type="dxa"/>
              <w:left w:w="140" w:type="dxa"/>
              <w:bottom w:w="85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cybersecurity; HIPAA; PHI security; healthcare data security; HITRUST; secure SDLC; security engineering; zero trust; data protection; Section 889; TAA compliant</w:t>
            </w:r>
          </w:p>
        </w:tc>
      </w:tr>
    </w:tbl>
    <w:p>
      <w:pPr>
        <w:spacing w:before="200" w:after="80"/>
        <w:pBdr>
          <w:bottom w:val="single" w:sz="8" w:space="2" w:color="2EA891"/>
        </w:pBdr>
      </w:pPr>
      <w:r>
        <w:rPr>
          <w:rFonts w:ascii="Arial" w:hAnsi="Arial" w:cs="Arial"/>
          <w:b/>
          <w:i w:val="0"/>
          <w:color w:val="2EA891"/>
          <w:sz w:val="20"/>
          <w:caps w:val="1"/>
          <w:spacing w:val="48"/>
        </w:rPr>
        <w:t>Company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28"/>
        <w:gridCol w:w="5328"/>
      </w:tblGrid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Legal Name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Visionblox LLC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Headquarters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2570 N. First Street, San Jose, CA 95131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CAGE / UEI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9Z4X2  /  H4X2Z7R9E3E3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Socioeconomic Status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Minority-Owned Small Business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Compliance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TAA Compliant; Section 889 Compliant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NAICS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541511 (primary), 541512, 541519, 518210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Awarded Contract Vehicle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State of Montana — Master AI Products &amp; Services Contract (SPB26-0608GW-VSNBLX); competitively awarded, both tracks (Aug 2026); term through 2028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Representative Past Performance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Patient portal / EHR (~$1.2M; 100K+ daily users; 99.8% SLA)  •  CA DHCS CFRS (~$2.1M; 96% OCR; 60% labor reduction)  •  National insurer claims (AWS; millions/day)  •  Urgent-care HL7/FHIR ETL (PHI-secure AWS)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Business Model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Systems integrator and services provider — custom development, integration, and modernization. Not a COTS reseller or product operator.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Preferred Contract Types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T&amp;M, Labor Hour, Cost-Plus, or FFP for custom development and systems integration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Order Sweet Spot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$500K–$5M task orders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Target Agencies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VA OIT, HHS (CMS, HRSA, IHS), state Medicaid/DOH agencies; open to all SEWP VI ordering activities with healthcare, AI/ML, cloud, or modernization requirements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Teaming Posture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Subcontractor / delivery partner to TES on SEWP VI Category C task orders; niche prime-referral candidate for healthcare-heavy requirements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BD Point of Contact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Khaalis Wooden, MBA</w:t>
            </w: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 xml:space="preserve"> — Director of Enterprise Capture &amp; Compliance | khaalis.wooden@visionblox.com | (256) 988-1130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Technical POC (Evaluations)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Technical Director</w:t>
            </w: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 xml:space="preserve"> — Data Engineering &amp; AI/ML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Executive Sponsor</w:t>
            </w:r>
          </w:p>
        </w:tc>
        <w:tc>
          <w:tcPr>
            <w:tcW w:w="7560" w:type="dxa"/>
            <w:shd w:val="clear" w:color="auto" w:fill="E7F5F1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/>
                <w:i w:val="0"/>
                <w:color w:val="232D5A"/>
                <w:sz w:val="16"/>
              </w:rPr>
              <w:t>CEO &amp; Principal Architect</w:t>
            </w: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 xml:space="preserve"> — AWS-SAA, PMP | 925-481-4595</w:t>
            </w:r>
          </w:p>
        </w:tc>
      </w:tr>
      <w:tr>
        <w:trPr>
          <w:cantSplit/>
        </w:trPr>
        <w:tc>
          <w:tcPr>
            <w:tcW w:w="3096" w:type="dxa"/>
            <w:shd w:val="clear" w:color="auto" w:fill="232D5A"/>
            <w:vAlign w:val="center"/>
            <w:tcMar>
              <w:top w:w="80" w:type="dxa"/>
              <w:left w:w="130" w:type="dxa"/>
              <w:bottom w:w="80" w:type="dxa"/>
              <w:right w:w="120" w:type="dxa"/>
            </w:tcMar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Web</w:t>
            </w:r>
          </w:p>
        </w:tc>
        <w:tc>
          <w:tcPr>
            <w:tcW w:w="7560" w:type="dxa"/>
            <w:shd w:val="clear" w:color="auto" w:fill="FFFFFF"/>
            <w:vAlign w:val="center"/>
            <w:tcMar>
              <w:top w:w="80" w:type="dxa"/>
              <w:left w:w="140" w:type="dxa"/>
              <w:bottom w:w="80" w:type="dxa"/>
              <w:right w:w="130" w:type="dxa"/>
            </w:tcMar>
            <w:tcBorders>
              <w:top w:val="nil"/>
              <w:left w:val="nil"/>
              <w:bottom w:val="single" w:sz="4" w:space="0" w:color="D9DEE6"/>
              <w:right w:val="nil"/>
            </w:tcBorders>
          </w:tcPr>
          <w:p>
            <w:pPr>
              <w:spacing w:before="0" w:after="0" w:line="254" w:lineRule="auto"/>
            </w:pPr>
            <w:r>
              <w:rPr>
                <w:rFonts w:ascii="Arial" w:hAnsi="Arial" w:cs="Arial"/>
                <w:b w:val="0"/>
                <w:i w:val="0"/>
                <w:color w:val="2E2E2E"/>
                <w:sz w:val="16"/>
              </w:rPr>
              <w:t>visionblox.com</w:t>
            </w:r>
          </w:p>
        </w:tc>
      </w:tr>
    </w:tbl>
    <w:p>
      <w:pPr>
        <w:spacing w:before="1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28"/>
        <w:gridCol w:w="5328"/>
      </w:tblGrid>
      <w:tr>
        <w:tc>
          <w:tcPr>
            <w:tcW w:w="6192" w:type="dxa"/>
            <w:shd w:val="clear" w:color="auto" w:fill="232D5A"/>
            <w:vAlign w:val="center"/>
            <w:tcMar>
              <w:top w:w="110" w:type="dxa"/>
              <w:left w:w="160" w:type="dxa"/>
              <w:bottom w:w="110" w:type="dxa"/>
              <w:right w:w="160" w:type="dxa"/>
            </w:tcMar>
            <w:tcBorders>
              <w:top w:val="single" w:sz="26" w:space="0" w:color="F7B801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Visionblox LLC</w:t>
            </w:r>
            <w:r>
              <w:rPr>
                <w:rFonts w:ascii="Arial" w:hAnsi="Arial" w:cs="Arial"/>
                <w:b w:val="0"/>
                <w:i w:val="0"/>
                <w:color w:val="7FD4C1"/>
                <w:sz w:val="15"/>
              </w:rPr>
              <w:t xml:space="preserve">   •   Minority-Owned Small Business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i w:val="0"/>
                <w:color w:val="F5F5F0"/>
                <w:sz w:val="15"/>
              </w:rPr>
              <w:t>CAGE 9Z4X2  •  UEI H4X2Z7R9E3E3  •  SEWP VI Category C</w:t>
            </w:r>
          </w:p>
        </w:tc>
        <w:tc>
          <w:tcPr>
            <w:tcW w:w="4464" w:type="dxa"/>
            <w:shd w:val="clear" w:color="auto" w:fill="232D5A"/>
            <w:vAlign w:val="center"/>
            <w:tcMar>
              <w:top w:w="110" w:type="dxa"/>
              <w:left w:w="160" w:type="dxa"/>
              <w:bottom w:w="110" w:type="dxa"/>
              <w:right w:w="160" w:type="dxa"/>
            </w:tcMar>
            <w:tcBorders>
              <w:top w:val="single" w:sz="26" w:space="0" w:color="F7B801"/>
              <w:left w:val="nil"/>
              <w:bottom w:val="nil"/>
              <w:right w:val="nil"/>
            </w:tcBorders>
          </w:tcPr>
          <w:p>
            <w:pPr>
              <w:spacing w:before="0" w:after="40"/>
              <w:jc w:val="right"/>
            </w:pPr>
            <w:r>
              <w:rPr>
                <w:rFonts w:ascii="Arial" w:hAnsi="Arial" w:cs="Arial"/>
                <w:b/>
                <w:i w:val="0"/>
                <w:color w:val="FFFFFF"/>
                <w:sz w:val="16"/>
              </w:rPr>
              <w:t>khaalis.wooden@visionblox.com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 w:val="0"/>
                <w:i w:val="0"/>
                <w:color w:val="F5F5F0"/>
                <w:sz w:val="15"/>
              </w:rPr>
              <w:t>(256) 988-1130   •   visionblox.com</w:t>
            </w:r>
          </w:p>
        </w:tc>
      </w:tr>
    </w:tbl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E2E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