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32D5A"/>
          <w:sz w:val="36"/>
          <w:szCs w:val="36"/>
        </w:rPr>
        <w:t xml:space="preserve">VISIONBLOX LLC</w:t>
      </w:r>
    </w:p>
    <w:p>
      <w:pPr>
        <w:spacing w:after="400" w:before="0"/>
        <w:jc w:val="center"/>
      </w:pPr>
      <w:r>
        <w:rPr>
          <w:rFonts w:ascii="Arial" w:cs="Arial" w:eastAsia="Arial" w:hAnsi="Arial"/>
          <w:b/>
          <w:bCs/>
          <w:color w:val="2EA891"/>
          <w:sz w:val="28"/>
          <w:szCs w:val="28"/>
        </w:rPr>
        <w:t xml:space="preserve">US-ONLY DELIVERY ROSTER</w:t>
      </w:r>
    </w:p>
    <w:p>
      <w:pPr>
        <w:spacing w:after="200" w:before="0"/>
        <w:jc w:val="center"/>
      </w:pPr>
      <w:r>
        <w:rPr>
          <w:rFonts w:ascii="Arial" w:cs="Arial" w:eastAsia="Arial" w:hAnsi="Arial"/>
          <w:b/>
          <w:bCs/>
          <w:color w:val="000000"/>
          <w:sz w:val="22"/>
          <w:szCs w:val="22"/>
        </w:rPr>
        <w:t xml:space="preserve">Authorized Personnel for Montana Master AI Task Order Delivery</w:t>
      </w:r>
    </w:p>
    <w:p>
      <w:pPr>
        <w:spacing w:after="200" w:before="0"/>
        <w:jc w:val="center"/>
      </w:pPr>
      <w:r>
        <w:rPr>
          <w:rFonts w:ascii="Arial" w:cs="Arial" w:eastAsia="Arial" w:hAnsi="Arial"/>
          <w:color w:val="000000"/>
          <w:sz w:val="20"/>
          <w:szCs w:val="20"/>
        </w:rPr>
        <w:t xml:space="preserve">Solicitation SPB-RFP-2026-0608GW</w:t>
      </w:r>
    </w:p>
    <w:p>
      <w:pPr>
        <w:pBdr>
          <w:top w:val="single" w:color="F7B801" w:sz="24" w:space="8"/>
        </w:pBdr>
        <w:spacing w:after="200" w:before="200"/>
        <w:jc w:val="center"/>
      </w:pPr>
      <w:r>
        <w:rPr>
          <w:rFonts w:ascii="Arial" w:cs="Arial" w:eastAsia="Arial" w:hAnsi="Arial"/>
        </w:rPr>
        <w:t xml:space="preserve"/>
      </w:r>
    </w:p>
    <w:p>
      <w:pPr>
        <w:spacing w:after="80" w:before="400"/>
        <w:jc w:val="center"/>
      </w:pPr>
      <w:r>
        <w:rPr>
          <w:rFonts w:ascii="Arial" w:cs="Arial" w:eastAsia="Arial" w:hAnsi="Arial"/>
          <w:b/>
          <w:bCs/>
          <w:color w:val="232D5A"/>
          <w:sz w:val="20"/>
          <w:szCs w:val="20"/>
        </w:rPr>
        <w:t xml:space="preserve">Compliance Basis</w:t>
      </w:r>
    </w:p>
    <w:p>
      <w:pPr>
        <w:spacing w:after="40" w:before="0"/>
        <w:jc w:val="center"/>
      </w:pPr>
      <w:r>
        <w:rPr>
          <w:rFonts w:ascii="Arial" w:cs="Arial" w:eastAsia="Arial" w:hAnsi="Arial"/>
          <w:color w:val="000000"/>
          <w:sz w:val="20"/>
          <w:szCs w:val="20"/>
        </w:rPr>
        <w:t xml:space="preserve">Exhibit C §1e (Remote Access — US-Only, No Exceptions)</w:t>
      </w:r>
    </w:p>
    <w:p>
      <w:pPr>
        <w:spacing w:after="40" w:before="0"/>
        <w:jc w:val="center"/>
      </w:pPr>
      <w:r>
        <w:rPr>
          <w:rFonts w:ascii="Arial" w:cs="Arial" w:eastAsia="Arial" w:hAnsi="Arial"/>
          <w:color w:val="000000"/>
          <w:sz w:val="20"/>
          <w:szCs w:val="20"/>
        </w:rPr>
        <w:t xml:space="preserve">Exhibit C §5 (Security Awareness Training)  |  Exhibit C §6 (Criminal Background Checks)</w:t>
      </w:r>
    </w:p>
    <w:p>
      <w:pPr>
        <w:spacing w:after="400" w:before="0"/>
        <w:jc w:val="center"/>
      </w:pPr>
      <w:r>
        <w:rPr>
          <w:rFonts w:ascii="Arial" w:cs="Arial" w:eastAsia="Arial" w:hAnsi="Arial"/>
          <w:color w:val="000000"/>
          <w:sz w:val="20"/>
          <w:szCs w:val="20"/>
        </w:rPr>
        <w:t xml:space="preserve">Exhibit C §15 (Authorized Personnel)  |  MCA 2-6-1503(4) (Access Control)</w:t>
      </w:r>
    </w:p>
    <w:p>
      <w:pPr>
        <w:spacing w:after="80" w:before="400"/>
        <w:jc w:val="center"/>
      </w:pPr>
      <w:r>
        <w:rPr>
          <w:rFonts w:ascii="Arial" w:cs="Arial" w:eastAsia="Arial" w:hAnsi="Arial"/>
          <w:color w:val="000000"/>
          <w:sz w:val="20"/>
          <w:szCs w:val="20"/>
        </w:rPr>
        <w:t xml:space="preserve">Prepared by: Antony Jayaraj, Director of Data Engineering</w:t>
      </w:r>
    </w:p>
    <w:p>
      <w:pPr>
        <w:spacing w:after="80" w:before="0"/>
        <w:jc w:val="center"/>
      </w:pPr>
      <w:r>
        <w:rPr>
          <w:rFonts w:ascii="Arial" w:cs="Arial" w:eastAsia="Arial" w:hAnsi="Arial"/>
          <w:color w:val="000000"/>
          <w:sz w:val="20"/>
          <w:szCs w:val="20"/>
        </w:rPr>
        <w:t xml:space="preserve">Compliance Verified by: Khaalis Wooden, MBA — Director of Enterprise Capture &amp; Compliance</w:t>
      </w:r>
    </w:p>
    <w:p>
      <w:pPr>
        <w:spacing w:after="80" w:before="0"/>
        <w:jc w:val="center"/>
      </w:pPr>
      <w:r>
        <w:rPr>
          <w:rFonts w:ascii="Arial" w:cs="Arial" w:eastAsia="Arial" w:hAnsi="Arial"/>
          <w:color w:val="000000"/>
          <w:sz w:val="20"/>
          <w:szCs w:val="20"/>
        </w:rPr>
        <w:t xml:space="preserve">Approved by: Akil R. Chellam, CEO</w:t>
      </w:r>
    </w:p>
    <w:p>
      <w:pPr>
        <w:spacing w:after="80" w:before="200"/>
        <w:jc w:val="center"/>
      </w:pPr>
      <w:r>
        <w:rPr>
          <w:rFonts w:ascii="Arial" w:cs="Arial" w:eastAsia="Arial" w:hAnsi="Arial"/>
          <w:color w:val="000000"/>
          <w:sz w:val="20"/>
          <w:szCs w:val="20"/>
        </w:rPr>
        <w:t xml:space="preserve">Roster Effective Date: ____________________  |  Next Review: Annual</w:t>
      </w:r>
    </w:p>
    <w:p>
      <w:pPr>
        <w:spacing w:after="80" w:before="0"/>
        <w:jc w:val="center"/>
      </w:pPr>
      <w:r>
        <w:rPr>
          <w:rFonts w:ascii="Arial" w:cs="Arial" w:eastAsia="Arial" w:hAnsi="Arial"/>
          <w:color w:val="595959"/>
          <w:sz w:val="18"/>
          <w:szCs w:val="18"/>
        </w:rPr>
        <w:t xml:space="preserve">Version: 1.0</w:t>
      </w:r>
    </w:p>
    <w:p>
      <w:pPr>
        <w:spacing w:after="80" w:before="200"/>
        <w:jc w:val="center"/>
      </w:pPr>
      <w:r>
        <w:rPr>
          <w:rFonts w:ascii="Arial" w:cs="Arial" w:eastAsia="Arial" w:hAnsi="Arial"/>
          <w:color w:val="595959"/>
          <w:sz w:val="18"/>
          <w:szCs w:val="18"/>
        </w:rPr>
        <w:t>CAGE 9Z4X2  |  UEI H4X2Z7R9E3E3</w:t>
      </w:r>
    </w:p>
    <w:p>
      <w:pPr>
        <w:spacing w:after="80" w:before="0"/>
        <w:jc w:val="center"/>
      </w:pPr>
      <w:r>
        <w:rPr>
          <w:rFonts w:ascii="Arial" w:cs="Arial" w:eastAsia="Arial" w:hAnsi="Arial"/>
          <w:b/>
          <w:bCs/>
          <w:color w:val="232D5A"/>
          <w:sz w:val="18"/>
          <w:szCs w:val="18"/>
        </w:rPr>
        <w:t xml:space="preserve">CONFIDENTIAL — INTERNAL COMPLIANCE USE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1.  Purpose &amp; Scope</w:t>
      </w:r>
    </w:p>
    <w:p>
      <w:pPr>
        <w:spacing w:after="100" w:before="80"/>
        <w:jc w:val="left"/>
      </w:pPr>
      <w:r>
        <w:rPr>
          <w:rFonts w:ascii="Arial" w:cs="Arial" w:eastAsia="Arial" w:hAnsi="Arial"/>
          <w:b w:val="false"/>
          <w:bCs w:val="false"/>
          <w:i w:val="false"/>
          <w:iCs w:val="false"/>
          <w:color w:val="000000"/>
          <w:sz w:val="20"/>
          <w:szCs w:val="20"/>
        </w:rPr>
        <w:t xml:space="preserve">This document identifies the specific Visionblox LLC personnel — and any named subcontractor personnel — authorized to perform work under any task order issued against the Montana Master AI Products and Services vehicle (SPB-RFP-2026-0608GW).</w:t>
      </w:r>
    </w:p>
    <w:p>
      <w:pPr>
        <w:spacing w:after="100" w:before="80"/>
        <w:jc w:val="left"/>
      </w:pPr>
      <w:r>
        <w:rPr>
          <w:rFonts w:ascii="Arial" w:cs="Arial" w:eastAsia="Arial" w:hAnsi="Arial"/>
          <w:b w:val="false"/>
          <w:bCs w:val="false"/>
          <w:i w:val="false"/>
          <w:iCs w:val="false"/>
          <w:color w:val="000000"/>
          <w:sz w:val="20"/>
          <w:szCs w:val="20"/>
        </w:rPr>
        <w:t xml:space="preserve">Its purpose is to satisfy Exhibit C §1e's absolute requirement that Montana IT resources not be accessed by any person located outside the legal jurisdictional boundary of the United States, and to serve as VBX's authoritative record of who may be assigned to Montana task order work.</w:t>
      </w:r>
    </w:p>
    <w:p>
      <w:pPr>
        <w:pStyle w:val="Heading2"/>
        <w:spacing w:after="100" w:before="220"/>
      </w:pPr>
      <w:r>
        <w:rPr>
          <w:rFonts w:ascii="Arial" w:cs="Arial" w:eastAsia="Arial" w:hAnsi="Arial"/>
          <w:b/>
          <w:bCs/>
          <w:color w:val="232D5A"/>
          <w:sz w:val="24"/>
          <w:szCs w:val="24"/>
        </w:rPr>
        <w:t xml:space="preserve">1.1  What This Roster Establishes</w:t>
      </w:r>
    </w:p>
    <w:p>
      <w:pPr>
        <w:spacing w:after="40" w:before="80"/>
        <w:jc w:val="left"/>
      </w:pPr>
      <w:r>
        <w:rPr>
          <w:rFonts w:ascii="Arial" w:cs="Arial" w:eastAsia="Arial" w:hAnsi="Arial"/>
          <w:b w:val="false"/>
          <w:bCs w:val="false"/>
          <w:i w:val="false"/>
          <w:iCs w:val="false"/>
          <w:color w:val="000000"/>
          <w:sz w:val="20"/>
          <w:szCs w:val="20"/>
        </w:rPr>
        <w:t xml:space="preserve">• The exclusive list of personnel permitted to access Montana IT resources, non-public State data, or State-provided infrastructure under this vehicle.</w:t>
      </w:r>
    </w:p>
    <w:p>
      <w:pPr>
        <w:spacing w:after="40" w:before="80"/>
        <w:jc w:val="left"/>
      </w:pPr>
      <w:r>
        <w:rPr>
          <w:rFonts w:ascii="Arial" w:cs="Arial" w:eastAsia="Arial" w:hAnsi="Arial"/>
          <w:b w:val="false"/>
          <w:bCs w:val="false"/>
          <w:i w:val="false"/>
          <w:iCs w:val="false"/>
          <w:color w:val="000000"/>
          <w:sz w:val="20"/>
          <w:szCs w:val="20"/>
        </w:rPr>
        <w:t xml:space="preserve">• Each listed person's US work location during MT task order performance.</w:t>
      </w:r>
    </w:p>
    <w:p>
      <w:pPr>
        <w:spacing w:after="40" w:before="80"/>
        <w:jc w:val="left"/>
      </w:pPr>
      <w:r>
        <w:rPr>
          <w:rFonts w:ascii="Arial" w:cs="Arial" w:eastAsia="Arial" w:hAnsi="Arial"/>
          <w:b w:val="false"/>
          <w:bCs w:val="false"/>
          <w:i w:val="false"/>
          <w:iCs w:val="false"/>
          <w:color w:val="000000"/>
          <w:sz w:val="20"/>
          <w:szCs w:val="20"/>
        </w:rPr>
        <w:t xml:space="preserve">• Each listed person's completion status on the compliance requirements the contract imposes: annual criminal background check (Exhibit C §6) and security awareness training (Exhibit C §5).</w:t>
      </w:r>
    </w:p>
    <w:p>
      <w:pPr>
        <w:spacing w:after="100" w:before="80"/>
        <w:jc w:val="left"/>
      </w:pPr>
      <w:r>
        <w:rPr>
          <w:rFonts w:ascii="Arial" w:cs="Arial" w:eastAsia="Arial" w:hAnsi="Arial"/>
          <w:b w:val="false"/>
          <w:bCs w:val="false"/>
          <w:i w:val="false"/>
          <w:iCs w:val="false"/>
          <w:color w:val="000000"/>
          <w:sz w:val="20"/>
          <w:szCs w:val="20"/>
        </w:rPr>
        <w:t xml:space="preserve">• The chain of approval required to add or remove personnel from the roster.</w:t>
      </w:r>
    </w:p>
    <w:p>
      <w:pPr>
        <w:pStyle w:val="Heading2"/>
        <w:spacing w:after="100" w:before="220"/>
      </w:pPr>
      <w:r>
        <w:rPr>
          <w:rFonts w:ascii="Arial" w:cs="Arial" w:eastAsia="Arial" w:hAnsi="Arial"/>
          <w:b/>
          <w:bCs/>
          <w:color w:val="232D5A"/>
          <w:sz w:val="24"/>
          <w:szCs w:val="24"/>
        </w:rPr>
        <w:t xml:space="preserve">1.2  What This Roster Does NOT Cover</w:t>
      </w:r>
    </w:p>
    <w:p>
      <w:pPr>
        <w:spacing w:after="40" w:before="80"/>
        <w:jc w:val="left"/>
      </w:pPr>
      <w:r>
        <w:rPr>
          <w:rFonts w:ascii="Arial" w:cs="Arial" w:eastAsia="Arial" w:hAnsi="Arial"/>
          <w:b w:val="false"/>
          <w:bCs w:val="false"/>
          <w:i w:val="false"/>
          <w:iCs w:val="false"/>
          <w:color w:val="000000"/>
          <w:sz w:val="20"/>
          <w:szCs w:val="20"/>
        </w:rPr>
        <w:t xml:space="preserve">• General VBX employment or engagement roster — this is a compliance subset, not a company org chart.</w:t>
      </w:r>
    </w:p>
    <w:p>
      <w:pPr>
        <w:spacing w:after="40" w:before="80"/>
        <w:jc w:val="left"/>
      </w:pPr>
      <w:r>
        <w:rPr>
          <w:rFonts w:ascii="Arial" w:cs="Arial" w:eastAsia="Arial" w:hAnsi="Arial"/>
          <w:b w:val="false"/>
          <w:bCs w:val="false"/>
          <w:i w:val="false"/>
          <w:iCs w:val="false"/>
          <w:color w:val="000000"/>
          <w:sz w:val="20"/>
          <w:szCs w:val="20"/>
        </w:rPr>
        <w:t xml:space="preserve">• Personnel who work exclusively on non-Montana engagements (Kaiser, Cigna, DHCS, commercial, etc.).</w:t>
      </w:r>
    </w:p>
    <w:p>
      <w:pPr>
        <w:spacing w:after="100" w:before="80"/>
        <w:jc w:val="left"/>
      </w:pPr>
      <w:r>
        <w:rPr>
          <w:rFonts w:ascii="Arial" w:cs="Arial" w:eastAsia="Arial" w:hAnsi="Arial"/>
          <w:b w:val="false"/>
          <w:bCs w:val="false"/>
          <w:i w:val="false"/>
          <w:iCs w:val="false"/>
          <w:color w:val="000000"/>
          <w:sz w:val="20"/>
          <w:szCs w:val="20"/>
        </w:rPr>
        <w:t xml:space="preserve">• Personnel located outside the United States. Such personnel are categorically excluded from any Montana task order work per Exhibit C §1e, regardless of role, security clearance, or duration.</w:t>
      </w:r>
    </w:p>
    <w:p>
      <w:pPr>
        <w:pStyle w:val="Heading2"/>
        <w:spacing w:after="100" w:before="220"/>
      </w:pPr>
      <w:r>
        <w:rPr>
          <w:rFonts w:ascii="Arial" w:cs="Arial" w:eastAsia="Arial" w:hAnsi="Arial"/>
          <w:b/>
          <w:bCs/>
          <w:color w:val="232D5A"/>
          <w:sz w:val="24"/>
          <w:szCs w:val="24"/>
        </w:rPr>
        <w:t xml:space="preserve">1.3  When This Roster Applies</w:t>
      </w:r>
    </w:p>
    <w:p>
      <w:pPr>
        <w:spacing w:after="40" w:before="80"/>
        <w:jc w:val="left"/>
      </w:pPr>
      <w:r>
        <w:rPr>
          <w:rFonts w:ascii="Arial" w:cs="Arial" w:eastAsia="Arial" w:hAnsi="Arial"/>
          <w:b w:val="false"/>
          <w:bCs w:val="false"/>
          <w:i w:val="false"/>
          <w:iCs w:val="false"/>
          <w:color w:val="000000"/>
          <w:sz w:val="20"/>
          <w:szCs w:val="20"/>
        </w:rPr>
        <w:t xml:space="preserve">Applies at three points in the delivery lifecycle:</w:t>
      </w:r>
    </w:p>
    <w:p>
      <w:pPr>
        <w:spacing w:after="40" w:before="80"/>
        <w:jc w:val="left"/>
      </w:pPr>
      <w:r>
        <w:rPr>
          <w:rFonts w:ascii="Arial" w:cs="Arial" w:eastAsia="Arial" w:hAnsi="Arial"/>
          <w:b w:val="false"/>
          <w:bCs w:val="false"/>
          <w:i w:val="false"/>
          <w:iCs w:val="false"/>
          <w:color w:val="000000"/>
          <w:sz w:val="20"/>
          <w:szCs w:val="20"/>
        </w:rPr>
        <w:t xml:space="preserve">1.  Before task order bid submission — proposed key personnel must be drawn from the current roster or added to it (with appropriate approvals) prior to inclusion in the proposal.</w:t>
      </w:r>
    </w:p>
    <w:p>
      <w:pPr>
        <w:spacing w:after="40" w:before="80"/>
        <w:jc w:val="left"/>
      </w:pPr>
      <w:r>
        <w:rPr>
          <w:rFonts w:ascii="Arial" w:cs="Arial" w:eastAsia="Arial" w:hAnsi="Arial"/>
          <w:b w:val="false"/>
          <w:bCs w:val="false"/>
          <w:i w:val="false"/>
          <w:iCs w:val="false"/>
          <w:color w:val="000000"/>
          <w:sz w:val="20"/>
          <w:szCs w:val="20"/>
        </w:rPr>
        <w:t xml:space="preserve">2.  At task order award — final delivery team named in the SOW must be a subset of the roster.</w:t>
      </w:r>
    </w:p>
    <w:p>
      <w:pPr>
        <w:spacing w:after="100" w:before="80"/>
        <w:jc w:val="left"/>
      </w:pPr>
      <w:r>
        <w:rPr>
          <w:rFonts w:ascii="Arial" w:cs="Arial" w:eastAsia="Arial" w:hAnsi="Arial"/>
          <w:b w:val="false"/>
          <w:bCs w:val="false"/>
          <w:i w:val="false"/>
          <w:iCs w:val="false"/>
          <w:color w:val="000000"/>
          <w:sz w:val="20"/>
          <w:szCs w:val="20"/>
        </w:rPr>
        <w:t xml:space="preserve">3.  Throughout performance — any personnel change on a live task order requires roster verification. New personnel: must be added to the roster before any State IT access. Departing personnel: State access must be revoked and Khaalis notified.</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2.  Regulatory Baseline</w:t>
      </w:r>
    </w:p>
    <w:p>
      <w:pPr>
        <w:spacing w:after="100" w:before="80"/>
        <w:jc w:val="left"/>
      </w:pPr>
      <w:r>
        <w:rPr>
          <w:rFonts w:ascii="Arial" w:cs="Arial" w:eastAsia="Arial" w:hAnsi="Arial"/>
          <w:b w:val="false"/>
          <w:bCs w:val="false"/>
          <w:i w:val="false"/>
          <w:iCs w:val="false"/>
          <w:color w:val="000000"/>
          <w:sz w:val="20"/>
          <w:szCs w:val="20"/>
        </w:rPr>
        <w:t xml:space="preserve">Every person listed on this roster must comply with each row of the following table. The regulatory basis is contractual (Exhibit A + Exhibit C) with statutory reinforcement.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Provision</w:t>
            </w:r>
          </w:p>
        </w:tc>
        <w:tc>
          <w:tcPr>
            <w:tcW w:type="dxa" w:w="69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Requirement</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B30000"/>
                <w:sz w:val="18"/>
                <w:szCs w:val="18"/>
              </w:rPr>
              <w:t xml:space="preserve">Exhibit C §1e — Remote Access</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Montana information technology resources shall not be accessed by Contractor, including officers, employees, agents, subcontractors, affiliated users, or any subcontractors located outside the legal jurisdictional boundary of the United States. NO EXCEPTIONS.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§5 — Security Awareness Training</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All Contractor personnel — including subs and agents — with access to State IT resources shall complete security awareness training within twelve (12) months prior to access OR complete State-approved annual training. Training must include at minimum: physical security, password security, mobile device security, safe computer maintenance, and social engineering.</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§6 — Criminal Background Checks</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Contractor warrants that only employees, agents, or subs who have annually completed and passed a criminal background check will be assigned to work under any task order. State reserves the right to require an additional State-specific IT background check for personnel accessing sensitive data.</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C §15 — Authorized Personnel (Moderate)</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Only duly authorized personnel shall have access to State data. State reserves the right to require security clearance for personnel accessing sensitive data classifications.</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Exhibit A §4.1 — Subcontracting</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Contractor may not assign, transfer, or subcontract any portion of this Contract without State's prior written consent. Subs do not relieve Contractor of any obligation. Named sub personnel added at TO bid stage do not require additional State consent; personnel added mid-performance may.</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MCA 2-6-1503(4)</w:t>
            </w:r>
          </w:p>
        </w:tc>
        <w:tc>
          <w:tcPr>
            <w:tcW w:type="dxa" w:w="69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Third parties handling state agency personal information must develop and maintain an information security policy AND breach notification procedures. Access control is a required element of the security policy.</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3.  US-Only Personnel Attestation</w:t>
      </w:r>
    </w:p>
    <w:p>
      <w:pPr>
        <w:spacing w:after="200" w:before="80"/>
        <w:jc w:val="left"/>
      </w:pPr>
      <w:r>
        <w:rPr>
          <w:rFonts w:ascii="Arial" w:cs="Arial" w:eastAsia="Arial" w:hAnsi="Arial"/>
          <w:b w:val="false"/>
          <w:bCs w:val="false"/>
          <w:i/>
          <w:iCs/>
          <w:color w:val="595959"/>
          <w:sz w:val="20"/>
          <w:szCs w:val="20"/>
        </w:rPr>
        <w:t xml:space="preserve">The following attestation is made at initial roster approval and re-executed at every annual roster review.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pPr>
              <w:spacing w:after="120" w:before="200"/>
            </w:pPr>
            <w:r>
              <w:rPr>
                <w:rFonts w:ascii="Arial" w:cs="Arial" w:eastAsia="Arial" w:hAnsi="Arial"/>
                <w:b/>
                <w:bCs/>
                <w:color w:val="232D5A"/>
                <w:sz w:val="22"/>
                <w:szCs w:val="22"/>
              </w:rPr>
              <w:t xml:space="preserve">ATTESTATION</w:t>
            </w:r>
          </w:p>
          <w:p>
            <w:pPr>
              <w:spacing w:after="120"/>
            </w:pPr>
            <w:r>
              <w:rPr>
                <w:rFonts w:ascii="Arial" w:cs="Arial" w:eastAsia="Arial" w:hAnsi="Arial"/>
                <w:sz w:val="20"/>
                <w:szCs w:val="20"/>
              </w:rPr>
              <w:t xml:space="preserve">Visionblox LLC (CAGE 9Z4X2, UEI H4X2Z7R9E3E3), by and through its duly authorized CEO, attests to the State of Montana under Solicitation SPB-RFP-2026-0608GW and each task order issued thereunder that:</w:t>
            </w:r>
          </w:p>
          <w:p>
            <w:pPr>
              <w:spacing w:after="80"/>
            </w:pPr>
            <w:r>
              <w:rPr>
                <w:rFonts w:ascii="Arial" w:cs="Arial" w:eastAsia="Arial" w:hAnsi="Arial"/>
                <w:sz w:val="20"/>
                <w:szCs w:val="20"/>
              </w:rPr>
              <w:t xml:space="preserve">1. Each individual named in the Authorized Personnel Roster set forth in Section 4 of this document is authorized to work in the United States and, during any period of performance under a Montana task order, will perform such work from a location within the legal jurisdictional boundary of the United States.</w:t>
            </w:r>
          </w:p>
          <w:p>
            <w:pPr>
              <w:spacing w:after="80"/>
            </w:pPr>
            <w:r>
              <w:rPr>
                <w:rFonts w:ascii="Arial" w:cs="Arial" w:eastAsia="Arial" w:hAnsi="Arial"/>
                <w:sz w:val="20"/>
                <w:szCs w:val="20"/>
              </w:rPr>
              <w:t xml:space="preserve">2. No individual, whether an employee, officer, agent, contractor, subcontractor, or affiliated user of Visionblox LLC, who is located outside the United States will access, transmit, store, or process Montana information technology resources or any non-public data provided by or maintained on behalf of the State of Montana.</w:t>
            </w:r>
          </w:p>
          <w:p>
            <w:pPr>
              <w:spacing w:after="80"/>
            </w:pPr>
            <w:r>
              <w:rPr>
                <w:rFonts w:ascii="Arial" w:cs="Arial" w:eastAsia="Arial" w:hAnsi="Arial"/>
                <w:sz w:val="20"/>
                <w:szCs w:val="20"/>
              </w:rPr>
              <w:t xml:space="preserve">3. Each individual named on the Authorized Personnel Roster has completed, or will complete prior to any access to Montana IT resources, the annual criminal background check required under Exhibit C §6 and the security awareness training required under Exhibit C §5.</w:t>
            </w:r>
          </w:p>
          <w:p>
            <w:pPr>
              <w:spacing w:after="80"/>
            </w:pPr>
            <w:r>
              <w:rPr>
                <w:rFonts w:ascii="Arial" w:cs="Arial" w:eastAsia="Arial" w:hAnsi="Arial"/>
                <w:sz w:val="20"/>
                <w:szCs w:val="20"/>
              </w:rPr>
              <w:t xml:space="preserve">4. Additions to the roster will be made only upon (a) CEO approval, (b) Compliance Officer verification of US-location and completion of background check and security awareness training requirements, and (c) prior written consent from the State of Montana where the addition constitutes a subcontracting change subject to Exhibit A §4.1.</w:t>
            </w:r>
          </w:p>
          <w:p>
            <w:pPr>
              <w:spacing w:after="80"/>
            </w:pPr>
            <w:r>
              <w:rPr>
                <w:rFonts w:ascii="Arial" w:cs="Arial" w:eastAsia="Arial" w:hAnsi="Arial"/>
                <w:sz w:val="20"/>
                <w:szCs w:val="20"/>
              </w:rPr>
              <w:t xml:space="preserve">5. This roster is reviewed no less frequently than annually and is updated in real time whenever personnel are added or removed.</w:t>
            </w:r>
          </w:p>
          <w:p>
            <w:pPr>
              <w:spacing w:after="120" w:before="200"/>
            </w:pPr>
            <w:r>
              <w:rPr>
                <w:rFonts w:ascii="Arial" w:cs="Arial" w:eastAsia="Arial" w:hAnsi="Arial"/>
                <w:i/>
                <w:iCs/>
                <w:sz w:val="20"/>
                <w:szCs w:val="20"/>
              </w:rPr>
              <w:t xml:space="preserve">The undersigned makes this attestation on behalf of Visionblox LLC and understands that any material misrepresentation may result in termination of the contract or task orders and other remedies available to the State.</w:t>
            </w:r>
          </w:p>
          <w:p>
            <w:pPr>
              <w:spacing w:before="400"/>
            </w:pPr>
            <w:r>
              <w:rPr>
                <w:rFonts w:ascii="Arial" w:cs="Arial" w:eastAsia="Arial" w:hAnsi="Arial"/>
                <w:sz w:val="20"/>
                <w:szCs w:val="20"/>
              </w:rPr>
              <w:t xml:space="preserve">_____________________________________     Date: _____________</w:t>
            </w:r>
          </w:p>
          <w:p>
            <w:pPr>
              <w:spacing w:after="40"/>
            </w:pPr>
            <w:r>
              <w:rPr>
                <w:rFonts w:ascii="Arial" w:cs="Arial" w:eastAsia="Arial" w:hAnsi="Arial"/>
                <w:b/>
                <w:bCs/>
                <w:sz w:val="20"/>
                <w:szCs w:val="20"/>
              </w:rPr>
              <w:t xml:space="preserve">Akil R. Chellam</w:t>
            </w:r>
          </w:p>
          <w:p>
            <w:pPr>
              <w:spacing w:after="200"/>
            </w:pPr>
            <w:r>
              <w:rPr>
                <w:rFonts w:ascii="Arial" w:cs="Arial" w:eastAsia="Arial" w:hAnsi="Arial"/>
                <w:sz w:val="20"/>
                <w:szCs w:val="20"/>
              </w:rPr>
              <w:t xml:space="preserve">Chief Executive Officer, Visionblox LLC</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4.  Authorized Personnel Roster — VBX Direct</w:t>
      </w:r>
    </w:p>
    <w:p>
      <w:pPr>
        <w:spacing w:after="100" w:before="80"/>
        <w:jc w:val="left"/>
      </w:pPr>
      <w:r>
        <w:rPr>
          <w:rFonts w:ascii="Arial" w:cs="Arial" w:eastAsia="Arial" w:hAnsi="Arial"/>
          <w:b w:val="false"/>
          <w:bCs w:val="false"/>
          <w:i w:val="false"/>
          <w:iCs w:val="false"/>
          <w:color w:val="000000"/>
          <w:sz w:val="20"/>
          <w:szCs w:val="20"/>
        </w:rPr>
        <w:t xml:space="preserve">Each person listed below is authorized to perform work on Montana Master AI task orders. Additions require CEO approval and Compliance Officer verification per Section 6.</w:t>
      </w:r>
    </w:p>
    <w:p>
      <w:pPr>
        <w:pBdr>
          <w:top w:val="single" w:color="996600" w:sz="8" w:space="4"/>
          <w:bottom w:val="single" w:color="996600" w:sz="8" w:space="4"/>
          <w:left w:val="single" w:color="996600" w:sz="8" w:space="4"/>
          <w:right w:val="single" w:color="996600" w:sz="8" w:space="4"/>
        </w:pBdr>
        <w:spacing w:after="100" w:before="100"/>
      </w:pPr>
      <w:r>
        <w:rPr>
          <w:rFonts w:ascii="Arial" w:cs="Arial" w:eastAsia="Arial" w:hAnsi="Arial"/>
          <w:b/>
          <w:bCs/>
          <w:color w:val="996600"/>
          <w:sz w:val="20"/>
          <w:szCs w:val="20"/>
        </w:rPr>
        <w:t xml:space="preserve">BENCH NARROWING NOTE (as of 6/29/26): </w:t>
      </w:r>
      <w:r>
        <w:rPr>
          <w:rFonts w:ascii="Arial" w:cs="Arial" w:eastAsia="Arial" w:hAnsi="Arial"/>
          <w:sz w:val="20"/>
          <w:szCs w:val="20"/>
        </w:rPr>
        <w:t xml:space="preserve">Tony Paul (former CISO) and Saravanan Swaminathan (former Sr. Solution Architect) are assigned to other projects and are NOT available for Montana Master AI delivery. The Montana bench narrows to Akil Chellam, Antony Jayaraj, and Khaalis Wooden. Interim CISO coverage falls to Akil. External cyber partner engagement is mandatory on any Montana task order requiring named CISO-caliber security leadership.</w:t>
      </w:r>
    </w:p>
    <w:p>
      <w:pPr>
        <w:spacing w:after="80" w:before="160"/>
      </w:pPr>
      <w:r>
        <w:rPr>
          <w:rFonts w:ascii="Arial" w:cs="Arial" w:eastAsia="Arial" w:hAnsi="Arial"/>
          <w:b/>
          <w:bCs/>
          <w:color w:val="2EA891"/>
          <w:sz w:val="22"/>
          <w:szCs w:val="22"/>
        </w:rPr>
        <w:t xml:space="preserve">Pre-Populated Principals (Verification Required)</w:t>
      </w:r>
    </w:p>
    <w:p>
      <w:pPr>
        <w:spacing w:after="120" w:before="80"/>
        <w:jc w:val="left"/>
      </w:pPr>
      <w:r>
        <w:rPr>
          <w:rFonts w:ascii="Arial" w:cs="Arial" w:eastAsia="Arial" w:hAnsi="Arial"/>
          <w:b w:val="false"/>
          <w:bCs w:val="false"/>
          <w:i/>
          <w:iCs/>
          <w:color w:val="595959"/>
          <w:sz w:val="20"/>
          <w:szCs w:val="20"/>
        </w:rPr>
        <w:t xml:space="preserve">The following three VBX principals are proposed for the initial Montana Master AI roster. Akil (CEO) must verify each field marked with placeholder text before signing the Section 3 attestation. NOTE: The prior CISO (Tony Paul) and Sr. Solution Architect (Saravanan Swaminathan) are assigned to other projects as of 6/29/26; interim CISO coverage falls to the CEO. External cyber partner engagement is mandatory on any Montana task order requiring CISO-caliber security leadership as named key personnel.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1600"/>
        <w:gridCol w:w="1200"/>
        <w:gridCol w:w="1200"/>
        <w:gridCol w:w="1000"/>
        <w:gridCol w:w="900"/>
        <w:gridCol w:w="900"/>
        <w:gridCol w:w="1060"/>
      </w:tblGrid>
      <w:tr>
        <w:tc>
          <w:tcPr>
            <w:tcW w:type="dxa" w:w="1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Name</w:t>
            </w:r>
          </w:p>
        </w:tc>
        <w:tc>
          <w:tcPr>
            <w:tcW w:type="dxa" w:w="16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Role</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Credentials</w:t>
            </w:r>
          </w:p>
        </w:tc>
        <w:tc>
          <w:tcPr>
            <w:tcW w:type="dxa" w:w="1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US Location</w:t>
            </w:r>
          </w:p>
        </w:tc>
        <w:tc>
          <w:tcPr>
            <w:tcW w:type="dxa" w:w="1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Employ. Status</w:t>
            </w:r>
          </w:p>
        </w:tc>
        <w:tc>
          <w:tcPr>
            <w:tcW w:type="dxa" w:w="9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Bkgd Chk Date</w:t>
            </w:r>
          </w:p>
        </w:tc>
        <w:tc>
          <w:tcPr>
            <w:tcW w:type="dxa" w:w="9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Sec Trng Date</w:t>
            </w:r>
          </w:p>
        </w:tc>
        <w:tc>
          <w:tcPr>
            <w:tcW w:type="dxa" w:w="10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Access Level / MT Role</w:t>
            </w:r>
          </w:p>
        </w:tc>
      </w:tr>
      <w:tr>
        <w:tc>
          <w:tcPr>
            <w:tcW w:type="dxa" w:w="1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Akil R. Chellam</w:t>
            </w:r>
          </w:p>
        </w:tc>
        <w:tc>
          <w:tcPr>
            <w:tcW w:type="dxa" w:w="16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Chief Executive Officer &amp; Principal Architect (Interim CISO Coverage)</w:t>
            </w:r>
          </w:p>
        </w:tc>
        <w:tc>
          <w:tcPr>
            <w:tcW w:type="dxa" w:w="1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AWS-SAA, PMP, PGP AI/ML</w:t>
            </w:r>
          </w:p>
        </w:tc>
        <w:tc>
          <w:tcPr>
            <w:tcW w:type="dxa" w:w="1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United States (state/city ____________)</w:t>
            </w:r>
          </w:p>
        </w:tc>
        <w:tc>
          <w:tcPr>
            <w:tcW w:type="dxa" w:w="1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Corporate Officer</w:t>
            </w:r>
          </w:p>
        </w:tc>
        <w:tc>
          <w:tcPr>
            <w:tcW w:type="dxa" w:w="9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____ / ____ / ______</w:t>
            </w:r>
          </w:p>
        </w:tc>
        <w:tc>
          <w:tcPr>
            <w:tcW w:type="dxa" w:w="9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____ / ____ / ______</w:t>
            </w:r>
          </w:p>
        </w:tc>
        <w:tc>
          <w:tcPr>
            <w:tcW w:type="dxa" w:w="10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r>
              <w:rPr>
                <w:rFonts w:ascii="Arial" w:cs="Arial" w:eastAsia="Arial" w:hAnsi="Arial"/>
                <w:sz w:val="16"/>
                <w:szCs w:val="16"/>
              </w:rPr>
              <w:t xml:space="preserve">Full — administrative + technical + interim security oversight</w:t>
            </w:r>
          </w:p>
          <w:p>
            <w:r>
              <w:rPr>
                <w:rFonts w:ascii="Arial" w:cs="Arial" w:eastAsia="Arial" w:hAnsi="Arial"/>
                <w:i/>
                <w:iCs/>
                <w:color w:val="595959"/>
                <w:sz w:val="16"/>
                <w:szCs w:val="16"/>
              </w:rPr>
              <w:t xml:space="preserve">Executive sponsor; technical architecture oversight; interim security policy owner</w:t>
            </w:r>
          </w:p>
        </w:tc>
      </w:tr>
      <w:tr>
        <w:tc>
          <w:tcPr>
            <w:tcW w:type="dxa" w:w="1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Antony Jayaraj ("AJ")</w:t>
            </w:r>
          </w:p>
        </w:tc>
        <w:tc>
          <w:tcPr>
            <w:tcW w:type="dxa" w:w="16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Director of Data Engineering</w:t>
            </w:r>
          </w:p>
        </w:tc>
        <w:tc>
          <w:tcPr>
            <w:tcW w:type="dxa" w:w="1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Data engineering, AI/ML infrastructure</w:t>
            </w:r>
          </w:p>
        </w:tc>
        <w:tc>
          <w:tcPr>
            <w:tcW w:type="dxa" w:w="1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United States (state/city ____________)</w:t>
            </w:r>
          </w:p>
        </w:tc>
        <w:tc>
          <w:tcPr>
            <w:tcW w:type="dxa" w:w="1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Employee (W-2) — verify</w:t>
            </w:r>
          </w:p>
        </w:tc>
        <w:tc>
          <w:tcPr>
            <w:tcW w:type="dxa" w:w="9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____ / ____ / ______</w:t>
            </w:r>
          </w:p>
        </w:tc>
        <w:tc>
          <w:tcPr>
            <w:tcW w:type="dxa" w:w="9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____ / ____ / ______</w:t>
            </w:r>
          </w:p>
        </w:tc>
        <w:tc>
          <w:tcPr>
            <w:tcW w:type="dxa" w:w="10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r>
              <w:rPr>
                <w:rFonts w:ascii="Arial" w:cs="Arial" w:eastAsia="Arial" w:hAnsi="Arial"/>
                <w:sz w:val="16"/>
                <w:szCs w:val="16"/>
              </w:rPr>
              <w:t xml:space="preserve">Technical — data + AI infrastructure</w:t>
            </w:r>
          </w:p>
          <w:p>
            <w:r>
              <w:rPr>
                <w:rFonts w:ascii="Arial" w:cs="Arial" w:eastAsia="Arial" w:hAnsi="Arial"/>
                <w:i/>
                <w:iCs/>
                <w:color w:val="595959"/>
                <w:sz w:val="16"/>
                <w:szCs w:val="16"/>
              </w:rPr>
              <w:t xml:space="preserve">Data engineering + AI stack lead; roster owner</w:t>
            </w:r>
          </w:p>
        </w:tc>
      </w:tr>
      <w:tr>
        <w:tc>
          <w:tcPr>
            <w:tcW w:type="dxa" w:w="1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Khaalis Wooden, MBA</w:t>
            </w:r>
          </w:p>
        </w:tc>
        <w:tc>
          <w:tcPr>
            <w:tcW w:type="dxa" w:w="16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Director of Enterprise Capture &amp; Compliance</w:t>
            </w:r>
          </w:p>
        </w:tc>
        <w:tc>
          <w:tcPr>
            <w:tcW w:type="dxa" w:w="1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MBA, BD &amp; compliance operations</w:t>
            </w:r>
          </w:p>
        </w:tc>
        <w:tc>
          <w:tcPr>
            <w:tcW w:type="dxa" w:w="1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United States (Huntsville, AL)</w:t>
            </w:r>
          </w:p>
        </w:tc>
        <w:tc>
          <w:tcPr>
            <w:tcW w:type="dxa" w:w="1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Employee (W-2)</w:t>
            </w:r>
          </w:p>
        </w:tc>
        <w:tc>
          <w:tcPr>
            <w:tcW w:type="dxa" w:w="9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____ / ____ / ______</w:t>
            </w:r>
          </w:p>
        </w:tc>
        <w:tc>
          <w:tcPr>
            <w:tcW w:type="dxa" w:w="9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____ / ____ / ______</w:t>
            </w:r>
          </w:p>
        </w:tc>
        <w:tc>
          <w:tcPr>
            <w:tcW w:type="dxa" w:w="10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r>
              <w:rPr>
                <w:rFonts w:ascii="Arial" w:cs="Arial" w:eastAsia="Arial" w:hAnsi="Arial"/>
                <w:sz w:val="16"/>
                <w:szCs w:val="16"/>
              </w:rPr>
              <w:t xml:space="preserve">Administrative — contracts + compliance</w:t>
            </w:r>
          </w:p>
          <w:p>
            <w:r>
              <w:rPr>
                <w:rFonts w:ascii="Arial" w:cs="Arial" w:eastAsia="Arial" w:hAnsi="Arial"/>
                <w:i/>
                <w:iCs/>
                <w:color w:val="595959"/>
                <w:sz w:val="16"/>
                <w:szCs w:val="16"/>
              </w:rPr>
              <w:t xml:space="preserve">Compliance officer; State-facing contracts POC</w:t>
            </w:r>
          </w:p>
        </w:tc>
      </w:tr>
      <w:tr>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W-2 / 1099 / Officer</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Access + MT role</w:t>
            </w:r>
          </w:p>
        </w:tc>
      </w:tr>
      <w:tr>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W-2 / 1099 / Officer</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Access + MT role</w:t>
            </w:r>
          </w:p>
        </w:tc>
      </w:tr>
      <w:tr>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W-2 / 1099 / Officer</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Access + MT role</w:t>
            </w:r>
          </w:p>
        </w:tc>
      </w:tr>
      <w:tr>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W-2 / 1099 / Officer</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Access + MT role</w:t>
            </w:r>
          </w:p>
        </w:tc>
      </w:tr>
      <w:tr>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6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W-2 / 1099 / Officer</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Access + MT role</w:t>
            </w:r>
          </w:p>
        </w:tc>
      </w:tr>
    </w:tbl>
    <w:p>
      <w:pPr>
        <w:pBdr>
          <w:top w:val="single" w:color="B30000" w:sz="8" w:space="4"/>
          <w:bottom w:val="single" w:color="B30000" w:sz="8" w:space="4"/>
          <w:left w:val="single" w:color="B30000" w:sz="8" w:space="4"/>
          <w:right w:val="single" w:color="B30000" w:sz="8" w:space="4"/>
        </w:pBdr>
        <w:spacing w:after="200" w:before="200"/>
      </w:pPr>
      <w:r>
        <w:rPr>
          <w:rFonts w:ascii="Arial" w:cs="Arial" w:eastAsia="Arial" w:hAnsi="Arial"/>
          <w:b/>
          <w:bCs/>
          <w:color w:val="B30000"/>
          <w:sz w:val="20"/>
          <w:szCs w:val="20"/>
        </w:rPr>
        <w:t xml:space="preserve">EXCLUDED FROM MT DELIVERY: </w:t>
      </w:r>
      <w:r>
        <w:rPr>
          <w:rFonts w:ascii="Arial" w:cs="Arial" w:eastAsia="Arial" w:hAnsi="Arial"/>
          <w:sz w:val="20"/>
          <w:szCs w:val="20"/>
        </w:rPr>
        <w:t xml:space="preserve">Peter Jayajar (SAP Director) and the VBX India-based SAP delivery team are categorically excluded from any work under the Montana Master AI vehicle per Exhibit C §1e. This exclusion is a matter of location, not competence. Any MT task order involving SAP scope will be staffed either from US-based personnel added to this roster or declined at bid stage.</w:t>
      </w:r>
    </w:p>
    <w:p>
      <w:pPr>
        <w:spacing w:after="80" w:before="160"/>
      </w:pPr>
      <w:r>
        <w:rPr>
          <w:rFonts w:ascii="Arial" w:cs="Arial" w:eastAsia="Arial" w:hAnsi="Arial"/>
          <w:b/>
          <w:bCs/>
          <w:color w:val="2EA891"/>
          <w:sz w:val="22"/>
          <w:szCs w:val="22"/>
        </w:rPr>
        <w:t xml:space="preserve">Employment Status Definitions</w:t>
      </w:r>
    </w:p>
    <w:p>
      <w:pPr>
        <w:spacing w:after="40" w:before="80"/>
        <w:jc w:val="left"/>
      </w:pPr>
      <w:r>
        <w:rPr>
          <w:rFonts w:ascii="Arial" w:cs="Arial" w:eastAsia="Arial" w:hAnsi="Arial"/>
          <w:b w:val="false"/>
          <w:bCs w:val="false"/>
          <w:i w:val="false"/>
          <w:iCs w:val="false"/>
          <w:color w:val="000000"/>
          <w:sz w:val="20"/>
          <w:szCs w:val="20"/>
        </w:rPr>
        <w:t xml:space="preserve">• Corporate Officer — LLC member or officer with no separate W-2 status for the officer role.</w:t>
      </w:r>
    </w:p>
    <w:p>
      <w:pPr>
        <w:spacing w:after="40" w:before="80"/>
        <w:jc w:val="left"/>
      </w:pPr>
      <w:r>
        <w:rPr>
          <w:rFonts w:ascii="Arial" w:cs="Arial" w:eastAsia="Arial" w:hAnsi="Arial"/>
          <w:b w:val="false"/>
          <w:bCs w:val="false"/>
          <w:i w:val="false"/>
          <w:iCs w:val="false"/>
          <w:color w:val="000000"/>
          <w:sz w:val="20"/>
          <w:szCs w:val="20"/>
        </w:rPr>
        <w:t xml:space="preserve">• Employee (W-2) — Regular VBX employee, W-2 payroll.</w:t>
      </w:r>
    </w:p>
    <w:p>
      <w:pPr>
        <w:spacing w:after="40" w:before="80"/>
        <w:jc w:val="left"/>
      </w:pPr>
      <w:r>
        <w:rPr>
          <w:rFonts w:ascii="Arial" w:cs="Arial" w:eastAsia="Arial" w:hAnsi="Arial"/>
          <w:b w:val="false"/>
          <w:bCs w:val="false"/>
          <w:i w:val="false"/>
          <w:iCs w:val="false"/>
          <w:color w:val="000000"/>
          <w:sz w:val="20"/>
          <w:szCs w:val="20"/>
        </w:rPr>
        <w:t xml:space="preserve">• 1099 Contractor — Independent contractor engaged for a specific scope; must sign VBX independent contractor agreement including US-only work location provision.</w:t>
      </w:r>
    </w:p>
    <w:p>
      <w:pPr>
        <w:spacing w:after="100" w:before="80"/>
        <w:jc w:val="left"/>
      </w:pPr>
      <w:r>
        <w:rPr>
          <w:rFonts w:ascii="Arial" w:cs="Arial" w:eastAsia="Arial" w:hAnsi="Arial"/>
          <w:b w:val="false"/>
          <w:bCs w:val="false"/>
          <w:i w:val="false"/>
          <w:iCs w:val="false"/>
          <w:color w:val="000000"/>
          <w:sz w:val="20"/>
          <w:szCs w:val="20"/>
        </w:rPr>
        <w:t xml:space="preserve">• Subcontractor Personnel — Personnel of a named VBX subcontractor entity; documented separately in Section 5.</w:t>
      </w:r>
    </w:p>
    <w:p>
      <w:pPr>
        <w:spacing w:after="80" w:before="160"/>
      </w:pPr>
      <w:r>
        <w:rPr>
          <w:rFonts w:ascii="Arial" w:cs="Arial" w:eastAsia="Arial" w:hAnsi="Arial"/>
          <w:b/>
          <w:bCs/>
          <w:color w:val="2EA891"/>
          <w:sz w:val="22"/>
          <w:szCs w:val="22"/>
        </w:rPr>
        <w:t xml:space="preserve">Access Level Definitions</w:t>
      </w:r>
    </w:p>
    <w:p>
      <w:pPr>
        <w:spacing w:after="40" w:before="80"/>
        <w:jc w:val="left"/>
      </w:pPr>
      <w:r>
        <w:rPr>
          <w:rFonts w:ascii="Arial" w:cs="Arial" w:eastAsia="Arial" w:hAnsi="Arial"/>
          <w:b w:val="false"/>
          <w:bCs w:val="false"/>
          <w:i w:val="false"/>
          <w:iCs w:val="false"/>
          <w:color w:val="000000"/>
          <w:sz w:val="20"/>
          <w:szCs w:val="20"/>
        </w:rPr>
        <w:t xml:space="preserve">• Full — Administrative + technical: unrestricted role-appropriate access to State systems, data, and infrastructure under the task order.</w:t>
      </w:r>
    </w:p>
    <w:p>
      <w:pPr>
        <w:spacing w:after="40" w:before="80"/>
        <w:jc w:val="left"/>
      </w:pPr>
      <w:r>
        <w:rPr>
          <w:rFonts w:ascii="Arial" w:cs="Arial" w:eastAsia="Arial" w:hAnsi="Arial"/>
          <w:b w:val="false"/>
          <w:bCs w:val="false"/>
          <w:i w:val="false"/>
          <w:iCs w:val="false"/>
          <w:color w:val="000000"/>
          <w:sz w:val="20"/>
          <w:szCs w:val="20"/>
        </w:rPr>
        <w:t xml:space="preserve">• Technical — Data + engineering: access to State data and technical systems in performance of engineering/architecture/development role.</w:t>
      </w:r>
    </w:p>
    <w:p>
      <w:pPr>
        <w:spacing w:after="40" w:before="80"/>
        <w:jc w:val="left"/>
      </w:pPr>
      <w:r>
        <w:rPr>
          <w:rFonts w:ascii="Arial" w:cs="Arial" w:eastAsia="Arial" w:hAnsi="Arial"/>
          <w:b w:val="false"/>
          <w:bCs w:val="false"/>
          <w:i w:val="false"/>
          <w:iCs w:val="false"/>
          <w:color w:val="000000"/>
          <w:sz w:val="20"/>
          <w:szCs w:val="20"/>
        </w:rPr>
        <w:t xml:space="preserve">• Administrative — Contracts, compliance, project management: no direct State-data access unless specifically granted for a documented purpose.</w:t>
      </w:r>
    </w:p>
    <w:p>
      <w:pPr>
        <w:spacing w:after="100" w:before="80"/>
        <w:jc w:val="left"/>
      </w:pPr>
      <w:r>
        <w:rPr>
          <w:rFonts w:ascii="Arial" w:cs="Arial" w:eastAsia="Arial" w:hAnsi="Arial"/>
          <w:b w:val="false"/>
          <w:bCs w:val="false"/>
          <w:i w:val="false"/>
          <w:iCs w:val="false"/>
          <w:color w:val="000000"/>
          <w:sz w:val="20"/>
          <w:szCs w:val="20"/>
        </w:rPr>
        <w:t xml:space="preserve">• Read-only — View-only access for reporting or audit purposes.</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5.  Subcontractor Personnel</w:t>
      </w:r>
    </w:p>
    <w:p>
      <w:pPr>
        <w:spacing w:after="100" w:before="80"/>
        <w:jc w:val="left"/>
      </w:pPr>
      <w:r>
        <w:rPr>
          <w:rFonts w:ascii="Arial" w:cs="Arial" w:eastAsia="Arial" w:hAnsi="Arial"/>
          <w:b w:val="false"/>
          <w:bCs w:val="false"/>
          <w:i w:val="false"/>
          <w:iCs w:val="false"/>
          <w:color w:val="000000"/>
          <w:sz w:val="20"/>
          <w:szCs w:val="20"/>
        </w:rPr>
        <w:t xml:space="preserve">If a task order involves subcontractor personnel accessing Montana IT resources, the subcontractor entity and each individual must be added to this section BEFORE performance begins. Per Exhibit A §4.1, subcontracting requires State prior written consent — capture the consent date in the last column.</w:t>
      </w:r>
    </w:p>
    <w:p>
      <w:pPr>
        <w:spacing w:after="80" w:before="160"/>
      </w:pPr>
      <w:r>
        <w:rPr>
          <w:rFonts w:ascii="Arial" w:cs="Arial" w:eastAsia="Arial" w:hAnsi="Arial"/>
          <w:b/>
          <w:bCs/>
          <w:color w:val="2EA891"/>
          <w:sz w:val="22"/>
          <w:szCs w:val="22"/>
        </w:rPr>
        <w:t xml:space="preserve">Subcontractor Compliance Requirements</w:t>
      </w:r>
    </w:p>
    <w:p>
      <w:pPr>
        <w:spacing w:after="40" w:before="80"/>
        <w:jc w:val="left"/>
      </w:pPr>
      <w:r>
        <w:rPr>
          <w:rFonts w:ascii="Arial" w:cs="Arial" w:eastAsia="Arial" w:hAnsi="Arial"/>
          <w:b w:val="false"/>
          <w:bCs w:val="false"/>
          <w:i w:val="false"/>
          <w:iCs w:val="false"/>
          <w:color w:val="000000"/>
          <w:sz w:val="20"/>
          <w:szCs w:val="20"/>
        </w:rPr>
        <w:t xml:space="preserve">Before any subcontractor personnel is added to this roster, VBX must obtain from the subcontractor entity:</w:t>
      </w:r>
    </w:p>
    <w:p>
      <w:pPr>
        <w:spacing w:after="40" w:before="80"/>
        <w:jc w:val="left"/>
      </w:pPr>
      <w:r>
        <w:rPr>
          <w:rFonts w:ascii="Arial" w:cs="Arial" w:eastAsia="Arial" w:hAnsi="Arial"/>
          <w:b w:val="false"/>
          <w:bCs w:val="false"/>
          <w:i w:val="false"/>
          <w:iCs w:val="false"/>
          <w:color w:val="000000"/>
          <w:sz w:val="20"/>
          <w:szCs w:val="20"/>
        </w:rPr>
        <w:t xml:space="preserve">1.  Written attestation that the personnel is US-located and will perform all MT task order work from within the United States.</w:t>
      </w:r>
    </w:p>
    <w:p>
      <w:pPr>
        <w:spacing w:after="40" w:before="80"/>
        <w:jc w:val="left"/>
      </w:pPr>
      <w:r>
        <w:rPr>
          <w:rFonts w:ascii="Arial" w:cs="Arial" w:eastAsia="Arial" w:hAnsi="Arial"/>
          <w:b w:val="false"/>
          <w:bCs w:val="false"/>
          <w:i w:val="false"/>
          <w:iCs w:val="false"/>
          <w:color w:val="000000"/>
          <w:sz w:val="20"/>
          <w:szCs w:val="20"/>
        </w:rPr>
        <w:t xml:space="preserve">2.  Documented completion of annual criminal background check for the personnel.</w:t>
      </w:r>
    </w:p>
    <w:p>
      <w:pPr>
        <w:spacing w:after="40" w:before="80"/>
        <w:jc w:val="left"/>
      </w:pPr>
      <w:r>
        <w:rPr>
          <w:rFonts w:ascii="Arial" w:cs="Arial" w:eastAsia="Arial" w:hAnsi="Arial"/>
          <w:b w:val="false"/>
          <w:bCs w:val="false"/>
          <w:i w:val="false"/>
          <w:iCs w:val="false"/>
          <w:color w:val="000000"/>
          <w:sz w:val="20"/>
          <w:szCs w:val="20"/>
        </w:rPr>
        <w:t xml:space="preserve">3.  Documented completion of security awareness training within the prior 12 months.</w:t>
      </w:r>
    </w:p>
    <w:p>
      <w:pPr>
        <w:spacing w:after="40" w:before="80"/>
        <w:jc w:val="left"/>
      </w:pPr>
      <w:r>
        <w:rPr>
          <w:rFonts w:ascii="Arial" w:cs="Arial" w:eastAsia="Arial" w:hAnsi="Arial"/>
          <w:b w:val="false"/>
          <w:bCs w:val="false"/>
          <w:i w:val="false"/>
          <w:iCs w:val="false"/>
          <w:color w:val="000000"/>
          <w:sz w:val="20"/>
          <w:szCs w:val="20"/>
        </w:rPr>
        <w:t xml:space="preserve">4.  Executed subcontractor agreement including flow-down of all applicable Exhibit A + Exhibit C provisions.</w:t>
      </w:r>
    </w:p>
    <w:p>
      <w:pPr>
        <w:spacing w:after="100" w:before="80"/>
        <w:jc w:val="left"/>
      </w:pPr>
      <w:r>
        <w:rPr>
          <w:rFonts w:ascii="Arial" w:cs="Arial" w:eastAsia="Arial" w:hAnsi="Arial"/>
          <w:b w:val="false"/>
          <w:bCs w:val="false"/>
          <w:i w:val="false"/>
          <w:iCs w:val="false"/>
          <w:color w:val="000000"/>
          <w:sz w:val="20"/>
          <w:szCs w:val="20"/>
        </w:rPr>
        <w:t xml:space="preserve">5.  Evidence of subcontractor's own $6M cyber tower and required insurance, or explicit inclusion under VBX's tower with State consent.</w:t>
      </w:r>
    </w:p>
    <w:p>
      <w:pPr>
        <w:spacing w:after="80" w:before="160"/>
      </w:pPr>
      <w:r>
        <w:rPr>
          <w:rFonts w:ascii="Arial" w:cs="Arial" w:eastAsia="Arial" w:hAnsi="Arial"/>
          <w:b/>
          <w:bCs/>
          <w:color w:val="2EA891"/>
          <w:sz w:val="22"/>
          <w:szCs w:val="22"/>
        </w:rPr>
        <w:t xml:space="preserve">Subcontractor Personnel Roster</w:t>
      </w:r>
    </w:p>
    <w:p>
      <w:pPr>
        <w:spacing w:after="100" w:before="80"/>
        <w:jc w:val="left"/>
      </w:pPr>
      <w:r>
        <w:rPr>
          <w:rFonts w:ascii="Arial" w:cs="Arial" w:eastAsia="Arial" w:hAnsi="Arial"/>
          <w:b w:val="false"/>
          <w:bCs w:val="false"/>
          <w:i/>
          <w:iCs/>
          <w:color w:val="595959"/>
          <w:sz w:val="20"/>
          <w:szCs w:val="20"/>
        </w:rPr>
        <w:t xml:space="preserve">Populated per task order. Rows may be duplicated if additional personnel are required.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400"/>
        <w:gridCol w:w="1500"/>
        <w:gridCol w:w="1100"/>
        <w:gridCol w:w="1100"/>
        <w:gridCol w:w="900"/>
        <w:gridCol w:w="900"/>
        <w:gridCol w:w="1060"/>
      </w:tblGrid>
      <w:tr>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Sub Entity</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Name</w:t>
            </w:r>
          </w:p>
        </w:tc>
        <w:tc>
          <w:tcPr>
            <w:tcW w:type="dxa" w:w="1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Role on TO</w:t>
            </w:r>
          </w:p>
        </w:tc>
        <w:tc>
          <w:tcPr>
            <w:tcW w:type="dxa" w:w="11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Credentials</w:t>
            </w:r>
          </w:p>
        </w:tc>
        <w:tc>
          <w:tcPr>
            <w:tcW w:type="dxa" w:w="11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US Location</w:t>
            </w:r>
          </w:p>
        </w:tc>
        <w:tc>
          <w:tcPr>
            <w:tcW w:type="dxa" w:w="9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Bkgd Chk Date</w:t>
            </w:r>
          </w:p>
        </w:tc>
        <w:tc>
          <w:tcPr>
            <w:tcW w:type="dxa" w:w="9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Sec Trng Date</w:t>
            </w:r>
          </w:p>
        </w:tc>
        <w:tc>
          <w:tcPr>
            <w:tcW w:type="dxa" w:w="10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State Consent Date</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Sub entity name</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15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Role</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Certs</w:t>
            </w:r>
          </w:p>
        </w:tc>
        <w:tc>
          <w:tcPr>
            <w:tcW w:type="dxa" w:w="11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City, State</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9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6.  Roster Change Control</w:t>
      </w:r>
    </w:p>
    <w:p>
      <w:pPr>
        <w:pStyle w:val="Heading2"/>
        <w:spacing w:after="100" w:before="220"/>
      </w:pPr>
      <w:r>
        <w:rPr>
          <w:rFonts w:ascii="Arial" w:cs="Arial" w:eastAsia="Arial" w:hAnsi="Arial"/>
          <w:b/>
          <w:bCs/>
          <w:color w:val="232D5A"/>
          <w:sz w:val="24"/>
          <w:szCs w:val="24"/>
        </w:rPr>
        <w:t xml:space="preserve">6.1  Adding Personnel</w:t>
      </w:r>
    </w:p>
    <w:p>
      <w:pPr>
        <w:spacing w:after="100" w:before="80"/>
        <w:jc w:val="left"/>
      </w:pPr>
      <w:r>
        <w:rPr>
          <w:rFonts w:ascii="Arial" w:cs="Arial" w:eastAsia="Arial" w:hAnsi="Arial"/>
          <w:b w:val="false"/>
          <w:bCs w:val="false"/>
          <w:i w:val="false"/>
          <w:iCs w:val="false"/>
          <w:color w:val="000000"/>
          <w:sz w:val="20"/>
          <w:szCs w:val="20"/>
        </w:rPr>
        <w:t xml:space="preserve">Every addition follows a five-step process. No step may be skipped.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00"/>
        <w:gridCol w:w="3000"/>
        <w:gridCol w:w="5660"/>
      </w:tblGrid>
      <w:tr>
        <w:tc>
          <w:tcPr>
            <w:tcW w:type="dxa" w:w="7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Step</w:t>
            </w:r>
          </w:p>
        </w:tc>
        <w:tc>
          <w:tcPr>
            <w:tcW w:type="dxa" w:w="3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Action</w:t>
            </w:r>
          </w:p>
        </w:tc>
        <w:tc>
          <w:tcPr>
            <w:tcW w:type="dxa" w:w="5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Owner + Requirement</w:t>
            </w:r>
          </w:p>
        </w:tc>
      </w:tr>
      <w:tr>
        <w:tc>
          <w:tcPr>
            <w:tcW w:type="dxa" w:w="7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Identification</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Delivery lead identifies need. Documents proposed name, role, US work location, employment status.</w:t>
            </w:r>
          </w:p>
        </w:tc>
      </w:tr>
      <w:tr>
        <w:tc>
          <w:tcPr>
            <w:tcW w:type="dxa" w:w="7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Compliance Verification</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Compliance Officer (Khaalis) verifies: (a) US work location, (b) annual criminal background check status (executed within prior 12 months), (c) security awareness training status (executed within prior 12 months), (d) if a subcontractor, subcontractor agreement is executed with all required flow-downs.</w:t>
            </w:r>
          </w:p>
        </w:tc>
      </w:tr>
      <w:tr>
        <w:tc>
          <w:tcPr>
            <w:tcW w:type="dxa" w:w="7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Security Review (Interim)</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CEO (Akil Chellam, providing interim CISO coverage) reviews the proposed access level against the person's role and confirms it is the minimum necessary for MT task order performance. Where an external cyber partner is engaged on the affected TO, partner security review is required in parallel.</w:t>
            </w:r>
          </w:p>
        </w:tc>
      </w:tr>
      <w:tr>
        <w:tc>
          <w:tcPr>
            <w:tcW w:type="dxa" w:w="7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CEO Approval</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CEO (Akil) approves the addition in writing. Roster is updated with the addition and the effective date. Change log entry created in Section 7.</w:t>
            </w:r>
          </w:p>
        </w:tc>
      </w:tr>
      <w:tr>
        <w:tc>
          <w:tcPr>
            <w:tcW w:type="dxa" w:w="7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State Consent (if applicable)</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If the addition constitutes a subcontracting change under Exhibit A §4.1, Compliance Officer submits notice to Grace Waring (or successor Contracts Officer) and obtains written consent BEFORE the personnel accesses any MT IT resource.</w:t>
            </w:r>
          </w:p>
        </w:tc>
      </w:tr>
    </w:tbl>
    <w:p>
      <w:pPr>
        <w:pStyle w:val="Heading2"/>
        <w:spacing w:after="100" w:before="220"/>
      </w:pPr>
      <w:r>
        <w:rPr>
          <w:rFonts w:ascii="Arial" w:cs="Arial" w:eastAsia="Arial" w:hAnsi="Arial"/>
          <w:b/>
          <w:bCs/>
          <w:color w:val="232D5A"/>
          <w:sz w:val="24"/>
          <w:szCs w:val="24"/>
        </w:rPr>
        <w:t xml:space="preserve">6.2  Removing Personnel</w:t>
      </w:r>
    </w:p>
    <w:p>
      <w:pPr>
        <w:spacing w:after="100" w:before="80"/>
        <w:jc w:val="left"/>
      </w:pPr>
      <w:r>
        <w:rPr>
          <w:rFonts w:ascii="Arial" w:cs="Arial" w:eastAsia="Arial" w:hAnsi="Arial"/>
          <w:b w:val="false"/>
          <w:bCs w:val="false"/>
          <w:i w:val="false"/>
          <w:iCs w:val="false"/>
          <w:color w:val="000000"/>
          <w:sz w:val="20"/>
          <w:szCs w:val="20"/>
        </w:rPr>
        <w:t xml:space="preserve">Every departure follows a four-step process.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00"/>
        <w:gridCol w:w="3000"/>
        <w:gridCol w:w="5660"/>
      </w:tblGrid>
      <w:tr>
        <w:tc>
          <w:tcPr>
            <w:tcW w:type="dxa" w:w="7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Step</w:t>
            </w:r>
          </w:p>
        </w:tc>
        <w:tc>
          <w:tcPr>
            <w:tcW w:type="dxa" w:w="3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Action</w:t>
            </w:r>
          </w:p>
        </w:tc>
        <w:tc>
          <w:tcPr>
            <w:tcW w:type="dxa" w:w="5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Owner + Requirement</w:t>
            </w:r>
          </w:p>
        </w:tc>
      </w:tr>
      <w:tr>
        <w:tc>
          <w:tcPr>
            <w:tcW w:type="dxa" w:w="7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Notice</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Delivery lead notifies Compliance Officer within 24 hours of departure or reassignment decision.</w:t>
            </w:r>
          </w:p>
        </w:tc>
      </w:tr>
      <w:tr>
        <w:tc>
          <w:tcPr>
            <w:tcW w:type="dxa" w:w="7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Access Revocation</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CEO (interim security coordinator) or delegated Data Engineering lead revokes State IT access, VPN credentials, API keys, cloud tenant access, and any other credentials held by the departing person. Documented within 24 hours of departure or reassignment. External cyber partner notified if engaged on the affected TO.</w:t>
            </w:r>
          </w:p>
        </w:tc>
      </w:tr>
      <w:tr>
        <w:tc>
          <w:tcPr>
            <w:tcW w:type="dxa" w:w="7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Roster Update</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Compliance Officer marks person as removed with removal date. Change log entry created in Section 7.</w:t>
            </w:r>
          </w:p>
        </w:tc>
      </w:tr>
      <w:tr>
        <w:tc>
          <w:tcPr>
            <w:tcW w:type="dxa" w:w="7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State Notification (if applicable)</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If the departing person was named as key personnel in a task order SOW, Compliance Officer notifies the State's Contracts Officer with the removal and proposed replacement (if any).</w:t>
            </w:r>
          </w:p>
        </w:tc>
      </w:tr>
    </w:tbl>
    <w:p>
      <w:pPr>
        <w:pStyle w:val="Heading2"/>
        <w:spacing w:after="100" w:before="220"/>
      </w:pPr>
      <w:r>
        <w:rPr>
          <w:rFonts w:ascii="Arial" w:cs="Arial" w:eastAsia="Arial" w:hAnsi="Arial"/>
          <w:b/>
          <w:bCs/>
          <w:color w:val="232D5A"/>
          <w:sz w:val="24"/>
          <w:szCs w:val="24"/>
        </w:rPr>
        <w:t xml:space="preserve">6.3  Relocation Trigger</w:t>
      </w:r>
    </w:p>
    <w:p>
      <w:pPr>
        <w:spacing w:after="100" w:before="80"/>
        <w:jc w:val="left"/>
      </w:pPr>
      <w:r>
        <w:rPr>
          <w:rFonts w:ascii="Arial" w:cs="Arial" w:eastAsia="Arial" w:hAnsi="Arial"/>
          <w:b w:val="false"/>
          <w:bCs w:val="false"/>
          <w:i w:val="false"/>
          <w:iCs w:val="false"/>
          <w:color w:val="000000"/>
          <w:sz w:val="20"/>
          <w:szCs w:val="20"/>
        </w:rPr>
        <w:t xml:space="preserve">If any listed person's primary work location changes to a location outside the United States for any reason — including but not limited to temporary travel, permanent relocation, remote-work reassignment, or family emergency — that person MUST be immediately removed from the roster and MT IT access revoked for the duration of the non-US location. Re-addition requires the full five-step process in Section 6.1.</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7.  Change Log</w:t>
      </w:r>
    </w:p>
    <w:p>
      <w:pPr>
        <w:spacing w:after="100" w:before="80"/>
        <w:jc w:val="left"/>
      </w:pPr>
      <w:r>
        <w:rPr>
          <w:rFonts w:ascii="Arial" w:cs="Arial" w:eastAsia="Arial" w:hAnsi="Arial"/>
          <w:b w:val="false"/>
          <w:bCs w:val="false"/>
          <w:i w:val="false"/>
          <w:iCs w:val="false"/>
          <w:color w:val="000000"/>
          <w:sz w:val="20"/>
          <w:szCs w:val="20"/>
        </w:rPr>
        <w:t xml:space="preserve">Every addition, removal, or reclassification of personnel must be recorded here. Do not overwrite prior entries. Append only.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1400"/>
        <w:gridCol w:w="1800"/>
        <w:gridCol w:w="2400"/>
        <w:gridCol w:w="1400"/>
        <w:gridCol w:w="1160"/>
      </w:tblGrid>
      <w:tr>
        <w:tc>
          <w:tcPr>
            <w:tcW w:type="dxa" w:w="1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Change Type</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Person</w:t>
            </w:r>
          </w:p>
        </w:tc>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Reason</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Approver</w:t>
            </w:r>
          </w:p>
        </w:tc>
        <w:tc>
          <w:tcPr>
            <w:tcW w:type="dxa" w:w="11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Effective</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r>
        <w:tc>
          <w:tcPr>
            <w:tcW w:type="dxa" w:w="12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Add / Remove / Reclassify</w:t>
            </w:r>
          </w:p>
        </w:tc>
        <w:tc>
          <w:tcPr>
            <w:tcW w:type="dxa" w:w="18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Name</w:t>
            </w:r>
          </w:p>
        </w:tc>
        <w:tc>
          <w:tcPr>
            <w:tcW w:type="dxa" w:w="2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Brief explanation</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 name</w:t>
            </w:r>
          </w:p>
        </w:tc>
        <w:tc>
          <w:tcPr>
            <w:tcW w:type="dxa" w:w="11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8.  Sign-Off</w:t>
      </w:r>
    </w:p>
    <w:p>
      <w:pPr>
        <w:spacing w:after="200" w:before="80"/>
        <w:jc w:val="left"/>
      </w:pPr>
      <w:r>
        <w:rPr>
          <w:rFonts w:ascii="Arial" w:cs="Arial" w:eastAsia="Arial" w:hAnsi="Arial"/>
          <w:b w:val="false"/>
          <w:bCs w:val="false"/>
          <w:i w:val="false"/>
          <w:iCs w:val="false"/>
          <w:color w:val="000000"/>
          <w:sz w:val="20"/>
          <w:szCs w:val="20"/>
        </w:rPr>
        <w:t xml:space="preserve">The following signatures constitute VBX's formal adoption of this roster as the authoritative list of personnel authorized to perform Montana Master AI task order work. Re-executed annually.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480"/>
        <w:gridCol w:w="1440"/>
        <w:gridCol w:w="204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Role</w:t>
            </w:r>
          </w:p>
        </w:tc>
        <w:tc>
          <w:tcPr>
            <w:tcW w:type="dxa" w:w="348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Name</w:t>
            </w:r>
          </w:p>
        </w:tc>
        <w:tc>
          <w:tcPr>
            <w:tcW w:type="dxa" w:w="14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20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Signature</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Prepared By (Owner)</w:t>
            </w:r>
          </w:p>
        </w:tc>
        <w:tc>
          <w:tcPr>
            <w:tcW w:type="dxa" w:w="348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Antony Jayaraj, Director of Data Engineering</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Compliance Officer</w:t>
            </w:r>
          </w:p>
        </w:tc>
        <w:tc>
          <w:tcPr>
            <w:tcW w:type="dxa" w:w="348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Khaalis Wooden, MBA — Director of Enterprise Capture &amp; Compliance</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Interim Security Review (Interim CISO Coverage)</w:t>
            </w:r>
          </w:p>
        </w:tc>
        <w:tc>
          <w:tcPr>
            <w:tcW w:type="dxa" w:w="348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Akil R. Chellam, CEO</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External Cyber Partner Review (per TO, if engaged)</w:t>
            </w:r>
          </w:p>
        </w:tc>
        <w:tc>
          <w:tcPr>
            <w:tcW w:type="dxa" w:w="348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Partner name + reviewer + title</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CEO Approval + Attestation Executed</w:t>
            </w:r>
          </w:p>
        </w:tc>
        <w:tc>
          <w:tcPr>
            <w:tcW w:type="dxa" w:w="348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Akil R. Chellam, CEO</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bl>
    <w:p>
      <w:pPr>
        <w:spacing w:before="400"/>
        <w:jc w:val="center"/>
      </w:pPr>
      <w:r>
        <w:rPr>
          <w:rFonts w:ascii="Arial" w:cs="Arial" w:eastAsia="Arial" w:hAnsi="Arial"/>
          <w:i/>
          <w:iCs/>
          <w:color w:val="595959"/>
          <w:sz w:val="20"/>
          <w:szCs w:val="20"/>
        </w:rPr>
        <w:t xml:space="preserve">— End of Roster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2D5A" w:sz="8" w:space="4"/>
        <w:top w:val="single" w:sz="8" w:space="4" w:color="F7B801"/>
      </w:pBdr>
      <w:jc w:val="center"/>
    </w:pPr>
    <w:r>
      <w:rPr>
        <w:rFonts w:ascii="Arial" w:cs="Arial" w:eastAsia="Arial" w:hAnsi="Arial"/>
        <w:color w:val="8892A4"/>
        <w:sz w:val="16"/>
        <w:szCs w:val="16"/>
      </w:rPr>
      <w:t xml:space="preserve">CAGE 9Z4X2  |  UEI H4X2Z7R9E3E3  |  </w:t>
    </w:r>
    <w:r>
      <w:rPr>
        <w:rFonts w:ascii="Arial" w:cs="Arial" w:eastAsia="Arial" w:hAnsi="Arial"/>
        <w:color w:val="8892A4"/>
        <w:sz w:val="16"/>
        <w:szCs w:val="16"/>
      </w:rPr>
      <w:t xml:space="preserve">CONFIDENTIAL — INTERNAL COMPLIANCE USE  |  Page </w:t>
    </w:r>
    <w:r>
      <w:rPr>
        <w:rFonts w:ascii="Arial" w:cs="Arial" w:eastAsia="Arial" w:hAnsi="Arial"/>
        <w:color w:val="8892A4"/>
        <w:sz w:val="16"/>
        <w:szCs w:val="16"/>
      </w:rPr>
      <w:fldChar w:fldCharType="begin"/>
      <w:instrText xml:space="preserve">PAGE</w:instrText>
      <w:fldChar w:fldCharType="separate"/>
      <w:fldChar w:fldCharType="end"/>
    </w:r>
    <w:r>
      <w:rPr>
        <w:rFonts w:ascii="Arial" w:cs="Arial" w:eastAsia="Arial" w:hAnsi="Arial"/>
        <w:color w:val="8892A4"/>
        <w:sz w:val="16"/>
        <w:szCs w:val="16"/>
      </w:rPr>
      <w:t xml:space="preserve"> of </w:t>
    </w:r>
    <w:r>
      <w:rPr>
        <w:rFonts w:ascii="Arial" w:cs="Arial" w:eastAsia="Arial" w:hAnsi="Arial"/>
        <w:color w:val="8892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3600"/>
          <w:vAlign w:val="center"/>
          <w:tcMar>
            <w:top w:w="0" w:type="dxa"/>
            <w:bottom w:w="0" w:type="dxa"/>
            <w:left w:w="0" w:type="dxa"/>
            <w:right w:w="0" w:type="dxa"/>
          </w:tcMar>
        </w:tcPr>
        <w:p>
          <w:pPr>
            <w:spacing w:after="0" w:before="0"/>
            <w:jc w:val="left"/>
          </w:pPr>
          <w:r>
            <w:drawing>
              <wp:inline xmlns:a="http://schemas.openxmlformats.org/drawingml/2006/main" xmlns:pic="http://schemas.openxmlformats.org/drawingml/2006/picture">
                <wp:extent cx="1554480" cy="65468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54480" cy="654681"/>
                        </a:xfrm>
                        <a:prstGeom prst="rect"/>
                      </pic:spPr>
                    </pic:pic>
                  </a:graphicData>
                </a:graphic>
              </wp:inline>
            </w:drawing>
          </w:r>
        </w:p>
      </w:tc>
      <w:tc>
        <w:tcPr>
          <w:tcW w:type="dxa" w:w="5760"/>
          <w:vAlign w:val="bottom"/>
          <w:tcMar>
            <w:top w:w="0" w:type="dxa"/>
            <w:bottom w:w="0" w:type="dxa"/>
            <w:left w:w="0" w:type="dxa"/>
            <w:right w:w="0" w:type="dxa"/>
          </w:tcMar>
        </w:tcPr>
        <w:p>
          <w:pPr>
            <w:spacing w:after="20" w:before="0"/>
            <w:jc w:val="right"/>
          </w:pPr>
          <w:r>
            <w:rPr>
              <w:rFonts w:ascii="Arial" w:hAnsi="Arial"/>
              <w:b/>
              <w:color w:val="232D5A"/>
              <w:sz w:val="16"/>
            </w:rPr>
            <w:t>US-Only Delivery Roster  —  Montana Master AI</w:t>
          </w:r>
        </w:p>
        <w:p>
          <w:pPr>
            <w:spacing w:before="0" w:after="0"/>
            <w:jc w:val="right"/>
          </w:pPr>
          <w:r>
            <w:rPr>
              <w:rFonts w:ascii="Arial" w:hAnsi="Arial"/>
              <w:b/>
              <w:color w:val="2EA891"/>
              <w:sz w:val="13"/>
            </w:rPr>
            <w:t>B U I L D   W H A T   D O E S N ' T   E X I S T   Y E T</w:t>
          </w:r>
        </w:p>
      </w:tc>
    </w:tr>
  </w:tbl>
  <w:p>
    <w:pPr>
      <w:spacing w:before="40" w:after="0"/>
      <w:pBdr>
        <w:bottom w:val="single" w:sz="12" w:space="1" w:color="2EA89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32D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32D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VBX US-Only Delivery Roster — Montana Master AI</dc:title>
  <dc:creator>Visionblox LLC</dc:creator>
  <dc:description>Authorized personnel roster for Montana Master AI task order delivery per Exhibit C §1e</dc:description>
  <cp:lastModifiedBy>Un-named</cp:lastModifiedBy>
  <cp:revision>1</cp:revision>
  <dcterms:created xsi:type="dcterms:W3CDTF">2026-07-02T17:21:46.940Z</dcterms:created>
  <dcterms:modified xsi:type="dcterms:W3CDTF">2026-07-02T17:21:46.940Z</dcterms:modified>
</cp:coreProperties>
</file>

<file path=docProps/custom.xml><?xml version="1.0" encoding="utf-8"?>
<Properties xmlns="http://schemas.openxmlformats.org/officeDocument/2006/custom-properties" xmlns:vt="http://schemas.openxmlformats.org/officeDocument/2006/docPropsVTypes"/>
</file>