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pBdr>
          <w:bottom w:val="single" w:sz="12" w:space="2" w:color="2EA891"/>
        </w:pBdr>
      </w:pPr>
      <w:r>
        <w:drawing>
          <wp:inline xmlns:a="http://schemas.openxmlformats.org/drawingml/2006/main" xmlns:pic="http://schemas.openxmlformats.org/drawingml/2006/picture">
            <wp:extent cx="1143000" cy="481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8138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D5A" w:color="auto" w:val="clear"/>
            <w:tcMar>
              <w:top w:type="dxa" w:w="17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7FD4C1"/>
                <w:spacing w:val="30"/>
                <w:sz w:val="13"/>
                <w:szCs w:val="13"/>
              </w:rPr>
              <w:t xml:space="preserve">SQ-OS · WORKING NAME · COMPLIANCE &amp; QUALITY OPERATING SYSTEM</w:t>
            </w:r>
          </w:p>
          <w:p>
            <w:pPr>
              <w:spacing w:after="70"/>
            </w:pPr>
            <w:r>
              <w:rPr>
                <w:b/>
                <w:bCs/>
                <w:color w:val="FFFFFF"/>
                <w:sz w:val="38"/>
                <w:szCs w:val="38"/>
              </w:rPr>
              <w:t xml:space="preserve">The compliance &amp; quality </w:t>
            </w:r>
            <w:r>
              <w:rPr>
                <w:b/>
                <w:bCs/>
                <w:color w:val="7FD4C1"/>
                <w:sz w:val="38"/>
                <w:szCs w:val="38"/>
              </w:rPr>
              <w:t xml:space="preserve">OS</w:t>
            </w:r>
            <w:r>
              <w:rPr>
                <w:b/>
                <w:bCs/>
                <w:color w:val="FFFFFF"/>
                <w:sz w:val="38"/>
                <w:szCs w:val="38"/>
              </w:rPr>
              <w:t xml:space="preserve"> for automotive's long tail</w:t>
            </w:r>
          </w:p>
          <w:p>
            <w:r>
              <w:rPr>
                <w:color w:val="C7D0DE"/>
                <w:sz w:val="19"/>
                <w:szCs w:val="19"/>
              </w:rPr>
              <w:t xml:space="preserve">Where every Tier 2–3 supplier proves quality — PPAP, FMEA, traceability — without the spreadsheets that get them rejected.</w:t>
            </w:r>
          </w:p>
          <w:p>
            <w:pPr>
              <w:spacing w:before="80"/>
            </w:pPr>
            <w:r>
              <w:rPr>
                <w:b/>
                <w:bCs/>
                <w:color w:val="8794A8"/>
                <w:spacing w:val="20"/>
                <w:sz w:val="12"/>
                <w:szCs w:val="12"/>
              </w:rPr>
              <w:t xml:space="preserve">VISIONBLOX · ZUUP INNOVATION LAB · </w:t>
            </w:r>
            <w:r>
              <w:rPr>
                <w:b/>
                <w:bCs/>
                <w:color w:val="2EA891"/>
                <w:spacing w:val="20"/>
                <w:sz w:val="12"/>
                <w:szCs w:val="12"/>
              </w:rPr>
              <w:t xml:space="preserve">BUILD WHAT DOESN'T EXIST YET</w:t>
            </w:r>
          </w:p>
        </w:tc>
      </w:tr>
    </w:tbl>
    <w:p>
      <w:pPr>
        <w:spacing w:after="80" w:before="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single" w:color="2EA891" w:sz="24"/>
              <w:bottom w:val="none" w:color="FFFFFF" w:sz="0"/>
              <w:right w:val="none" w:color="FFFFFF" w:sz="0"/>
            </w:tcBorders>
            <w:shd w:fill="E7F5F1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2EA891"/>
                <w:spacing w:val="16"/>
                <w:sz w:val="15"/>
                <w:szCs w:val="15"/>
              </w:rPr>
              <w:t xml:space="preserve">THE THESIS</w:t>
            </w:r>
          </w:p>
          <w:p>
            <w:r>
              <w:rPr>
                <w:color w:val="2A3560"/>
                <w:sz w:val="20"/>
                <w:szCs w:val="20"/>
              </w:rPr>
              <w:t xml:space="preserve">An affordable, supplier-native compliance &amp; quality OS for the automotive </w:t>
            </w:r>
            <w:r>
              <w:rPr>
                <w:b/>
                <w:bCs/>
                <w:color w:val="232D5A"/>
                <w:sz w:val="20"/>
                <w:szCs w:val="20"/>
              </w:rPr>
              <w:t xml:space="preserve">Tier 2–3 long tail</w:t>
            </w:r>
            <w:r>
              <w:rPr>
                <w:color w:val="2A3560"/>
                <w:sz w:val="20"/>
                <w:szCs w:val="20"/>
              </w:rPr>
              <w:t xml:space="preserve">, with a part-level </w:t>
            </w:r>
            <w:r>
              <w:rPr>
                <w:b/>
                <w:bCs/>
                <w:color w:val="232D5A"/>
                <w:sz w:val="20"/>
                <w:szCs w:val="20"/>
              </w:rPr>
              <w:t xml:space="preserve">traceability / battery-passport backbone</w:t>
            </w:r>
            <w:r>
              <w:rPr>
                <w:color w:val="2A3560"/>
                <w:sz w:val="20"/>
                <w:szCs w:val="20"/>
              </w:rPr>
              <w:t xml:space="preserve"> as its data spine. Own the boring, mandated, mission-critical middle of the supply chain — the layer nobody serves affordably.</w:t>
            </w:r>
          </w:p>
        </w:tc>
      </w:tr>
    </w:tbl>
    <w:p>
      <w:pPr>
        <w:pBdr>
          <w:bottom w:val="single" w:color="DFE3E8" w:sz="6" w:space="6"/>
        </w:pBdr>
        <w:spacing w:after="70" w:before="150"/>
      </w:pPr>
      <w:r>
        <w:rPr>
          <w:b/>
          <w:bCs/>
          <w:color w:val="2EA891"/>
          <w:sz w:val="17"/>
          <w:szCs w:val="17"/>
        </w:rPr>
        <w:t xml:space="preserve">01   </w:t>
      </w:r>
      <w:r>
        <w:rPr>
          <w:b/>
          <w:bCs/>
          <w:color w:val="232D5A"/>
          <w:sz w:val="23"/>
          <w:szCs w:val="23"/>
        </w:rPr>
        <w:t xml:space="preserve">Why now — a margin-crushed, mandate-loaded supply base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DFE3E8" w:sz="4"/>
              <w:left w:val="single" w:color="2EA891" w:sz="24"/>
              <w:bottom w:val="single" w:color="DFE3E8" w:sz="4"/>
              <w:right w:val="single" w:color="DFE3E8" w:sz="4"/>
            </w:tcBorders>
            <w:shd w:fill="F6F8FB" w:color="auto" w:val="clear"/>
            <w:tcMar>
              <w:top w:type="dxa" w:w="110"/>
              <w:left w:type="dxa" w:w="150"/>
              <w:bottom w:type="dxa" w:w="12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C02B2B"/>
                <w:sz w:val="36"/>
                <w:szCs w:val="36"/>
              </w:rPr>
              <w:t xml:space="preserve">4.7%</w:t>
            </w:r>
          </w:p>
          <w:p>
            <w:pPr>
              <w:spacing w:after="30"/>
            </w:pPr>
            <w:r>
              <w:rPr>
                <w:b/>
                <w:bCs/>
                <w:color w:val="2A3560"/>
                <w:sz w:val="15"/>
                <w:szCs w:val="15"/>
              </w:rPr>
              <w:t xml:space="preserve">Average supplier EBIT margin, 2024</w:t>
            </w:r>
          </w:p>
          <w:p>
            <w:pPr>
              <w:spacing w:after="40"/>
            </w:pPr>
            <w:r>
              <w:rPr>
                <w:color w:val="8892A4"/>
                <w:sz w:val="13"/>
                <w:szCs w:val="13"/>
              </w:rPr>
              <w:t xml:space="preserve">Down from 5.3% in 2023 — near a historic low.</w:t>
            </w:r>
          </w:p>
          <w:p>
            <w:r>
              <w:rPr>
                <w:b/>
                <w:bCs/>
                <w:color w:val="10B981"/>
                <w:spacing w:val="10"/>
                <w:sz w:val="11"/>
                <w:szCs w:val="11"/>
              </w:rPr>
              <w:t xml:space="preserve">✓ VERIFIED</w:t>
            </w:r>
          </w:p>
        </w:tc>
        <w:tc>
          <w:tcPr>
            <w:tcW w:type="dxa" w:w="2700"/>
            <w:tcBorders>
              <w:top w:val="single" w:color="DFE3E8" w:sz="4"/>
              <w:left w:val="single" w:color="2EA891" w:sz="24"/>
              <w:bottom w:val="single" w:color="DFE3E8" w:sz="4"/>
              <w:right w:val="single" w:color="DFE3E8" w:sz="4"/>
            </w:tcBorders>
            <w:shd w:fill="F6F8FB" w:color="auto" w:val="clear"/>
            <w:tcMar>
              <w:top w:type="dxa" w:w="110"/>
              <w:left w:type="dxa" w:w="150"/>
              <w:bottom w:type="dxa" w:w="12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C02B2B"/>
                <w:sz w:val="36"/>
                <w:szCs w:val="36"/>
              </w:rPr>
              <w:t xml:space="preserve">&gt;40%</w:t>
            </w:r>
          </w:p>
          <w:p>
            <w:pPr>
              <w:spacing w:after="30"/>
            </w:pPr>
            <w:r>
              <w:rPr>
                <w:b/>
                <w:bCs/>
                <w:color w:val="2A3560"/>
                <w:sz w:val="15"/>
                <w:szCs w:val="15"/>
              </w:rPr>
              <w:t xml:space="preserve">Of the 25 largest suppliers now non-investment grade</w:t>
            </w:r>
          </w:p>
          <w:p>
            <w:pPr>
              <w:spacing w:after="40"/>
            </w:pPr>
            <w:r>
              <w:rPr>
                <w:color w:val="8892A4"/>
                <w:sz w:val="13"/>
                <w:szCs w:val="13"/>
              </w:rPr>
              <w:t xml:space="preserve">vs. &lt;5% in MedTech &amp; industrials — structural refinancing risk.</w:t>
            </w:r>
          </w:p>
          <w:p>
            <w:r>
              <w:rPr>
                <w:b/>
                <w:bCs/>
                <w:color w:val="10B981"/>
                <w:spacing w:val="10"/>
                <w:sz w:val="11"/>
                <w:szCs w:val="11"/>
              </w:rPr>
              <w:t xml:space="preserve">✓ VERIFIED</w:t>
            </w:r>
          </w:p>
        </w:tc>
        <w:tc>
          <w:tcPr>
            <w:tcW w:type="dxa" w:w="2700"/>
            <w:tcBorders>
              <w:top w:val="single" w:color="DFE3E8" w:sz="4"/>
              <w:left w:val="single" w:color="2EA891" w:sz="24"/>
              <w:bottom w:val="single" w:color="DFE3E8" w:sz="4"/>
              <w:right w:val="single" w:color="DFE3E8" w:sz="4"/>
            </w:tcBorders>
            <w:shd w:fill="F6F8FB" w:color="auto" w:val="clear"/>
            <w:tcMar>
              <w:top w:type="dxa" w:w="110"/>
              <w:left w:type="dxa" w:w="150"/>
              <w:bottom w:type="dxa" w:w="12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32D5A"/>
                <w:sz w:val="36"/>
                <w:szCs w:val="36"/>
              </w:rPr>
              <w:t xml:space="preserve">86–94%</w:t>
            </w:r>
          </w:p>
          <w:p>
            <w:pPr>
              <w:spacing w:after="30"/>
            </w:pPr>
            <w:r>
              <w:rPr>
                <w:b/>
                <w:bCs/>
                <w:color w:val="2A3560"/>
                <w:sz w:val="15"/>
                <w:szCs w:val="15"/>
              </w:rPr>
              <w:t xml:space="preserve">Of operational spreadsheets carry ≥1 error</w:t>
            </w:r>
          </w:p>
          <w:p>
            <w:pPr>
              <w:spacing w:after="40"/>
            </w:pPr>
            <w:r>
              <w:rPr>
                <w:color w:val="8892A4"/>
                <w:sz w:val="13"/>
                <w:szCs w:val="13"/>
              </w:rPr>
              <w:t xml:space="preserve">~1% of formula cells wrong in field audits; humans miss most.</w:t>
            </w:r>
          </w:p>
          <w:p>
            <w:r>
              <w:rPr>
                <w:b/>
                <w:bCs/>
                <w:color w:val="10B981"/>
                <w:spacing w:val="10"/>
                <w:sz w:val="11"/>
                <w:szCs w:val="11"/>
              </w:rPr>
              <w:t xml:space="preserve">✓ VERIFIED</w:t>
            </w:r>
          </w:p>
        </w:tc>
        <w:tc>
          <w:tcPr>
            <w:tcW w:type="dxa" w:w="2700"/>
            <w:tcBorders>
              <w:top w:val="single" w:color="DFE3E8" w:sz="4"/>
              <w:left w:val="single" w:color="2EA891" w:sz="24"/>
              <w:bottom w:val="single" w:color="DFE3E8" w:sz="4"/>
              <w:right w:val="single" w:color="DFE3E8" w:sz="4"/>
            </w:tcBorders>
            <w:shd w:fill="F6F8FB" w:color="auto" w:val="clear"/>
            <w:tcMar>
              <w:top w:type="dxa" w:w="110"/>
              <w:left w:type="dxa" w:w="150"/>
              <w:bottom w:type="dxa" w:w="12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EA891"/>
                <w:sz w:val="36"/>
                <w:szCs w:val="36"/>
              </w:rPr>
              <w:t xml:space="preserve">Feb 2027</w:t>
            </w:r>
          </w:p>
          <w:p>
            <w:pPr>
              <w:spacing w:after="30"/>
            </w:pPr>
            <w:r>
              <w:rPr>
                <w:b/>
                <w:bCs/>
                <w:color w:val="2A3560"/>
                <w:sz w:val="15"/>
                <w:szCs w:val="15"/>
              </w:rPr>
              <w:t xml:space="preserve">EU digital battery passport becomes mandatory</w:t>
            </w:r>
          </w:p>
          <w:p>
            <w:pPr>
              <w:spacing w:after="40"/>
            </w:pPr>
            <w:r>
              <w:rPr>
                <w:color w:val="8892A4"/>
                <w:sz w:val="13"/>
                <w:szCs w:val="13"/>
              </w:rPr>
              <w:t xml:space="preserve">18 Feb 2027 — a hard deadline the whole industry is racing.</w:t>
            </w:r>
          </w:p>
          <w:p>
            <w:r>
              <w:rPr>
                <w:b/>
                <w:bCs/>
                <w:color w:val="10B981"/>
                <w:spacing w:val="10"/>
                <w:sz w:val="11"/>
                <w:szCs w:val="11"/>
              </w:rPr>
              <w:t xml:space="preserve">✓ VERIFIED</w:t>
            </w:r>
          </w:p>
        </w:tc>
      </w:tr>
    </w:tbl>
    <w:p>
      <w:pPr>
        <w:spacing w:before="90"/>
      </w:pPr>
      <w:r>
        <w:rPr>
          <w:i/>
          <w:iCs/>
          <w:color w:val="8892A4"/>
          <w:sz w:val="15"/>
          <w:szCs w:val="15"/>
        </w:rPr>
        <w:t xml:space="preserve">Cash-starved and mandate-loaded at once — the canonical condition where a low-cost, high-ROI compliance tool finds demand. No compliant PPAP package → no purchase order.</w:t>
      </w:r>
    </w:p>
    <w:p>
      <w:pPr>
        <w:pBdr>
          <w:bottom w:val="single" w:color="DFE3E8" w:sz="6" w:space="6"/>
        </w:pBdr>
        <w:spacing w:after="70" w:before="150"/>
      </w:pPr>
      <w:r>
        <w:rPr>
          <w:b/>
          <w:bCs/>
          <w:color w:val="2EA891"/>
          <w:sz w:val="17"/>
          <w:szCs w:val="17"/>
        </w:rPr>
        <w:t xml:space="preserve">02   </w:t>
      </w:r>
      <w:r>
        <w:rPr>
          <w:b/>
          <w:bCs/>
          <w:color w:val="232D5A"/>
          <w:sz w:val="23"/>
          <w:szCs w:val="23"/>
        </w:rPr>
        <w:t xml:space="preserve">The gap — measured, not asserted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4800"/>
      </w:tblGrid>
      <w:tr>
        <w:tc>
          <w:tcPr>
            <w:tcW w:type="dxa" w:w="3000"/>
            <w:tcBorders>
              <w:top w:val="single" w:color="DFE3E8" w:sz="4"/>
              <w:left w:val="single" w:color="DFE3E8" w:sz="4"/>
              <w:bottom w:val="single" w:color="DFE3E8" w:sz="4"/>
              <w:right w:val="single" w:color="DFE3E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b/>
                <w:bCs/>
                <w:color w:val="232D5A"/>
                <w:sz w:val="18"/>
                <w:szCs w:val="18"/>
              </w:rPr>
              <w:t xml:space="preserve">Spreadsheets</w:t>
            </w:r>
          </w:p>
          <w:p>
            <w:pPr>
              <w:spacing w:after="60"/>
            </w:pPr>
            <w:r>
              <w:rPr>
                <w:b/>
                <w:bCs/>
                <w:color w:val="8892A4"/>
                <w:spacing w:val="8"/>
                <w:sz w:val="12"/>
                <w:szCs w:val="12"/>
              </w:rPr>
              <w:t xml:space="preserve">BROAD BUT UNGUARDED</w:t>
            </w:r>
          </w:p>
          <w:p>
            <w:r>
              <w:rPr>
                <w:color w:val="2A3560"/>
                <w:sz w:val="15"/>
                <w:szCs w:val="15"/>
              </w:rPr>
              <w:t xml:space="preserve">Touch every document, but passively accept whatever is typed. No engine to catch what's wrong — structurally incapable of every coherence, genealogy and provenance case, regardless of operator skill.</w:t>
            </w:r>
          </w:p>
        </w:tc>
        <w:tc>
          <w:tcPr>
            <w:tcW w:type="dxa" w:w="3000"/>
            <w:tcBorders>
              <w:top w:val="single" w:color="DFE3E8" w:sz="4"/>
              <w:left w:val="single" w:color="DFE3E8" w:sz="4"/>
              <w:bottom w:val="single" w:color="DFE3E8" w:sz="4"/>
              <w:right w:val="single" w:color="DFE3E8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b/>
                <w:bCs/>
                <w:color w:val="232D5A"/>
                <w:sz w:val="18"/>
                <w:szCs w:val="18"/>
              </w:rPr>
              <w:t xml:space="preserve">Point solutions</w:t>
            </w:r>
          </w:p>
          <w:p>
            <w:pPr>
              <w:spacing w:after="60"/>
            </w:pPr>
            <w:r>
              <w:rPr>
                <w:b/>
                <w:bCs/>
                <w:color w:val="8892A4"/>
                <w:spacing w:val="8"/>
                <w:sz w:val="12"/>
                <w:szCs w:val="12"/>
              </w:rPr>
              <w:t xml:space="preserve">DEEP BUT NARROW</w:t>
            </w:r>
          </w:p>
          <w:p>
            <w:r>
              <w:rPr>
                <w:color w:val="2A3560"/>
                <w:sz w:val="15"/>
                <w:szCs w:val="15"/>
              </w:rPr>
              <w:t xml:space="preserve">Nail one task — SPC statistics, say — and leave everything else back in the spreadsheet. Even granting perfect in-scope accuracy, they still can't cover most of the job.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D5A" w:color="auto" w:val="clear"/>
            <w:tcMar>
              <w:top w:type="dxa" w:w="120"/>
              <w:left w:type="dxa" w:w="16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 union no one covers</w:t>
            </w:r>
          </w:p>
          <w:p>
            <w:pPr>
              <w:spacing w:after="60"/>
            </w:pPr>
            <w:r>
              <w:rPr>
                <w:b/>
                <w:bCs/>
                <w:color w:val="7FD4C1"/>
                <w:spacing w:val="8"/>
                <w:sz w:val="12"/>
                <w:szCs w:val="12"/>
              </w:rPr>
              <w:t xml:space="preserve">THE ARCHITECTURE-LEVEL OPENING</w:t>
            </w:r>
          </w:p>
          <w:p>
            <w:pPr>
              <w:spacing w:after="24"/>
            </w:pPr>
            <w:r>
              <w:rPr>
                <w:b/>
                <w:bCs/>
                <w:color w:val="7FD4C1"/>
                <w:sz w:val="15"/>
                <w:szCs w:val="15"/>
              </w:rPr>
              <w:t xml:space="preserve">+  </w:t>
            </w:r>
            <w:r>
              <w:rPr>
                <w:b/>
                <w:bCs/>
                <w:color w:val="EEF2FF"/>
                <w:sz w:val="15"/>
                <w:szCs w:val="15"/>
              </w:rPr>
              <w:t xml:space="preserve">Cross-document integrity</w:t>
            </w:r>
          </w:p>
          <w:p>
            <w:pPr>
              <w:spacing w:after="24"/>
            </w:pPr>
            <w:r>
              <w:rPr>
                <w:b/>
                <w:bCs/>
                <w:color w:val="7FD4C1"/>
                <w:sz w:val="15"/>
                <w:szCs w:val="15"/>
              </w:rPr>
              <w:t xml:space="preserve">+  </w:t>
            </w:r>
            <w:r>
              <w:rPr>
                <w:b/>
                <w:bCs/>
                <w:color w:val="EEF2FF"/>
                <w:sz w:val="15"/>
                <w:szCs w:val="15"/>
              </w:rPr>
              <w:t xml:space="preserve">Quality-plan (PPAP/FMEA/control-plan) coherence</w:t>
            </w:r>
          </w:p>
          <w:p>
            <w:pPr>
              <w:spacing w:after="24"/>
            </w:pPr>
            <w:r>
              <w:rPr>
                <w:b/>
                <w:bCs/>
                <w:color w:val="7FD4C1"/>
                <w:sz w:val="15"/>
                <w:szCs w:val="15"/>
              </w:rPr>
              <w:t xml:space="preserve">+  </w:t>
            </w:r>
            <w:r>
              <w:rPr>
                <w:b/>
                <w:bCs/>
                <w:color w:val="EEF2FF"/>
                <w:sz w:val="15"/>
                <w:szCs w:val="15"/>
              </w:rPr>
              <w:t xml:space="preserve">Recall genealogy</w:t>
            </w:r>
          </w:p>
          <w:p>
            <w:pPr>
              <w:spacing w:after="24"/>
            </w:pPr>
            <w:r>
              <w:rPr>
                <w:b/>
                <w:bCs/>
                <w:color w:val="7FD4C1"/>
                <w:sz w:val="15"/>
                <w:szCs w:val="15"/>
              </w:rPr>
              <w:t xml:space="preserve">+  </w:t>
            </w:r>
            <w:r>
              <w:rPr>
                <w:b/>
                <w:bCs/>
                <w:color w:val="EEF2FF"/>
                <w:sz w:val="15"/>
                <w:szCs w:val="15"/>
              </w:rPr>
              <w:t xml:space="preserve">Tamper-evident records</w:t>
            </w:r>
          </w:p>
          <w:p>
            <w:pPr>
              <w:spacing w:after="24"/>
            </w:pPr>
            <w:r>
              <w:rPr>
                <w:b/>
                <w:bCs/>
                <w:color w:val="7FD4C1"/>
                <w:sz w:val="15"/>
                <w:szCs w:val="15"/>
              </w:rPr>
              <w:t xml:space="preserve">+  </w:t>
            </w:r>
            <w:r>
              <w:rPr>
                <w:b/>
                <w:bCs/>
                <w:color w:val="EEF2FF"/>
                <w:sz w:val="15"/>
                <w:szCs w:val="15"/>
              </w:rPr>
              <w:t xml:space="preserve">Active guardrails on bad data</w:t>
            </w:r>
          </w:p>
        </w:tc>
      </w:tr>
    </w:tbl>
    <w:p>
      <w:pPr>
        <w:spacing w:before="90"/>
      </w:pPr>
      <w:r>
        <w:rPr>
          <w:color w:val="8892A4"/>
          <w:sz w:val="15"/>
          <w:szCs w:val="15"/>
        </w:rPr>
        <w:t xml:space="preserve">Covering that union is an </w:t>
      </w:r>
      <w:r>
        <w:rPr>
          <w:b/>
          <w:bCs/>
          <w:color w:val="232D5A"/>
          <w:sz w:val="15"/>
          <w:szCs w:val="15"/>
        </w:rPr>
        <w:t xml:space="preserve">architecture-level job — not a feature either incumbent can bolt on. </w:t>
      </w:r>
      <w:r>
        <w:rPr>
          <w:color w:val="8892A4"/>
          <w:sz w:val="15"/>
          <w:szCs w:val="15"/>
        </w:rPr>
        <w:t xml:space="preserve">A passive spreadsheet has no engine for coherence, no graph for genealogy, no signing for provenance. That is the opening SQ-OS is built for.</w:t>
      </w:r>
    </w:p>
    <w:p>
      <w:pPr>
        <w:pBdr>
          <w:bottom w:val="single" w:color="DFE3E8" w:sz="6" w:space="6"/>
        </w:pBdr>
        <w:spacing w:after="70" w:before="150"/>
      </w:pPr>
      <w:r>
        <w:rPr>
          <w:b/>
          <w:bCs/>
          <w:color w:val="2EA891"/>
          <w:sz w:val="17"/>
          <w:szCs w:val="17"/>
        </w:rPr>
        <w:t xml:space="preserve">03   </w:t>
      </w:r>
      <w:r>
        <w:rPr>
          <w:b/>
          <w:bCs/>
          <w:color w:val="232D5A"/>
          <w:sz w:val="23"/>
          <w:szCs w:val="23"/>
        </w:rPr>
        <w:t xml:space="preserve">The offering — one system of record for the whole job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2EA891" w:sz="20"/>
              <w:left w:val="single" w:color="DFE3E8" w:sz="4"/>
              <w:bottom w:val="single" w:color="DFE3E8" w:sz="4"/>
              <w:right w:val="single" w:color="DFE3E8" w:sz="4"/>
            </w:tcBorders>
            <w:shd w:fill="F6F8FB" w:color="auto" w:val="clear"/>
            <w:tcMar>
              <w:top w:type="dxa" w:w="110"/>
              <w:left w:type="dxa" w:w="15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32D5A"/>
                <w:sz w:val="16"/>
                <w:szCs w:val="16"/>
              </w:rPr>
              <w:t xml:space="preserve">Compliance core</w:t>
            </w:r>
          </w:p>
          <w:p>
            <w:r>
              <w:rPr>
                <w:color w:val="2A3560"/>
                <w:sz w:val="14"/>
                <w:szCs w:val="14"/>
              </w:rPr>
              <w:t xml:space="preserve">PPAP, APQP, FMEA, control plans and SPC — assembled, cross-checked and kept consistent, priced for single-digit-margin shops.</w:t>
            </w:r>
          </w:p>
        </w:tc>
        <w:tc>
          <w:tcPr>
            <w:tcW w:type="dxa" w:w="2700"/>
            <w:tcBorders>
              <w:top w:val="single" w:color="2EA891" w:sz="20"/>
              <w:left w:val="single" w:color="DFE3E8" w:sz="4"/>
              <w:bottom w:val="single" w:color="DFE3E8" w:sz="4"/>
              <w:right w:val="single" w:color="DFE3E8" w:sz="4"/>
            </w:tcBorders>
            <w:shd w:fill="F6F8FB" w:color="auto" w:val="clear"/>
            <w:tcMar>
              <w:top w:type="dxa" w:w="110"/>
              <w:left w:type="dxa" w:w="15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32D5A"/>
                <w:sz w:val="16"/>
                <w:szCs w:val="16"/>
              </w:rPr>
              <w:t xml:space="preserve">Active guardrails</w:t>
            </w:r>
          </w:p>
          <w:p>
            <w:r>
              <w:rPr>
                <w:color w:val="2A3560"/>
                <w:sz w:val="14"/>
                <w:szCs w:val="14"/>
              </w:rPr>
              <w:t xml:space="preserve">Catches the errors a spreadsheet waves through — stale revisions, mis-used risk scores, out-of-spec capability claims.</w:t>
            </w:r>
          </w:p>
        </w:tc>
        <w:tc>
          <w:tcPr>
            <w:tcW w:type="dxa" w:w="2700"/>
            <w:tcBorders>
              <w:top w:val="single" w:color="2EA891" w:sz="20"/>
              <w:left w:val="single" w:color="DFE3E8" w:sz="4"/>
              <w:bottom w:val="single" w:color="DFE3E8" w:sz="4"/>
              <w:right w:val="single" w:color="DFE3E8" w:sz="4"/>
            </w:tcBorders>
            <w:shd w:fill="F6F8FB" w:color="auto" w:val="clear"/>
            <w:tcMar>
              <w:top w:type="dxa" w:w="110"/>
              <w:left w:type="dxa" w:w="15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32D5A"/>
                <w:sz w:val="16"/>
                <w:szCs w:val="16"/>
              </w:rPr>
              <w:t xml:space="preserve">Traceability spine</w:t>
            </w:r>
          </w:p>
          <w:p>
            <w:r>
              <w:rPr>
                <w:color w:val="2A3560"/>
                <w:sz w:val="14"/>
                <w:szCs w:val="14"/>
              </w:rPr>
              <w:t xml:space="preserve">Part-level serialization and genealogy: turn a total recall into a targeted one, from raw lot to finished serial.</w:t>
            </w:r>
          </w:p>
        </w:tc>
        <w:tc>
          <w:tcPr>
            <w:tcW w:type="dxa" w:w="2700"/>
            <w:tcBorders>
              <w:top w:val="single" w:color="2EA891" w:sz="20"/>
              <w:left w:val="single" w:color="DFE3E8" w:sz="4"/>
              <w:bottom w:val="single" w:color="DFE3E8" w:sz="4"/>
              <w:right w:val="single" w:color="DFE3E8" w:sz="4"/>
            </w:tcBorders>
            <w:shd w:fill="F6F8FB" w:color="auto" w:val="clear"/>
            <w:tcMar>
              <w:top w:type="dxa" w:w="110"/>
              <w:left w:type="dxa" w:w="15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32D5A"/>
                <w:sz w:val="16"/>
                <w:szCs w:val="16"/>
              </w:rPr>
              <w:t xml:space="preserve">Battery-passport ready</w:t>
            </w:r>
          </w:p>
          <w:p>
            <w:r>
              <w:rPr>
                <w:color w:val="2A3560"/>
                <w:sz w:val="14"/>
                <w:szCs w:val="14"/>
              </w:rPr>
              <w:t xml:space="preserve">The same data spine produces the EU digital battery passport every EV supplier needs by February 2027.</w:t>
            </w:r>
          </w:p>
        </w:tc>
      </w:tr>
    </w:tbl>
    <w:p>
      <w:pPr>
        <w:pBdr>
          <w:bottom w:val="single" w:color="DFE3E8" w:sz="6" w:space="6"/>
        </w:pBdr>
        <w:spacing w:after="70" w:before="150"/>
      </w:pPr>
      <w:r>
        <w:rPr>
          <w:b/>
          <w:bCs/>
          <w:color w:val="2EA891"/>
          <w:sz w:val="17"/>
          <w:szCs w:val="17"/>
        </w:rPr>
        <w:t xml:space="preserve">04   </w:t>
      </w:r>
      <w:r>
        <w:rPr>
          <w:b/>
          <w:bCs/>
          <w:color w:val="232D5A"/>
          <w:sz w:val="23"/>
          <w:szCs w:val="23"/>
        </w:rPr>
        <w:t xml:space="preserve">Why believe it — define the bar, then measure the gap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80"/>
        <w:gridCol w:w="432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20"/>
            </w:tcMar>
          </w:tcPr>
          <w:p>
            <w:r>
              <w:rPr>
                <w:color w:val="2A3560"/>
                <w:sz w:val="16"/>
                <w:szCs w:val="16"/>
              </w:rPr>
              <w:t xml:space="preserve">Most compliance software asks you to trust a claim. We built a </w:t>
            </w:r>
            <w:r>
              <w:rPr>
                <w:b/>
                <w:bCs/>
                <w:color w:val="232D5A"/>
                <w:sz w:val="16"/>
                <w:szCs w:val="16"/>
              </w:rPr>
              <w:t xml:space="preserve">testable benchmark of what “correct” means</w:t>
            </w:r>
            <w:r>
              <w:rPr>
                <w:color w:val="2A3560"/>
                <w:sz w:val="16"/>
                <w:szCs w:val="16"/>
              </w:rPr>
              <w:t xml:space="preserve"> for automotive compliance — grounded in the AIAG / IATF standards and the EU battery regulation — and committed it cryptographically </w:t>
            </w:r>
            <w:r>
              <w:rPr>
                <w:b/>
                <w:bCs/>
                <w:color w:val="232D5A"/>
                <w:sz w:val="16"/>
                <w:szCs w:val="16"/>
              </w:rPr>
              <w:t xml:space="preserve">before</w:t>
            </w:r>
            <w:r>
              <w:rPr>
                <w:color w:val="2A3560"/>
                <w:sz w:val="16"/>
                <w:szCs w:val="16"/>
              </w:rPr>
              <w:t xml:space="preserve"> building the product, a direct guard against optimizing to a moving target. Every check traces to a published standard; where a number can't be verified, we don't publish one. The moat compounds: switching cost once we hold the quality record of record, plus a </w:t>
            </w:r>
            <w:r>
              <w:rPr>
                <w:b/>
                <w:bCs/>
                <w:color w:val="232D5A"/>
                <w:sz w:val="16"/>
                <w:szCs w:val="16"/>
              </w:rPr>
              <w:t xml:space="preserve">mandate stack that only grows</w:t>
            </w:r>
            <w:r>
              <w:rPr>
                <w:color w:val="2A3560"/>
                <w:sz w:val="16"/>
                <w:szCs w:val="16"/>
              </w:rPr>
              <w:t xml:space="preserve">.</w:t>
            </w:r>
          </w:p>
          <w:p>
            <w:pPr>
              <w:spacing w:before="90"/>
            </w:pPr>
            <w:r>
              <w:rPr>
                <w:b/>
                <w:bCs/>
                <w:color w:val="2A3560"/>
                <w:sz w:val="13"/>
                <w:szCs w:val="13"/>
                <w:shd w:fill="EEF1F6" w:color="auto" w:val="clear"/>
              </w:rPr>
              <w:t xml:space="preserve">  PPAP  </w:t>
            </w:r>
            <w:r>
              <w:t xml:space="preserve">   </w:t>
            </w:r>
            <w:r>
              <w:rPr>
                <w:b/>
                <w:bCs/>
                <w:color w:val="2A3560"/>
                <w:sz w:val="13"/>
                <w:szCs w:val="13"/>
                <w:shd w:fill="EEF1F6" w:color="auto" w:val="clear"/>
              </w:rPr>
              <w:t xml:space="preserve">  AIAG-VDA FMEA  </w:t>
            </w:r>
            <w:r>
              <w:t xml:space="preserve">   </w:t>
            </w:r>
            <w:r>
              <w:rPr>
                <w:b/>
                <w:bCs/>
                <w:color w:val="2A3560"/>
                <w:sz w:val="13"/>
                <w:szCs w:val="13"/>
                <w:shd w:fill="EEF1F6" w:color="auto" w:val="clear"/>
              </w:rPr>
              <w:t xml:space="preserve">  IATF 16949  </w:t>
            </w:r>
            <w:r>
              <w:t xml:space="preserve">   </w:t>
            </w:r>
            <w:r>
              <w:rPr>
                <w:b/>
                <w:bCs/>
                <w:color w:val="2A3560"/>
                <w:sz w:val="13"/>
                <w:szCs w:val="13"/>
                <w:shd w:fill="EEF1F6" w:color="auto" w:val="clear"/>
              </w:rPr>
              <w:t xml:space="preserve">  EU 2023/1542  </w:t>
            </w:r>
            <w:r>
              <w:t xml:space="preserve">   </w:t>
            </w:r>
            <w:r>
              <w:rPr>
                <w:b/>
                <w:bCs/>
                <w:color w:val="2A3560"/>
                <w:sz w:val="13"/>
                <w:szCs w:val="13"/>
                <w:shd w:fill="EEF1F6" w:color="auto" w:val="clear"/>
              </w:rPr>
              <w:t xml:space="preserve">  Crypto provenance  </w:t>
            </w:r>
            <w:r>
              <w:t xml:space="preserve">   </w:t>
            </w:r>
            <w:r>
              <w:rPr>
                <w:b/>
                <w:bCs/>
                <w:color w:val="2A3560"/>
                <w:sz w:val="13"/>
                <w:szCs w:val="13"/>
                <w:shd w:fill="EEF1F6" w:color="auto" w:val="clear"/>
              </w:rPr>
              <w:t xml:space="preserve">  Genealogy graph  </w:t>
            </w:r>
            <w:r>
              <w:t xml:space="preserve">   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D5A" w:color="auto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7FD4C1"/>
                <w:spacing w:val="14"/>
                <w:sz w:val="13"/>
                <w:szCs w:val="13"/>
              </w:rPr>
              <w:t xml:space="preserve">MEASURED, NOT ASSERTED</w:t>
            </w:r>
          </w:p>
          <w:p>
            <w:pPr>
              <w:spacing w:after="5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19/37  </w:t>
            </w:r>
            <w:r>
              <w:rPr>
                <w:color w:val="C7D0DE"/>
                <w:sz w:val="13"/>
                <w:szCs w:val="13"/>
              </w:rPr>
              <w:t xml:space="preserve">cases a spreadsheet binder is structurally incapable of</w:t>
            </w:r>
          </w:p>
          <w:p>
            <w:pPr>
              <w:spacing w:after="7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29/37  </w:t>
            </w:r>
            <w:r>
              <w:rPr>
                <w:color w:val="C7D0DE"/>
                <w:sz w:val="13"/>
                <w:szCs w:val="13"/>
              </w:rPr>
              <w:t xml:space="preserve">cases an SPC point solution can't cover — even granted perfect accuracy</w:t>
            </w:r>
          </w:p>
          <w:p>
            <w:r>
              <w:rPr>
                <w:color w:val="94A2BD"/>
                <w:sz w:val="12"/>
                <w:szCs w:val="12"/>
              </w:rPr>
              <w:t xml:space="preserve">Coverage over the committed corpus of 37 scored cases. A companion IEEE whitepaper documents the benchmark and the measured incumbent gap.</w:t>
            </w:r>
          </w:p>
        </w:tc>
      </w:tr>
    </w:tbl>
    <w:p>
      <w:pPr>
        <w:spacing w:after="80" w:before="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36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D5A" w:color="auto" w:val="clear"/>
            <w:tcMar>
              <w:top w:type="dxa" w:w="170"/>
              <w:left w:type="dxa" w:w="220"/>
              <w:bottom w:type="dxa" w:w="17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 bar is defined. The gap is measured. </w:t>
            </w:r>
            <w:r>
              <w:rPr>
                <w:b/>
                <w:bCs/>
                <w:color w:val="7FD4C1"/>
                <w:sz w:val="22"/>
                <w:szCs w:val="22"/>
              </w:rPr>
              <w:t xml:space="preserve">The clock is running.</w:t>
            </w:r>
          </w:p>
          <w:p>
            <w:r>
              <w:rPr>
                <w:color w:val="C7D0DE"/>
                <w:sz w:val="14"/>
                <w:szCs w:val="14"/>
              </w:rPr>
              <w:t xml:space="preserve">We're selecting design partners — mid-tier suppliers with acute, mandated compliance pain — to prove the wedge together, then attach the traceability spine and battery passport ahead of the 2027 deadline.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D5A" w:color="auto" w:val="clear"/>
            <w:tcMar>
              <w:top w:type="dxa" w:w="170"/>
              <w:left w:type="dxa" w:w="120"/>
              <w:bottom w:type="dxa" w:w="170"/>
              <w:right w:type="dxa" w:w="22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A. Khaalis Wooden, Sr.</w:t>
            </w:r>
          </w:p>
          <w:p>
            <w:pPr>
              <w:spacing w:after="60"/>
              <w:jc w:val="right"/>
            </w:pPr>
            <w:r>
              <w:rPr>
                <w:color w:val="7FD4C1"/>
                <w:sz w:val="14"/>
                <w:szCs w:val="14"/>
              </w:rPr>
              <w:t xml:space="preserve">khaalis.wooden@visionblox.com</w:t>
            </w:r>
          </w:p>
          <w:p>
            <w:pPr>
              <w:jc w:val="right"/>
            </w:pPr>
            <w:r>
              <w:rPr>
                <w:b/>
                <w:bCs/>
                <w:color w:val="5F6B82"/>
                <w:spacing w:val="16"/>
                <w:sz w:val="11"/>
                <w:szCs w:val="11"/>
              </w:rPr>
              <w:t xml:space="preserve">BUILD WHAT DOESN'T EXIST YET</w:t>
            </w:r>
          </w:p>
        </w:tc>
      </w:tr>
    </w:tbl>
    <w:p>
      <w:pPr>
        <w:pBdr>
          <w:top w:val="single" w:color="DFE3E8" w:sz="4" w:space="6"/>
        </w:pBdr>
        <w:spacing w:before="120"/>
      </w:pPr>
      <w:r>
        <w:rPr>
          <w:b/>
          <w:bCs/>
          <w:color w:val="2A3560"/>
          <w:sz w:val="12"/>
          <w:szCs w:val="12"/>
        </w:rPr>
        <w:t xml:space="preserve">Sources: </w:t>
      </w:r>
      <w:r>
        <w:rPr>
          <w:color w:val="8892A4"/>
          <w:sz w:val="12"/>
          <w:szCs w:val="12"/>
        </w:rPr>
        <w:t xml:space="preserve">Roland Berger / Lazard, Global Automotive Supplier Study 2025 (4.7% EBIT, 2024, down from 5.3%; &gt;40% of top-25 suppliers non-investment grade). · Regulation (EU) 2023/1542, Arts. 77–78 &amp; Annex XIII (battery passport mandatory 18 Feb 2027). · R. Panko, field audits of operational spreadsheets (~1% cell-error rate; 86–94% of spreadsheets contain ≥1 error). · Benchmark coverage figures are from SQ-OS's own committed 37-case corpus. Thesis-stage: benchmark and IEEE whitepaper complete; product and pricing are the thesis under test.</w:t>
      </w:r>
    </w:p>
    <w:sectPr>
      <w:pgSz w:w="12240" w:h="15840" w:orient="portrait"/>
      <w:pgMar w:top="288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2026-07-16T19:02:13.506Z</dcterms:created>
  <dcterms:modified xsi:type="dcterms:W3CDTF">2026-07-16T19:02:13.508Z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