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232D5A"/>
          <w:sz w:val="36"/>
          <w:szCs w:val="36"/>
        </w:rPr>
        <w:t xml:space="preserve">VISIONBLOX LLC</w:t>
      </w:r>
    </w:p>
    <w:p>
      <w:pPr>
        <w:spacing w:after="600" w:before="0"/>
        <w:jc w:val="center"/>
      </w:pPr>
      <w:r>
        <w:rPr>
          <w:rFonts w:ascii="Arial" w:cs="Arial" w:eastAsia="Arial" w:hAnsi="Arial"/>
          <w:b/>
          <w:bCs/>
          <w:color w:val="2EA891"/>
          <w:sz w:val="28"/>
          <w:szCs w:val="28"/>
        </w:rPr>
        <w:t xml:space="preserve">AWARD CAPTURE BRIEF</w:t>
      </w:r>
    </w:p>
    <w:p>
      <w:pPr>
        <w:spacing w:after="200" w:before="0"/>
        <w:jc w:val="center"/>
      </w:pPr>
      <w:r>
        <w:rPr>
          <w:rFonts w:ascii="Arial" w:cs="Arial" w:eastAsia="Arial" w:hAnsi="Arial"/>
          <w:b/>
          <w:bCs/>
          <w:color w:val="000000"/>
          <w:sz w:val="28"/>
          <w:szCs w:val="28"/>
        </w:rPr>
        <w:t xml:space="preserve">Montana Master AI Products &amp; Services</w:t>
      </w:r>
    </w:p>
    <w:p>
      <w:pPr>
        <w:spacing w:after="200" w:before="0"/>
        <w:jc w:val="center"/>
      </w:pPr>
      <w:r>
        <w:rPr>
          <w:rFonts w:ascii="Arial" w:cs="Arial" w:eastAsia="Arial" w:hAnsi="Arial"/>
          <w:color w:val="000000"/>
          <w:sz w:val="24"/>
          <w:szCs w:val="24"/>
        </w:rPr>
        <w:t xml:space="preserve">Solicitation SPB-RFP-2026-0608GW</w:t>
      </w:r>
    </w:p>
    <w:p>
      <w:pPr>
        <w:pBdr>
          <w:top w:val="single" w:color="F7B801" w:sz="24" w:space="8"/>
        </w:pBdr>
        <w:spacing w:after="200" w:before="200"/>
        <w:jc w:val="center"/>
      </w:pPr>
      <w:r>
        <w:rPr>
          <w:rFonts w:ascii="Arial" w:cs="Arial" w:eastAsia="Arial" w:hAnsi="Arial"/>
        </w:rPr>
        <w:t xml:space="preserve"/>
      </w:r>
    </w:p>
    <w:p>
      <w:pPr>
        <w:spacing w:after="80" w:before="600"/>
        <w:jc w:val="center"/>
      </w:pPr>
      <w:r>
        <w:rPr>
          <w:rFonts w:ascii="Arial" w:cs="Arial" w:eastAsia="Arial" w:hAnsi="Arial"/>
          <w:color w:val="000000"/>
          <w:sz w:val="22"/>
          <w:szCs w:val="22"/>
        </w:rPr>
        <w:t xml:space="preserve">Notice of Intent to Award Posted: 6/30/2026</w:t>
      </w:r>
    </w:p>
    <w:p>
      <w:pPr>
        <w:spacing w:after="80" w:before="0"/>
        <w:jc w:val="center"/>
      </w:pPr>
      <w:r>
        <w:rPr>
          <w:rFonts w:ascii="Arial" w:cs="Arial" w:eastAsia="Arial" w:hAnsi="Arial"/>
          <w:b/>
          <w:bCs/>
          <w:color w:val="2EA891"/>
          <w:sz w:val="22"/>
          <w:szCs w:val="22"/>
        </w:rPr>
        <w:t xml:space="preserve">Outcome: Apparent Successful Offeror — TRACK 1 + TRACK 2</w:t>
      </w:r>
    </w:p>
    <w:p>
      <w:pPr>
        <w:spacing w:after="600" w:before="0"/>
        <w:jc w:val="center"/>
      </w:pPr>
      <w:r>
        <w:rPr>
          <w:rFonts w:ascii="Arial" w:cs="Arial" w:eastAsia="Arial" w:hAnsi="Arial"/>
          <w:color w:val="000000"/>
          <w:sz w:val="22"/>
          <w:szCs w:val="22"/>
        </w:rPr>
        <w:t xml:space="preserve">Combined Technical Score: 1,485.9</w:t>
      </w:r>
    </w:p>
    <w:p>
      <w:pPr>
        <w:spacing w:after="80" w:before="1200"/>
        <w:jc w:val="center"/>
      </w:pPr>
      <w:r>
        <w:rPr>
          <w:rFonts w:ascii="Arial" w:cs="Arial" w:eastAsia="Arial" w:hAnsi="Arial"/>
          <w:color w:val="000000"/>
          <w:sz w:val="20"/>
          <w:szCs w:val="20"/>
        </w:rPr>
        <w:t xml:space="preserve">Prepared by:  Khaalis Wooden, MBA  |  Director of Enterprise Capture &amp; Compliance</w:t>
      </w:r>
    </w:p>
    <w:p>
      <w:pPr>
        <w:spacing w:after="80" w:before="0"/>
        <w:jc w:val="center"/>
      </w:pPr>
      <w:r>
        <w:rPr>
          <w:rFonts w:ascii="Arial" w:cs="Arial" w:eastAsia="Arial" w:hAnsi="Arial"/>
          <w:color w:val="000000"/>
          <w:sz w:val="20"/>
          <w:szCs w:val="20"/>
        </w:rPr>
        <w:t xml:space="preserve">Brief Date:  June 29, 2026</w:t>
      </w:r>
    </w:p>
    <w:p>
      <w:pPr>
        <w:spacing w:after="80" w:before="0"/>
        <w:jc w:val="center"/>
      </w:pPr>
      <w:r>
        <w:rPr>
          <w:rFonts w:ascii="Arial" w:cs="Arial" w:eastAsia="Arial" w:hAnsi="Arial"/>
          <w:color w:val="595959"/>
          <w:sz w:val="18"/>
          <w:szCs w:val="18"/>
        </w:rPr>
        <w:t>CAGE 9Z4X2  |  UEI H4X2Z7R9E3E3</w:t>
      </w:r>
    </w:p>
    <w:p>
      <w:pPr>
        <w:spacing w:after="80" w:before="0"/>
        <w:jc w:val="center"/>
      </w:pPr>
      <w:r>
        <w:rPr>
          <w:rFonts w:ascii="Arial" w:cs="Arial" w:eastAsia="Arial" w:hAnsi="Arial"/>
          <w:b/>
          <w:bCs/>
          <w:color w:val="232D5A"/>
          <w:sz w:val="18"/>
          <w:szCs w:val="18"/>
        </w:rPr>
        <w:t xml:space="preserve">CONFIDENTIAL — INTERNAL BD USE</w:t>
      </w:r>
    </w:p>
    <w:p>
      <w:r>
        <w:br w:type="page"/>
      </w:r>
    </w:p>
    <w:p>
      <w:pPr>
        <w:pStyle w:val="Heading1"/>
        <w:pBdr>
          <w:bottom w:val="single" w:color="2EA891" w:sz="12" w:space="6"/>
        </w:pBdr>
        <w:spacing w:after="160" w:before="360"/>
      </w:pPr>
      <w:r>
        <w:rPr>
          <w:rFonts w:ascii="Arial" w:cs="Arial" w:eastAsia="Arial" w:hAnsi="Arial"/>
          <w:b/>
          <w:bCs/>
          <w:color w:val="232D5A"/>
          <w:sz w:val="30"/>
          <w:szCs w:val="30"/>
        </w:rPr>
        <w:t xml:space="preserve">1.  Executive Summary</w:t>
      </w:r>
    </w:p>
    <w:p>
      <w:pPr>
        <w:spacing w:after="160" w:before="80"/>
        <w:jc w:val="left"/>
      </w:pPr>
      <w:r>
        <w:rPr>
          <w:rFonts w:ascii="Arial" w:cs="Arial" w:eastAsia="Arial" w:hAnsi="Arial"/>
          <w:b w:val="false"/>
          <w:bCs w:val="false"/>
          <w:i w:val="false"/>
          <w:iCs w:val="false"/>
          <w:color w:val="000000"/>
          <w:sz w:val="20"/>
          <w:szCs w:val="20"/>
        </w:rPr>
        <w:t xml:space="preserve">On 6/30/2026, the Montana Department of Administration posted a Notice of Intent to Award (NOIA) on Solicitation SPB-RFP-2026-0608GW, Master AI Products and Services. Visionblox LLC was identified as an Apparent Successful Offeror on BOTH Track 1 (Services) and Track 2 (Products) — one of only 12 offerors awarded across both tracks out of 68 total offerors.</w:t>
      </w:r>
    </w:p>
    <w:p>
      <w:pPr>
        <w:spacing w:after="160" w:before="80"/>
        <w:jc w:val="left"/>
      </w:pPr>
      <w:r>
        <w:rPr>
          <w:rFonts w:ascii="Arial" w:cs="Arial" w:eastAsia="Arial" w:hAnsi="Arial"/>
          <w:b w:val="false"/>
          <w:bCs w:val="false"/>
          <w:i w:val="false"/>
          <w:iCs w:val="false"/>
          <w:color w:val="000000"/>
          <w:sz w:val="20"/>
          <w:szCs w:val="20"/>
        </w:rPr>
        <w:t xml:space="preserve">This is a Tier-Two master vehicle. The NOIA places VBX in the pre-qualified pool. No revenue accrues until ordering agencies issue task orders against the master, and those task orders are competed within the pool under thresholds defined in the Service Contract Base. The award validates VBX's federal-analog past performance for SLED AI procurement and is the first multi-vendor master vehicle in the VBX portfolio.</w:t>
      </w:r>
    </w:p>
    <w:p>
      <w:pPr>
        <w:spacing w:after="160" w:before="80"/>
        <w:jc w:val="left"/>
      </w:pPr>
      <w:r>
        <w:rPr>
          <w:rFonts w:ascii="Arial" w:cs="Arial" w:eastAsia="Arial" w:hAnsi="Arial"/>
          <w:b w:val="false"/>
          <w:bCs w:val="false"/>
          <w:i w:val="false"/>
          <w:iCs w:val="false"/>
          <w:color w:val="000000"/>
          <w:sz w:val="20"/>
          <w:szCs w:val="20"/>
        </w:rPr>
        <w:t xml:space="preserve">Three workstreams are open with a hard 10-business-day clock (deadline approximately 7/14/2026): (a) insurance certificate procurement and submission, including a $6M cyber tower; (b) eMACS awarded-vendor registration upgrade; and (c) acknowledgment to the Contracts Officer. Contract base + three exhibits should be reviewed in parallel; several IT terms in Exhibit C materially affect VBX delivery posture and must be operationalized before any task order capture.</w:t>
      </w:r>
    </w:p>
    <w:p>
      <w:pPr>
        <w:spacing w:after="80" w:before="80"/>
        <w:jc w:val="left"/>
      </w:pPr>
      <w:r>
        <w:rPr>
          <w:rFonts w:ascii="Arial" w:cs="Arial" w:eastAsia="Arial" w:hAnsi="Arial"/>
          <w:b/>
          <w:bCs/>
          <w:i w:val="false"/>
          <w:iCs w:val="false"/>
          <w:color w:val="000000"/>
          <w:sz w:val="20"/>
          <w:szCs w:val="20"/>
        </w:rPr>
        <w:t xml:space="preserve">Bottom line: </w:t>
      </w:r>
      <w:r>
        <w:rPr>
          <w:rFonts w:ascii="Arial" w:cs="Arial" w:eastAsia="Arial" w:hAnsi="Arial"/>
          <w:b w:val="false"/>
          <w:bCs w:val="false"/>
          <w:i w:val="false"/>
          <w:iCs w:val="false"/>
          <w:color w:val="000000"/>
          <w:sz w:val="20"/>
          <w:szCs w:val="20"/>
        </w:rPr>
        <w:t xml:space="preserve">Win secured. Contract not yet signed. Insurance is the highest-risk failure mode. Solo VBX submission verified — no sub partner referenced. Pricing strategy must be rebuilt before first task order pursuit (cost score 0.88 / 200 won't survive TO-level competition where cost is weighted ≥ 20%).</w:t>
      </w:r>
    </w:p>
    <w:p>
      <w:r>
        <w:br w:type="page"/>
      </w:r>
    </w:p>
    <w:p>
      <w:pPr>
        <w:pStyle w:val="Heading1"/>
        <w:pBdr>
          <w:bottom w:val="single" w:color="2EA891" w:sz="12" w:space="6"/>
        </w:pBdr>
        <w:spacing w:after="160" w:before="360"/>
      </w:pPr>
      <w:r>
        <w:rPr>
          <w:rFonts w:ascii="Arial" w:cs="Arial" w:eastAsia="Arial" w:hAnsi="Arial"/>
          <w:b/>
          <w:bCs/>
          <w:color w:val="232D5A"/>
          <w:sz w:val="30"/>
          <w:szCs w:val="30"/>
        </w:rPr>
        <w:t xml:space="preserve">2.  Award Detail</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3000"/>
        <w:gridCol w:w="6360"/>
      </w:tblGrid>
      <w:tr>
        <w:tc>
          <w:tcPr>
            <w:tcW w:type="dxa" w:w="3000"/>
            <w:tcBorders>
              <w:top w:val="single" w:color="BFBFBF" w:sz="4"/>
              <w:start w:val="single" w:color="BFBFBF" w:sz="4"/>
              <w:bottom w:val="single" w:color="BFBFBF" w:sz="4"/>
              <w:end w:val="single" w:color="BFBFBF" w:sz="4"/>
            </w:tcBorders>
            <w:shd w:fill="232D5A" w:val="clear"/>
            <w:tcMar>
              <w:top w:type="dxa" w:w="100"/>
              <w:start w:type="dxa" w:w="140"/>
              <w:bottom w:type="dxa" w:w="100"/>
              <w:end w:type="dxa" w:w="140"/>
            </w:tcMar>
            <w:vAlign w:val="top"/>
          </w:tcPr>
          <w:p>
            <w:pPr>
              <w:jc w:val="left"/>
            </w:pPr>
            <w:r>
              <w:rPr>
                <w:rFonts w:ascii="Arial" w:cs="Arial" w:eastAsia="Arial" w:hAnsi="Arial"/>
                <w:b/>
                <w:bCs/>
                <w:color w:val="FFFFFF"/>
                <w:sz w:val="18"/>
                <w:szCs w:val="18"/>
              </w:rPr>
              <w:t xml:space="preserve">Field</w:t>
            </w:r>
          </w:p>
        </w:tc>
        <w:tc>
          <w:tcPr>
            <w:tcW w:type="dxa" w:w="6360"/>
            <w:tcBorders>
              <w:top w:val="single" w:color="BFBFBF" w:sz="4"/>
              <w:start w:val="single" w:color="BFBFBF" w:sz="4"/>
              <w:bottom w:val="single" w:color="BFBFBF" w:sz="4"/>
              <w:end w:val="single" w:color="BFBFBF" w:sz="4"/>
            </w:tcBorders>
            <w:shd w:fill="232D5A" w:val="clear"/>
            <w:tcMar>
              <w:top w:type="dxa" w:w="100"/>
              <w:start w:type="dxa" w:w="140"/>
              <w:bottom w:type="dxa" w:w="100"/>
              <w:end w:type="dxa" w:w="140"/>
            </w:tcMar>
            <w:vAlign w:val="top"/>
          </w:tcPr>
          <w:p>
            <w:pPr>
              <w:jc w:val="left"/>
            </w:pPr>
            <w:r>
              <w:rPr>
                <w:rFonts w:ascii="Arial" w:cs="Arial" w:eastAsia="Arial" w:hAnsi="Arial"/>
                <w:b/>
                <w:bCs/>
                <w:color w:val="FFFFFF"/>
                <w:sz w:val="18"/>
                <w:szCs w:val="18"/>
              </w:rPr>
              <w:t xml:space="preserve">Value (Verified from NOIA + Scoring Matrix)</w:t>
            </w:r>
          </w:p>
        </w:tc>
      </w:tr>
      <w:tr>
        <w:tc>
          <w:tcPr>
            <w:tcW w:type="dxa" w:w="30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left"/>
            </w:pPr>
            <w:r>
              <w:rPr>
                <w:rFonts w:ascii="Arial" w:cs="Arial" w:eastAsia="Arial" w:hAnsi="Arial"/>
                <w:b/>
                <w:bCs/>
                <w:color w:val="000000"/>
                <w:sz w:val="18"/>
                <w:szCs w:val="18"/>
              </w:rPr>
              <w:t xml:space="preserve">Solicitation</w:t>
            </w:r>
          </w:p>
        </w:tc>
        <w:tc>
          <w:tcPr>
            <w:tcW w:type="dxa" w:w="636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SPB-RFP-2026-0608GW</w:t>
            </w:r>
          </w:p>
        </w:tc>
      </w:tr>
      <w:tr>
        <w:tc>
          <w:tcPr>
            <w:tcW w:type="dxa" w:w="3000"/>
            <w:tcBorders>
              <w:top w:val="single" w:color="BFBFBF" w:sz="4"/>
              <w:start w:val="single" w:color="BFBFBF" w:sz="4"/>
              <w:bottom w:val="single" w:color="BFBFBF" w:sz="4"/>
              <w:end w:val="single" w:color="BFBFBF" w:sz="4"/>
            </w:tcBorders>
            <w:shd w:fill="F2F2F2" w:val="clear"/>
            <w:tcMar>
              <w:top w:type="dxa" w:w="100"/>
              <w:start w:type="dxa" w:w="140"/>
              <w:bottom w:type="dxa" w:w="100"/>
              <w:end w:type="dxa" w:w="140"/>
            </w:tcMar>
            <w:vAlign w:val="top"/>
          </w:tcPr>
          <w:p>
            <w:pPr>
              <w:jc w:val="left"/>
            </w:pPr>
            <w:r>
              <w:rPr>
                <w:rFonts w:ascii="Arial" w:cs="Arial" w:eastAsia="Arial" w:hAnsi="Arial"/>
                <w:b/>
                <w:bCs/>
                <w:color w:val="000000"/>
                <w:sz w:val="18"/>
                <w:szCs w:val="18"/>
              </w:rPr>
              <w:t xml:space="preserve">Solicitation Title</w:t>
            </w:r>
          </w:p>
        </w:tc>
        <w:tc>
          <w:tcPr>
            <w:tcW w:type="dxa" w:w="6360"/>
            <w:tcBorders>
              <w:top w:val="single" w:color="BFBFBF" w:sz="4"/>
              <w:start w:val="single" w:color="BFBFBF" w:sz="4"/>
              <w:bottom w:val="single" w:color="BFBFBF" w:sz="4"/>
              <w:end w:val="single" w:color="BFBFBF" w:sz="4"/>
            </w:tcBorders>
            <w:shd w:fill="F2F2F2" w:val="clear"/>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Master AI Products and Services</w:t>
            </w:r>
          </w:p>
        </w:tc>
      </w:tr>
      <w:tr>
        <w:tc>
          <w:tcPr>
            <w:tcW w:type="dxa" w:w="30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left"/>
            </w:pPr>
            <w:r>
              <w:rPr>
                <w:rFonts w:ascii="Arial" w:cs="Arial" w:eastAsia="Arial" w:hAnsi="Arial"/>
                <w:b/>
                <w:bCs/>
                <w:color w:val="000000"/>
                <w:sz w:val="18"/>
                <w:szCs w:val="18"/>
              </w:rPr>
              <w:t xml:space="preserve">Issuing Agency</w:t>
            </w:r>
          </w:p>
        </w:tc>
        <w:tc>
          <w:tcPr>
            <w:tcW w:type="dxa" w:w="636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Montana Department of Administration, State Procurement Services Division</w:t>
            </w:r>
          </w:p>
        </w:tc>
      </w:tr>
      <w:tr>
        <w:tc>
          <w:tcPr>
            <w:tcW w:type="dxa" w:w="3000"/>
            <w:tcBorders>
              <w:top w:val="single" w:color="BFBFBF" w:sz="4"/>
              <w:start w:val="single" w:color="BFBFBF" w:sz="4"/>
              <w:bottom w:val="single" w:color="BFBFBF" w:sz="4"/>
              <w:end w:val="single" w:color="BFBFBF" w:sz="4"/>
            </w:tcBorders>
            <w:shd w:fill="F2F2F2" w:val="clear"/>
            <w:tcMar>
              <w:top w:type="dxa" w:w="100"/>
              <w:start w:type="dxa" w:w="140"/>
              <w:bottom w:type="dxa" w:w="100"/>
              <w:end w:type="dxa" w:w="140"/>
            </w:tcMar>
            <w:vAlign w:val="top"/>
          </w:tcPr>
          <w:p>
            <w:pPr>
              <w:jc w:val="left"/>
            </w:pPr>
            <w:r>
              <w:rPr>
                <w:rFonts w:ascii="Arial" w:cs="Arial" w:eastAsia="Arial" w:hAnsi="Arial"/>
                <w:b/>
                <w:bCs/>
                <w:color w:val="000000"/>
                <w:sz w:val="18"/>
                <w:szCs w:val="18"/>
              </w:rPr>
              <w:t xml:space="preserve">Contracts Officer</w:t>
            </w:r>
          </w:p>
        </w:tc>
        <w:tc>
          <w:tcPr>
            <w:tcW w:type="dxa" w:w="6360"/>
            <w:tcBorders>
              <w:top w:val="single" w:color="BFBFBF" w:sz="4"/>
              <w:start w:val="single" w:color="BFBFBF" w:sz="4"/>
              <w:bottom w:val="single" w:color="BFBFBF" w:sz="4"/>
              <w:end w:val="single" w:color="BFBFBF" w:sz="4"/>
            </w:tcBorders>
            <w:shd w:fill="F2F2F2" w:val="clear"/>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Grace Waring  |  (406) 444-2516  |  grace.waring@mt.gov</w:t>
            </w:r>
          </w:p>
        </w:tc>
      </w:tr>
      <w:tr>
        <w:tc>
          <w:tcPr>
            <w:tcW w:type="dxa" w:w="30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left"/>
            </w:pPr>
            <w:r>
              <w:rPr>
                <w:rFonts w:ascii="Arial" w:cs="Arial" w:eastAsia="Arial" w:hAnsi="Arial"/>
                <w:b/>
                <w:bCs/>
                <w:color w:val="000000"/>
                <w:sz w:val="18"/>
                <w:szCs w:val="18"/>
              </w:rPr>
              <w:t xml:space="preserve">Solicitation Close</w:t>
            </w:r>
          </w:p>
        </w:tc>
        <w:tc>
          <w:tcPr>
            <w:tcW w:type="dxa" w:w="636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4/22/2026</w:t>
            </w:r>
          </w:p>
        </w:tc>
      </w:tr>
      <w:tr>
        <w:tc>
          <w:tcPr>
            <w:tcW w:type="dxa" w:w="3000"/>
            <w:tcBorders>
              <w:top w:val="single" w:color="BFBFBF" w:sz="4"/>
              <w:start w:val="single" w:color="BFBFBF" w:sz="4"/>
              <w:bottom w:val="single" w:color="BFBFBF" w:sz="4"/>
              <w:end w:val="single" w:color="BFBFBF" w:sz="4"/>
            </w:tcBorders>
            <w:shd w:fill="F2F2F2" w:val="clear"/>
            <w:tcMar>
              <w:top w:type="dxa" w:w="100"/>
              <w:start w:type="dxa" w:w="140"/>
              <w:bottom w:type="dxa" w:w="100"/>
              <w:end w:type="dxa" w:w="140"/>
            </w:tcMar>
            <w:vAlign w:val="top"/>
          </w:tcPr>
          <w:p>
            <w:pPr>
              <w:jc w:val="left"/>
            </w:pPr>
            <w:r>
              <w:rPr>
                <w:rFonts w:ascii="Arial" w:cs="Arial" w:eastAsia="Arial" w:hAnsi="Arial"/>
                <w:b/>
                <w:bCs/>
                <w:color w:val="000000"/>
                <w:sz w:val="18"/>
                <w:szCs w:val="18"/>
              </w:rPr>
              <w:t xml:space="preserve">NOIA Post Date</w:t>
            </w:r>
          </w:p>
        </w:tc>
        <w:tc>
          <w:tcPr>
            <w:tcW w:type="dxa" w:w="6360"/>
            <w:tcBorders>
              <w:top w:val="single" w:color="BFBFBF" w:sz="4"/>
              <w:start w:val="single" w:color="BFBFBF" w:sz="4"/>
              <w:bottom w:val="single" w:color="BFBFBF" w:sz="4"/>
              <w:end w:val="single" w:color="BFBFBF" w:sz="4"/>
            </w:tcBorders>
            <w:shd w:fill="F2F2F2" w:val="clear"/>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6/30/2026</w:t>
            </w:r>
          </w:p>
        </w:tc>
      </w:tr>
      <w:tr>
        <w:tc>
          <w:tcPr>
            <w:tcW w:type="dxa" w:w="30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left"/>
            </w:pPr>
            <w:r>
              <w:rPr>
                <w:rFonts w:ascii="Arial" w:cs="Arial" w:eastAsia="Arial" w:hAnsi="Arial"/>
                <w:b/>
                <w:bCs/>
                <w:color w:val="000000"/>
                <w:sz w:val="18"/>
                <w:szCs w:val="18"/>
              </w:rPr>
              <w:t xml:space="preserve">Public Comment Window</w:t>
            </w:r>
          </w:p>
        </w:tc>
        <w:tc>
          <w:tcPr>
            <w:tcW w:type="dxa" w:w="636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7 days from NOIA post (per Montana Procurement Act)</w:t>
            </w:r>
          </w:p>
        </w:tc>
      </w:tr>
      <w:tr>
        <w:tc>
          <w:tcPr>
            <w:tcW w:type="dxa" w:w="3000"/>
            <w:tcBorders>
              <w:top w:val="single" w:color="BFBFBF" w:sz="4"/>
              <w:start w:val="single" w:color="BFBFBF" w:sz="4"/>
              <w:bottom w:val="single" w:color="BFBFBF" w:sz="4"/>
              <w:end w:val="single" w:color="BFBFBF" w:sz="4"/>
            </w:tcBorders>
            <w:shd w:fill="FFF4D6" w:val="clear"/>
            <w:tcMar>
              <w:top w:type="dxa" w:w="100"/>
              <w:start w:type="dxa" w:w="140"/>
              <w:bottom w:type="dxa" w:w="100"/>
              <w:end w:type="dxa" w:w="140"/>
            </w:tcMar>
            <w:vAlign w:val="top"/>
          </w:tcPr>
          <w:p>
            <w:pPr>
              <w:jc w:val="left"/>
            </w:pPr>
            <w:r>
              <w:rPr>
                <w:rFonts w:ascii="Arial" w:cs="Arial" w:eastAsia="Arial" w:hAnsi="Arial"/>
                <w:b/>
                <w:bCs/>
                <w:color w:val="000000"/>
                <w:sz w:val="18"/>
                <w:szCs w:val="18"/>
              </w:rPr>
              <w:t xml:space="preserve">Insurance / eMACS Deadline</w:t>
            </w:r>
          </w:p>
        </w:tc>
        <w:tc>
          <w:tcPr>
            <w:tcW w:type="dxa" w:w="6360"/>
            <w:tcBorders>
              <w:top w:val="single" w:color="BFBFBF" w:sz="4"/>
              <w:start w:val="single" w:color="BFBFBF" w:sz="4"/>
              <w:bottom w:val="single" w:color="BFBFBF" w:sz="4"/>
              <w:end w:val="single" w:color="BFBFBF" w:sz="4"/>
            </w:tcBorders>
            <w:shd w:fill="FFF4D6" w:val="clear"/>
            <w:tcMar>
              <w:top w:type="dxa" w:w="100"/>
              <w:start w:type="dxa" w:w="140"/>
              <w:bottom w:type="dxa" w:w="100"/>
              <w:end w:type="dxa" w:w="140"/>
            </w:tcMar>
            <w:vAlign w:val="top"/>
          </w:tcPr>
          <w:p>
            <w:pPr>
              <w:jc w:val="left"/>
            </w:pPr>
            <w:r>
              <w:rPr>
                <w:rFonts w:ascii="Arial" w:cs="Arial" w:eastAsia="Arial" w:hAnsi="Arial"/>
                <w:b/>
                <w:bCs/>
                <w:color w:val="000000"/>
                <w:sz w:val="18"/>
                <w:szCs w:val="18"/>
              </w:rPr>
              <w:t xml:space="preserve">10 business days from notice (~7/14/2026)</w:t>
            </w:r>
          </w:p>
        </w:tc>
      </w:tr>
      <w:tr>
        <w:tc>
          <w:tcPr>
            <w:tcW w:type="dxa" w:w="30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left"/>
            </w:pPr>
            <w:r>
              <w:rPr>
                <w:rFonts w:ascii="Arial" w:cs="Arial" w:eastAsia="Arial" w:hAnsi="Arial"/>
                <w:b/>
                <w:bCs/>
                <w:color w:val="000000"/>
                <w:sz w:val="18"/>
                <w:szCs w:val="18"/>
              </w:rPr>
              <w:t xml:space="preserve">Submission Posture</w:t>
            </w:r>
          </w:p>
        </w:tc>
        <w:tc>
          <w:tcPr>
            <w:tcW w:type="dxa" w:w="636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Solo VBX — no sub partner named on actual submitted response (verified)</w:t>
            </w:r>
          </w:p>
        </w:tc>
      </w:tr>
      <w:tr>
        <w:tc>
          <w:tcPr>
            <w:tcW w:type="dxa" w:w="3000"/>
            <w:tcBorders>
              <w:top w:val="single" w:color="BFBFBF" w:sz="4"/>
              <w:start w:val="single" w:color="BFBFBF" w:sz="4"/>
              <w:bottom w:val="single" w:color="BFBFBF" w:sz="4"/>
              <w:end w:val="single" w:color="BFBFBF" w:sz="4"/>
            </w:tcBorders>
            <w:shd w:fill="D9F0E0" w:val="clear"/>
            <w:tcMar>
              <w:top w:type="dxa" w:w="100"/>
              <w:start w:type="dxa" w:w="140"/>
              <w:bottom w:type="dxa" w:w="100"/>
              <w:end w:type="dxa" w:w="140"/>
            </w:tcMar>
            <w:vAlign w:val="top"/>
          </w:tcPr>
          <w:p>
            <w:pPr>
              <w:jc w:val="left"/>
            </w:pPr>
            <w:r>
              <w:rPr>
                <w:rFonts w:ascii="Arial" w:cs="Arial" w:eastAsia="Arial" w:hAnsi="Arial"/>
                <w:b/>
                <w:bCs/>
                <w:color w:val="000000"/>
                <w:sz w:val="18"/>
                <w:szCs w:val="18"/>
              </w:rPr>
              <w:t xml:space="preserve">Track 1 Award</w:t>
            </w:r>
          </w:p>
        </w:tc>
        <w:tc>
          <w:tcPr>
            <w:tcW w:type="dxa" w:w="6360"/>
            <w:tcBorders>
              <w:top w:val="single" w:color="BFBFBF" w:sz="4"/>
              <w:start w:val="single" w:color="BFBFBF" w:sz="4"/>
              <w:bottom w:val="single" w:color="BFBFBF" w:sz="4"/>
              <w:end w:val="single" w:color="BFBFBF" w:sz="4"/>
            </w:tcBorders>
            <w:shd w:fill="D9F0E0" w:val="clear"/>
            <w:tcMar>
              <w:top w:type="dxa" w:w="100"/>
              <w:start w:type="dxa" w:w="140"/>
              <w:bottom w:type="dxa" w:w="100"/>
              <w:end w:type="dxa" w:w="140"/>
            </w:tcMar>
            <w:vAlign w:val="top"/>
          </w:tcPr>
          <w:p>
            <w:pPr>
              <w:jc w:val="left"/>
            </w:pPr>
            <w:r>
              <w:rPr>
                <w:rFonts w:ascii="Arial" w:cs="Arial" w:eastAsia="Arial" w:hAnsi="Arial"/>
                <w:b/>
                <w:bCs/>
                <w:color w:val="000000"/>
                <w:sz w:val="18"/>
                <w:szCs w:val="18"/>
              </w:rPr>
              <w:t xml:space="preserve">YES — Apparent Successful Offeror</w:t>
            </w:r>
          </w:p>
        </w:tc>
      </w:tr>
      <w:tr>
        <w:tc>
          <w:tcPr>
            <w:tcW w:type="dxa" w:w="3000"/>
            <w:tcBorders>
              <w:top w:val="single" w:color="BFBFBF" w:sz="4"/>
              <w:start w:val="single" w:color="BFBFBF" w:sz="4"/>
              <w:bottom w:val="single" w:color="BFBFBF" w:sz="4"/>
              <w:end w:val="single" w:color="BFBFBF" w:sz="4"/>
            </w:tcBorders>
            <w:shd w:fill="D9F0E0" w:val="clear"/>
            <w:tcMar>
              <w:top w:type="dxa" w:w="100"/>
              <w:start w:type="dxa" w:w="140"/>
              <w:bottom w:type="dxa" w:w="100"/>
              <w:end w:type="dxa" w:w="140"/>
            </w:tcMar>
            <w:vAlign w:val="top"/>
          </w:tcPr>
          <w:p>
            <w:pPr>
              <w:jc w:val="left"/>
            </w:pPr>
            <w:r>
              <w:rPr>
                <w:rFonts w:ascii="Arial" w:cs="Arial" w:eastAsia="Arial" w:hAnsi="Arial"/>
                <w:b/>
                <w:bCs/>
                <w:color w:val="000000"/>
                <w:sz w:val="18"/>
                <w:szCs w:val="18"/>
              </w:rPr>
              <w:t xml:space="preserve">Track 2 Award</w:t>
            </w:r>
          </w:p>
        </w:tc>
        <w:tc>
          <w:tcPr>
            <w:tcW w:type="dxa" w:w="6360"/>
            <w:tcBorders>
              <w:top w:val="single" w:color="BFBFBF" w:sz="4"/>
              <w:start w:val="single" w:color="BFBFBF" w:sz="4"/>
              <w:bottom w:val="single" w:color="BFBFBF" w:sz="4"/>
              <w:end w:val="single" w:color="BFBFBF" w:sz="4"/>
            </w:tcBorders>
            <w:shd w:fill="D9F0E0" w:val="clear"/>
            <w:tcMar>
              <w:top w:type="dxa" w:w="100"/>
              <w:start w:type="dxa" w:w="140"/>
              <w:bottom w:type="dxa" w:w="100"/>
              <w:end w:type="dxa" w:w="140"/>
            </w:tcMar>
            <w:vAlign w:val="top"/>
          </w:tcPr>
          <w:p>
            <w:pPr>
              <w:jc w:val="left"/>
            </w:pPr>
            <w:r>
              <w:rPr>
                <w:rFonts w:ascii="Arial" w:cs="Arial" w:eastAsia="Arial" w:hAnsi="Arial"/>
                <w:b/>
                <w:bCs/>
                <w:color w:val="000000"/>
                <w:sz w:val="18"/>
                <w:szCs w:val="18"/>
              </w:rPr>
              <w:t xml:space="preserve">YES — Apparent Successful Offeror (dual-track win)</w:t>
            </w:r>
          </w:p>
        </w:tc>
      </w:tr>
      <w:tr>
        <w:tc>
          <w:tcPr>
            <w:tcW w:type="dxa" w:w="30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left"/>
            </w:pPr>
            <w:r>
              <w:rPr>
                <w:rFonts w:ascii="Arial" w:cs="Arial" w:eastAsia="Arial" w:hAnsi="Arial"/>
                <w:b/>
                <w:bCs/>
                <w:color w:val="000000"/>
                <w:sz w:val="18"/>
                <w:szCs w:val="18"/>
              </w:rPr>
              <w:t xml:space="preserve">Track 1 Technical Score</w:t>
            </w:r>
          </w:p>
        </w:tc>
        <w:tc>
          <w:tcPr>
            <w:tcW w:type="dxa" w:w="636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793 / 1,050 (75.5%)</w:t>
            </w:r>
          </w:p>
        </w:tc>
      </w:tr>
      <w:tr>
        <w:tc>
          <w:tcPr>
            <w:tcW w:type="dxa" w:w="3000"/>
            <w:tcBorders>
              <w:top w:val="single" w:color="BFBFBF" w:sz="4"/>
              <w:start w:val="single" w:color="BFBFBF" w:sz="4"/>
              <w:bottom w:val="single" w:color="BFBFBF" w:sz="4"/>
              <w:end w:val="single" w:color="BFBFBF" w:sz="4"/>
            </w:tcBorders>
            <w:shd w:fill="F2F2F2" w:val="clear"/>
            <w:tcMar>
              <w:top w:type="dxa" w:w="100"/>
              <w:start w:type="dxa" w:w="140"/>
              <w:bottom w:type="dxa" w:w="100"/>
              <w:end w:type="dxa" w:w="140"/>
            </w:tcMar>
            <w:vAlign w:val="top"/>
          </w:tcPr>
          <w:p>
            <w:pPr>
              <w:jc w:val="left"/>
            </w:pPr>
            <w:r>
              <w:rPr>
                <w:rFonts w:ascii="Arial" w:cs="Arial" w:eastAsia="Arial" w:hAnsi="Arial"/>
                <w:b/>
                <w:bCs/>
                <w:color w:val="000000"/>
                <w:sz w:val="18"/>
                <w:szCs w:val="18"/>
              </w:rPr>
              <w:t xml:space="preserve">Track 2 Technical Score</w:t>
            </w:r>
          </w:p>
        </w:tc>
        <w:tc>
          <w:tcPr>
            <w:tcW w:type="dxa" w:w="6360"/>
            <w:tcBorders>
              <w:top w:val="single" w:color="BFBFBF" w:sz="4"/>
              <w:start w:val="single" w:color="BFBFBF" w:sz="4"/>
              <w:bottom w:val="single" w:color="BFBFBF" w:sz="4"/>
              <w:end w:val="single" w:color="BFBFBF" w:sz="4"/>
            </w:tcBorders>
            <w:shd w:fill="F2F2F2" w:val="clear"/>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692.9 / 1,050 (66.0%) — includes 50/50 Equal Pay bonus and 0.88/200 cost score</w:t>
            </w:r>
          </w:p>
        </w:tc>
      </w:tr>
      <w:tr>
        <w:tc>
          <w:tcPr>
            <w:tcW w:type="dxa" w:w="30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left"/>
            </w:pPr>
            <w:r>
              <w:rPr>
                <w:rFonts w:ascii="Arial" w:cs="Arial" w:eastAsia="Arial" w:hAnsi="Arial"/>
                <w:b/>
                <w:bCs/>
                <w:color w:val="000000"/>
                <w:sz w:val="18"/>
                <w:szCs w:val="18"/>
              </w:rPr>
              <w:t xml:space="preserve">Combined Score</w:t>
            </w:r>
          </w:p>
        </w:tc>
        <w:tc>
          <w:tcPr>
            <w:tcW w:type="dxa" w:w="636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left"/>
            </w:pPr>
            <w:r>
              <w:rPr>
                <w:rFonts w:ascii="Arial" w:cs="Arial" w:eastAsia="Arial" w:hAnsi="Arial"/>
                <w:b/>
                <w:bCs/>
                <w:color w:val="000000"/>
                <w:sz w:val="18"/>
                <w:szCs w:val="18"/>
              </w:rPr>
              <w:t xml:space="preserve">1,485.9</w:t>
            </w:r>
          </w:p>
        </w:tc>
      </w:tr>
      <w:tr>
        <w:tc>
          <w:tcPr>
            <w:tcW w:type="dxa" w:w="3000"/>
            <w:tcBorders>
              <w:top w:val="single" w:color="BFBFBF" w:sz="4"/>
              <w:start w:val="single" w:color="BFBFBF" w:sz="4"/>
              <w:bottom w:val="single" w:color="BFBFBF" w:sz="4"/>
              <w:end w:val="single" w:color="BFBFBF" w:sz="4"/>
            </w:tcBorders>
            <w:shd w:fill="F2F2F2" w:val="clear"/>
            <w:tcMar>
              <w:top w:type="dxa" w:w="100"/>
              <w:start w:type="dxa" w:w="140"/>
              <w:bottom w:type="dxa" w:w="100"/>
              <w:end w:type="dxa" w:w="140"/>
            </w:tcMar>
            <w:vAlign w:val="top"/>
          </w:tcPr>
          <w:p>
            <w:pPr>
              <w:jc w:val="left"/>
            </w:pPr>
            <w:r>
              <w:rPr>
                <w:rFonts w:ascii="Arial" w:cs="Arial" w:eastAsia="Arial" w:hAnsi="Arial"/>
                <w:b/>
                <w:bCs/>
                <w:color w:val="000000"/>
                <w:sz w:val="18"/>
                <w:szCs w:val="18"/>
              </w:rPr>
              <w:t xml:space="preserve">VBX Proposed Cost (T2)</w:t>
            </w:r>
          </w:p>
        </w:tc>
        <w:tc>
          <w:tcPr>
            <w:tcW w:type="dxa" w:w="6360"/>
            <w:tcBorders>
              <w:top w:val="single" w:color="BFBFBF" w:sz="4"/>
              <w:start w:val="single" w:color="BFBFBF" w:sz="4"/>
              <w:bottom w:val="single" w:color="BFBFBF" w:sz="4"/>
              <w:end w:val="single" w:color="BFBFBF" w:sz="4"/>
            </w:tcBorders>
            <w:shd w:fill="F2F2F2" w:val="clear"/>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$3,225,000  (4th highest of 31 cost submissions)</w:t>
            </w:r>
          </w:p>
        </w:tc>
      </w:tr>
      <w:tr>
        <w:tc>
          <w:tcPr>
            <w:tcW w:type="dxa" w:w="30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left"/>
            </w:pPr>
            <w:r>
              <w:rPr>
                <w:rFonts w:ascii="Arial" w:cs="Arial" w:eastAsia="Arial" w:hAnsi="Arial"/>
                <w:b/>
                <w:bCs/>
                <w:color w:val="000000"/>
                <w:sz w:val="18"/>
                <w:szCs w:val="18"/>
              </w:rPr>
              <w:t xml:space="preserve">Initial Contract Term</w:t>
            </w:r>
          </w:p>
        </w:tc>
        <w:tc>
          <w:tcPr>
            <w:tcW w:type="dxa" w:w="636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2 years from final signature; termination date 6/30/2028</w:t>
            </w:r>
          </w:p>
        </w:tc>
      </w:tr>
      <w:tr>
        <w:tc>
          <w:tcPr>
            <w:tcW w:type="dxa" w:w="3000"/>
            <w:tcBorders>
              <w:top w:val="single" w:color="BFBFBF" w:sz="4"/>
              <w:start w:val="single" w:color="BFBFBF" w:sz="4"/>
              <w:bottom w:val="single" w:color="BFBFBF" w:sz="4"/>
              <w:end w:val="single" w:color="BFBFBF" w:sz="4"/>
            </w:tcBorders>
            <w:shd w:fill="FFF4D6" w:val="clear"/>
            <w:tcMar>
              <w:top w:type="dxa" w:w="100"/>
              <w:start w:type="dxa" w:w="140"/>
              <w:bottom w:type="dxa" w:w="100"/>
              <w:end w:type="dxa" w:w="140"/>
            </w:tcMar>
            <w:vAlign w:val="top"/>
          </w:tcPr>
          <w:p>
            <w:pPr>
              <w:jc w:val="left"/>
            </w:pPr>
            <w:r>
              <w:rPr>
                <w:rFonts w:ascii="Arial" w:cs="Arial" w:eastAsia="Arial" w:hAnsi="Arial"/>
                <w:b/>
                <w:bCs/>
                <w:color w:val="000000"/>
                <w:sz w:val="18"/>
                <w:szCs w:val="18"/>
              </w:rPr>
              <w:t xml:space="preserve">Total Duration Max</w:t>
            </w:r>
          </w:p>
        </w:tc>
        <w:tc>
          <w:tcPr>
            <w:tcW w:type="dxa" w:w="6360"/>
            <w:tcBorders>
              <w:top w:val="single" w:color="BFBFBF" w:sz="4"/>
              <w:start w:val="single" w:color="BFBFBF" w:sz="4"/>
              <w:bottom w:val="single" w:color="BFBFBF" w:sz="4"/>
              <w:end w:val="single" w:color="BFBFBF" w:sz="4"/>
            </w:tcBorders>
            <w:shd w:fill="FFF4D6" w:val="clear"/>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Document shows BOTH "7 years" and "10 years" — ambiguity to clarify at signature</w:t>
            </w:r>
          </w:p>
        </w:tc>
      </w:tr>
    </w:tbl>
    <w:p>
      <w:r>
        <w:br w:type="page"/>
      </w:r>
    </w:p>
    <w:p>
      <w:pPr>
        <w:pStyle w:val="Heading1"/>
        <w:pBdr>
          <w:bottom w:val="single" w:color="2EA891" w:sz="12" w:space="6"/>
        </w:pBdr>
        <w:spacing w:after="160" w:before="360"/>
      </w:pPr>
      <w:r>
        <w:rPr>
          <w:rFonts w:ascii="Arial" w:cs="Arial" w:eastAsia="Arial" w:hAnsi="Arial"/>
          <w:b/>
          <w:bCs/>
          <w:color w:val="232D5A"/>
          <w:sz w:val="30"/>
          <w:szCs w:val="30"/>
        </w:rPr>
        <w:t xml:space="preserve">3.  Score Post-Mortem</w:t>
      </w:r>
    </w:p>
    <w:p>
      <w:pPr>
        <w:pStyle w:val="Heading2"/>
        <w:spacing w:after="100" w:before="220"/>
      </w:pPr>
      <w:r>
        <w:rPr>
          <w:rFonts w:ascii="Arial" w:cs="Arial" w:eastAsia="Arial" w:hAnsi="Arial"/>
          <w:b/>
          <w:bCs/>
          <w:color w:val="232D5A"/>
          <w:sz w:val="24"/>
          <w:szCs w:val="24"/>
        </w:rPr>
        <w:t xml:space="preserve">3.1  Track 1 Score Breakdown</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3360"/>
        <w:gridCol w:w="1200"/>
        <w:gridCol w:w="1200"/>
        <w:gridCol w:w="800"/>
        <w:gridCol w:w="1240"/>
      </w:tblGrid>
      <w:tr>
        <w:tc>
          <w:tcPr>
            <w:tcW w:type="dxa" w:w="3360"/>
            <w:tcBorders>
              <w:top w:val="single" w:color="BFBFBF" w:sz="4"/>
              <w:start w:val="single" w:color="BFBFBF" w:sz="4"/>
              <w:bottom w:val="single" w:color="BFBFBF" w:sz="4"/>
              <w:end w:val="single" w:color="BFBFBF" w:sz="4"/>
            </w:tcBorders>
            <w:shd w:fill="232D5A" w:val="clear"/>
            <w:tcMar>
              <w:top w:type="dxa" w:w="100"/>
              <w:start w:type="dxa" w:w="140"/>
              <w:bottom w:type="dxa" w:w="100"/>
              <w:end w:type="dxa" w:w="140"/>
            </w:tcMar>
            <w:vAlign w:val="top"/>
          </w:tcPr>
          <w:p>
            <w:pPr>
              <w:jc w:val="left"/>
            </w:pPr>
            <w:r>
              <w:rPr>
                <w:rFonts w:ascii="Arial" w:cs="Arial" w:eastAsia="Arial" w:hAnsi="Arial"/>
                <w:b/>
                <w:bCs/>
                <w:color w:val="FFFFFF"/>
                <w:sz w:val="18"/>
                <w:szCs w:val="18"/>
              </w:rPr>
              <w:t xml:space="preserve">Track 1 Category</w:t>
            </w:r>
          </w:p>
        </w:tc>
        <w:tc>
          <w:tcPr>
            <w:tcW w:type="dxa" w:w="1200"/>
            <w:tcBorders>
              <w:top w:val="single" w:color="BFBFBF" w:sz="4"/>
              <w:start w:val="single" w:color="BFBFBF" w:sz="4"/>
              <w:bottom w:val="single" w:color="BFBFBF" w:sz="4"/>
              <w:end w:val="single" w:color="BFBFBF" w:sz="4"/>
            </w:tcBorders>
            <w:shd w:fill="232D5A" w:val="clear"/>
            <w:tcMar>
              <w:top w:type="dxa" w:w="100"/>
              <w:start w:type="dxa" w:w="140"/>
              <w:bottom w:type="dxa" w:w="100"/>
              <w:end w:type="dxa" w:w="140"/>
            </w:tcMar>
            <w:vAlign w:val="top"/>
          </w:tcPr>
          <w:p>
            <w:pPr>
              <w:jc w:val="left"/>
            </w:pPr>
            <w:r>
              <w:rPr>
                <w:rFonts w:ascii="Arial" w:cs="Arial" w:eastAsia="Arial" w:hAnsi="Arial"/>
                <w:b/>
                <w:bCs/>
                <w:color w:val="FFFFFF"/>
                <w:sz w:val="18"/>
                <w:szCs w:val="18"/>
              </w:rPr>
              <w:t xml:space="preserve">Possible</w:t>
            </w:r>
          </w:p>
        </w:tc>
        <w:tc>
          <w:tcPr>
            <w:tcW w:type="dxa" w:w="1200"/>
            <w:tcBorders>
              <w:top w:val="single" w:color="BFBFBF" w:sz="4"/>
              <w:start w:val="single" w:color="BFBFBF" w:sz="4"/>
              <w:bottom w:val="single" w:color="BFBFBF" w:sz="4"/>
              <w:end w:val="single" w:color="BFBFBF" w:sz="4"/>
            </w:tcBorders>
            <w:shd w:fill="232D5A" w:val="clear"/>
            <w:tcMar>
              <w:top w:type="dxa" w:w="100"/>
              <w:start w:type="dxa" w:w="140"/>
              <w:bottom w:type="dxa" w:w="100"/>
              <w:end w:type="dxa" w:w="140"/>
            </w:tcMar>
            <w:vAlign w:val="top"/>
          </w:tcPr>
          <w:p>
            <w:pPr>
              <w:jc w:val="left"/>
            </w:pPr>
            <w:r>
              <w:rPr>
                <w:rFonts w:ascii="Arial" w:cs="Arial" w:eastAsia="Arial" w:hAnsi="Arial"/>
                <w:b/>
                <w:bCs/>
                <w:color w:val="FFFFFF"/>
                <w:sz w:val="18"/>
                <w:szCs w:val="18"/>
              </w:rPr>
              <w:t xml:space="preserve">Awarded</w:t>
            </w:r>
          </w:p>
        </w:tc>
        <w:tc>
          <w:tcPr>
            <w:tcW w:type="dxa" w:w="800"/>
            <w:tcBorders>
              <w:top w:val="single" w:color="BFBFBF" w:sz="4"/>
              <w:start w:val="single" w:color="BFBFBF" w:sz="4"/>
              <w:bottom w:val="single" w:color="BFBFBF" w:sz="4"/>
              <w:end w:val="single" w:color="BFBFBF" w:sz="4"/>
            </w:tcBorders>
            <w:shd w:fill="232D5A" w:val="clear"/>
            <w:tcMar>
              <w:top w:type="dxa" w:w="100"/>
              <w:start w:type="dxa" w:w="140"/>
              <w:bottom w:type="dxa" w:w="100"/>
              <w:end w:type="dxa" w:w="140"/>
            </w:tcMar>
            <w:vAlign w:val="top"/>
          </w:tcPr>
          <w:p>
            <w:pPr>
              <w:jc w:val="left"/>
            </w:pPr>
            <w:r>
              <w:rPr>
                <w:rFonts w:ascii="Arial" w:cs="Arial" w:eastAsia="Arial" w:hAnsi="Arial"/>
                <w:b/>
                <w:bCs/>
                <w:color w:val="FFFFFF"/>
                <w:sz w:val="18"/>
                <w:szCs w:val="18"/>
              </w:rPr>
              <w:t xml:space="preserve">%</w:t>
            </w:r>
          </w:p>
        </w:tc>
        <w:tc>
          <w:tcPr>
            <w:tcW w:type="dxa" w:w="1240"/>
            <w:tcBorders>
              <w:top w:val="single" w:color="BFBFBF" w:sz="4"/>
              <w:start w:val="single" w:color="BFBFBF" w:sz="4"/>
              <w:bottom w:val="single" w:color="BFBFBF" w:sz="4"/>
              <w:end w:val="single" w:color="BFBFBF" w:sz="4"/>
            </w:tcBorders>
            <w:shd w:fill="232D5A" w:val="clear"/>
            <w:tcMar>
              <w:top w:type="dxa" w:w="100"/>
              <w:start w:type="dxa" w:w="140"/>
              <w:bottom w:type="dxa" w:w="100"/>
              <w:end w:type="dxa" w:w="140"/>
            </w:tcMar>
            <w:vAlign w:val="top"/>
          </w:tcPr>
          <w:p>
            <w:pPr>
              <w:jc w:val="left"/>
            </w:pPr>
            <w:r>
              <w:rPr>
                <w:rFonts w:ascii="Arial" w:cs="Arial" w:eastAsia="Arial" w:hAnsi="Arial"/>
                <w:b/>
                <w:bCs/>
                <w:color w:val="FFFFFF"/>
                <w:sz w:val="18"/>
                <w:szCs w:val="18"/>
              </w:rPr>
              <w:t xml:space="preserve">Status</w:t>
            </w:r>
          </w:p>
        </w:tc>
      </w:tr>
      <w:tr>
        <w:tc>
          <w:tcPr>
            <w:tcW w:type="dxa" w:w="336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Data Sovereignty (Pass/Fail)</w:t>
            </w:r>
          </w:p>
        </w:tc>
        <w:tc>
          <w:tcPr>
            <w:tcW w:type="dxa" w:w="12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center"/>
            </w:pPr>
            <w:r>
              <w:rPr>
                <w:rFonts w:ascii="Arial" w:cs="Arial" w:eastAsia="Arial" w:hAnsi="Arial"/>
                <w:b w:val="false"/>
                <w:bCs w:val="false"/>
                <w:color w:val="000000"/>
                <w:sz w:val="18"/>
                <w:szCs w:val="18"/>
              </w:rPr>
              <w:t xml:space="preserve">P/F</w:t>
            </w:r>
          </w:p>
        </w:tc>
        <w:tc>
          <w:tcPr>
            <w:tcW w:type="dxa" w:w="1200"/>
            <w:tcBorders>
              <w:top w:val="single" w:color="BFBFBF" w:sz="4"/>
              <w:start w:val="single" w:color="BFBFBF" w:sz="4"/>
              <w:bottom w:val="single" w:color="BFBFBF" w:sz="4"/>
              <w:end w:val="single" w:color="BFBFBF" w:sz="4"/>
            </w:tcBorders>
            <w:shd w:fill="D9F0E0" w:val="clear"/>
            <w:tcMar>
              <w:top w:type="dxa" w:w="100"/>
              <w:start w:type="dxa" w:w="140"/>
              <w:bottom w:type="dxa" w:w="100"/>
              <w:end w:type="dxa" w:w="140"/>
            </w:tcMar>
            <w:vAlign w:val="top"/>
          </w:tcPr>
          <w:p>
            <w:pPr>
              <w:jc w:val="center"/>
            </w:pPr>
            <w:r>
              <w:rPr>
                <w:rFonts w:ascii="Arial" w:cs="Arial" w:eastAsia="Arial" w:hAnsi="Arial"/>
                <w:b/>
                <w:bCs/>
                <w:color w:val="000000"/>
                <w:sz w:val="18"/>
                <w:szCs w:val="18"/>
              </w:rPr>
              <w:t xml:space="preserve">PASS</w:t>
            </w:r>
          </w:p>
        </w:tc>
        <w:tc>
          <w:tcPr>
            <w:tcW w:type="dxa" w:w="8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center"/>
            </w:pPr>
            <w:r>
              <w:rPr>
                <w:rFonts w:ascii="Arial" w:cs="Arial" w:eastAsia="Arial" w:hAnsi="Arial"/>
                <w:b w:val="false"/>
                <w:bCs w:val="false"/>
                <w:color w:val="000000"/>
                <w:sz w:val="18"/>
                <w:szCs w:val="18"/>
              </w:rPr>
              <w:t xml:space="preserve">—</w:t>
            </w:r>
          </w:p>
        </w:tc>
        <w:tc>
          <w:tcPr>
            <w:tcW w:type="dxa" w:w="1240"/>
            <w:tcBorders>
              <w:top w:val="single" w:color="BFBFBF" w:sz="4"/>
              <w:start w:val="single" w:color="BFBFBF" w:sz="4"/>
              <w:bottom w:val="single" w:color="BFBFBF" w:sz="4"/>
              <w:end w:val="single" w:color="BFBFBF" w:sz="4"/>
            </w:tcBorders>
            <w:shd w:fill="D9F0E0" w:val="clear"/>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Meets requirements</w:t>
            </w:r>
          </w:p>
        </w:tc>
      </w:tr>
      <w:tr>
        <w:tc>
          <w:tcPr>
            <w:tcW w:type="dxa" w:w="336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References (Pass/Fail)</w:t>
            </w:r>
          </w:p>
        </w:tc>
        <w:tc>
          <w:tcPr>
            <w:tcW w:type="dxa" w:w="12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center"/>
            </w:pPr>
            <w:r>
              <w:rPr>
                <w:rFonts w:ascii="Arial" w:cs="Arial" w:eastAsia="Arial" w:hAnsi="Arial"/>
                <w:b w:val="false"/>
                <w:bCs w:val="false"/>
                <w:color w:val="000000"/>
                <w:sz w:val="18"/>
                <w:szCs w:val="18"/>
              </w:rPr>
              <w:t xml:space="preserve">P/F</w:t>
            </w:r>
          </w:p>
        </w:tc>
        <w:tc>
          <w:tcPr>
            <w:tcW w:type="dxa" w:w="1200"/>
            <w:tcBorders>
              <w:top w:val="single" w:color="BFBFBF" w:sz="4"/>
              <w:start w:val="single" w:color="BFBFBF" w:sz="4"/>
              <w:bottom w:val="single" w:color="BFBFBF" w:sz="4"/>
              <w:end w:val="single" w:color="BFBFBF" w:sz="4"/>
            </w:tcBorders>
            <w:shd w:fill="D9F0E0" w:val="clear"/>
            <w:tcMar>
              <w:top w:type="dxa" w:w="100"/>
              <w:start w:type="dxa" w:w="140"/>
              <w:bottom w:type="dxa" w:w="100"/>
              <w:end w:type="dxa" w:w="140"/>
            </w:tcMar>
            <w:vAlign w:val="top"/>
          </w:tcPr>
          <w:p>
            <w:pPr>
              <w:jc w:val="center"/>
            </w:pPr>
            <w:r>
              <w:rPr>
                <w:rFonts w:ascii="Arial" w:cs="Arial" w:eastAsia="Arial" w:hAnsi="Arial"/>
                <w:b/>
                <w:bCs/>
                <w:color w:val="000000"/>
                <w:sz w:val="18"/>
                <w:szCs w:val="18"/>
              </w:rPr>
              <w:t xml:space="preserve">PASS</w:t>
            </w:r>
          </w:p>
        </w:tc>
        <w:tc>
          <w:tcPr>
            <w:tcW w:type="dxa" w:w="8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center"/>
            </w:pPr>
            <w:r>
              <w:rPr>
                <w:rFonts w:ascii="Arial" w:cs="Arial" w:eastAsia="Arial" w:hAnsi="Arial"/>
                <w:b w:val="false"/>
                <w:bCs w:val="false"/>
                <w:color w:val="000000"/>
                <w:sz w:val="18"/>
                <w:szCs w:val="18"/>
              </w:rPr>
              <w:t xml:space="preserve">—</w:t>
            </w:r>
          </w:p>
        </w:tc>
        <w:tc>
          <w:tcPr>
            <w:tcW w:type="dxa" w:w="1240"/>
            <w:tcBorders>
              <w:top w:val="single" w:color="BFBFBF" w:sz="4"/>
              <w:start w:val="single" w:color="BFBFBF" w:sz="4"/>
              <w:bottom w:val="single" w:color="BFBFBF" w:sz="4"/>
              <w:end w:val="single" w:color="BFBFBF" w:sz="4"/>
            </w:tcBorders>
            <w:shd w:fill="D9F0E0" w:val="clear"/>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Meets requirements</w:t>
            </w:r>
          </w:p>
        </w:tc>
      </w:tr>
      <w:tr>
        <w:tc>
          <w:tcPr>
            <w:tcW w:type="dxa" w:w="336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left"/>
            </w:pPr>
            <w:r>
              <w:rPr>
                <w:rFonts w:ascii="Arial" w:cs="Arial" w:eastAsia="Arial" w:hAnsi="Arial"/>
                <w:b/>
                <w:bCs/>
                <w:color w:val="000000"/>
                <w:sz w:val="18"/>
                <w:szCs w:val="18"/>
              </w:rPr>
              <w:t xml:space="preserve">Technical Merit &amp; Architecture</w:t>
            </w:r>
          </w:p>
        </w:tc>
        <w:tc>
          <w:tcPr>
            <w:tcW w:type="dxa" w:w="12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center"/>
            </w:pPr>
            <w:r>
              <w:rPr>
                <w:rFonts w:ascii="Arial" w:cs="Arial" w:eastAsia="Arial" w:hAnsi="Arial"/>
                <w:b w:val="false"/>
                <w:bCs w:val="false"/>
                <w:color w:val="000000"/>
                <w:sz w:val="18"/>
                <w:szCs w:val="18"/>
              </w:rPr>
              <w:t xml:space="preserve">350</w:t>
            </w:r>
          </w:p>
        </w:tc>
        <w:tc>
          <w:tcPr>
            <w:tcW w:type="dxa" w:w="12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center"/>
            </w:pPr>
            <w:r>
              <w:rPr>
                <w:rFonts w:ascii="Arial" w:cs="Arial" w:eastAsia="Arial" w:hAnsi="Arial"/>
                <w:b/>
                <w:bCs/>
                <w:color w:val="000000"/>
                <w:sz w:val="18"/>
                <w:szCs w:val="18"/>
              </w:rPr>
              <w:t xml:space="preserve">270</w:t>
            </w:r>
          </w:p>
        </w:tc>
        <w:tc>
          <w:tcPr>
            <w:tcW w:type="dxa" w:w="8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center"/>
            </w:pPr>
            <w:r>
              <w:rPr>
                <w:rFonts w:ascii="Arial" w:cs="Arial" w:eastAsia="Arial" w:hAnsi="Arial"/>
                <w:b w:val="false"/>
                <w:bCs w:val="false"/>
                <w:color w:val="000000"/>
                <w:sz w:val="18"/>
                <w:szCs w:val="18"/>
              </w:rPr>
              <w:t xml:space="preserve">77%</w:t>
            </w:r>
          </w:p>
        </w:tc>
        <w:tc>
          <w:tcPr>
            <w:tcW w:type="dxa" w:w="1240"/>
            <w:tcBorders>
              <w:top w:val="single" w:color="BFBFBF" w:sz="4"/>
              <w:start w:val="single" w:color="BFBFBF" w:sz="4"/>
              <w:bottom w:val="single" w:color="BFBFBF" w:sz="4"/>
              <w:end w:val="single" w:color="BFBFBF" w:sz="4"/>
            </w:tcBorders>
            <w:shd w:fill="FFF4D6" w:val="clear"/>
            <w:tcMar>
              <w:top w:type="dxa" w:w="100"/>
              <w:start w:type="dxa" w:w="140"/>
              <w:bottom w:type="dxa" w:w="100"/>
              <w:end w:type="dxa" w:w="140"/>
            </w:tcMar>
            <w:vAlign w:val="top"/>
          </w:tcPr>
          <w:p>
            <w:pPr>
              <w:jc w:val="left"/>
            </w:pPr>
            <w:r>
              <w:rPr>
                <w:rFonts w:ascii="Arial" w:cs="Arial" w:eastAsia="Arial" w:hAnsi="Arial"/>
                <w:b/>
                <w:bCs/>
                <w:color w:val="000000"/>
                <w:sz w:val="18"/>
                <w:szCs w:val="18"/>
              </w:rPr>
              <w:t xml:space="preserve">AMBER</w:t>
            </w:r>
          </w:p>
        </w:tc>
      </w:tr>
      <w:tr>
        <w:tc>
          <w:tcPr>
            <w:tcW w:type="dxa" w:w="336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left"/>
            </w:pPr>
            <w:r>
              <w:rPr>
                <w:rFonts w:ascii="Arial" w:cs="Arial" w:eastAsia="Arial" w:hAnsi="Arial"/>
                <w:b/>
                <w:bCs/>
                <w:color w:val="000000"/>
                <w:sz w:val="18"/>
                <w:szCs w:val="18"/>
              </w:rPr>
              <w:t xml:space="preserve">Innovation &amp; Scalability</w:t>
            </w:r>
          </w:p>
        </w:tc>
        <w:tc>
          <w:tcPr>
            <w:tcW w:type="dxa" w:w="12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center"/>
            </w:pPr>
            <w:r>
              <w:rPr>
                <w:rFonts w:ascii="Arial" w:cs="Arial" w:eastAsia="Arial" w:hAnsi="Arial"/>
                <w:b w:val="false"/>
                <w:bCs w:val="false"/>
                <w:color w:val="000000"/>
                <w:sz w:val="18"/>
                <w:szCs w:val="18"/>
              </w:rPr>
              <w:t xml:space="preserve">250</w:t>
            </w:r>
          </w:p>
        </w:tc>
        <w:tc>
          <w:tcPr>
            <w:tcW w:type="dxa" w:w="12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center"/>
            </w:pPr>
            <w:r>
              <w:rPr>
                <w:rFonts w:ascii="Arial" w:cs="Arial" w:eastAsia="Arial" w:hAnsi="Arial"/>
                <w:b/>
                <w:bCs/>
                <w:color w:val="000000"/>
                <w:sz w:val="18"/>
                <w:szCs w:val="18"/>
              </w:rPr>
              <w:t xml:space="preserve">205</w:t>
            </w:r>
          </w:p>
        </w:tc>
        <w:tc>
          <w:tcPr>
            <w:tcW w:type="dxa" w:w="8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center"/>
            </w:pPr>
            <w:r>
              <w:rPr>
                <w:rFonts w:ascii="Arial" w:cs="Arial" w:eastAsia="Arial" w:hAnsi="Arial"/>
                <w:b w:val="false"/>
                <w:bCs w:val="false"/>
                <w:color w:val="000000"/>
                <w:sz w:val="18"/>
                <w:szCs w:val="18"/>
              </w:rPr>
              <w:t xml:space="preserve">82%</w:t>
            </w:r>
          </w:p>
        </w:tc>
        <w:tc>
          <w:tcPr>
            <w:tcW w:type="dxa" w:w="1240"/>
            <w:tcBorders>
              <w:top w:val="single" w:color="BFBFBF" w:sz="4"/>
              <w:start w:val="single" w:color="BFBFBF" w:sz="4"/>
              <w:bottom w:val="single" w:color="BFBFBF" w:sz="4"/>
              <w:end w:val="single" w:color="BFBFBF" w:sz="4"/>
            </w:tcBorders>
            <w:shd w:fill="D9F0E0" w:val="clear"/>
            <w:tcMar>
              <w:top w:type="dxa" w:w="100"/>
              <w:start w:type="dxa" w:w="140"/>
              <w:bottom w:type="dxa" w:w="100"/>
              <w:end w:type="dxa" w:w="140"/>
            </w:tcMar>
            <w:vAlign w:val="top"/>
          </w:tcPr>
          <w:p>
            <w:pPr>
              <w:jc w:val="left"/>
            </w:pPr>
            <w:r>
              <w:rPr>
                <w:rFonts w:ascii="Arial" w:cs="Arial" w:eastAsia="Arial" w:hAnsi="Arial"/>
                <w:b/>
                <w:bCs/>
                <w:color w:val="000000"/>
                <w:sz w:val="18"/>
                <w:szCs w:val="18"/>
              </w:rPr>
              <w:t xml:space="preserve">STRONG</w:t>
            </w:r>
          </w:p>
        </w:tc>
      </w:tr>
      <w:tr>
        <w:tc>
          <w:tcPr>
            <w:tcW w:type="dxa" w:w="336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left"/>
            </w:pPr>
            <w:r>
              <w:rPr>
                <w:rFonts w:ascii="Arial" w:cs="Arial" w:eastAsia="Arial" w:hAnsi="Arial"/>
                <w:b/>
                <w:bCs/>
                <w:color w:val="000000"/>
                <w:sz w:val="18"/>
                <w:szCs w:val="18"/>
              </w:rPr>
              <w:t xml:space="preserve">Policy Alignment &amp; Compliance</w:t>
            </w:r>
          </w:p>
        </w:tc>
        <w:tc>
          <w:tcPr>
            <w:tcW w:type="dxa" w:w="12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center"/>
            </w:pPr>
            <w:r>
              <w:rPr>
                <w:rFonts w:ascii="Arial" w:cs="Arial" w:eastAsia="Arial" w:hAnsi="Arial"/>
                <w:b w:val="false"/>
                <w:bCs w:val="false"/>
                <w:color w:val="000000"/>
                <w:sz w:val="18"/>
                <w:szCs w:val="18"/>
              </w:rPr>
              <w:t xml:space="preserve">200</w:t>
            </w:r>
          </w:p>
        </w:tc>
        <w:tc>
          <w:tcPr>
            <w:tcW w:type="dxa" w:w="12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center"/>
            </w:pPr>
            <w:r>
              <w:rPr>
                <w:rFonts w:ascii="Arial" w:cs="Arial" w:eastAsia="Arial" w:hAnsi="Arial"/>
                <w:b/>
                <w:bCs/>
                <w:color w:val="000000"/>
                <w:sz w:val="18"/>
                <w:szCs w:val="18"/>
              </w:rPr>
              <w:t xml:space="preserve">168</w:t>
            </w:r>
          </w:p>
        </w:tc>
        <w:tc>
          <w:tcPr>
            <w:tcW w:type="dxa" w:w="8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center"/>
            </w:pPr>
            <w:r>
              <w:rPr>
                <w:rFonts w:ascii="Arial" w:cs="Arial" w:eastAsia="Arial" w:hAnsi="Arial"/>
                <w:b w:val="false"/>
                <w:bCs w:val="false"/>
                <w:color w:val="000000"/>
                <w:sz w:val="18"/>
                <w:szCs w:val="18"/>
              </w:rPr>
              <w:t xml:space="preserve">84%</w:t>
            </w:r>
          </w:p>
        </w:tc>
        <w:tc>
          <w:tcPr>
            <w:tcW w:type="dxa" w:w="1240"/>
            <w:tcBorders>
              <w:top w:val="single" w:color="BFBFBF" w:sz="4"/>
              <w:start w:val="single" w:color="BFBFBF" w:sz="4"/>
              <w:bottom w:val="single" w:color="BFBFBF" w:sz="4"/>
              <w:end w:val="single" w:color="BFBFBF" w:sz="4"/>
            </w:tcBorders>
            <w:shd w:fill="D9F0E0" w:val="clear"/>
            <w:tcMar>
              <w:top w:type="dxa" w:w="100"/>
              <w:start w:type="dxa" w:w="140"/>
              <w:bottom w:type="dxa" w:w="100"/>
              <w:end w:type="dxa" w:w="140"/>
            </w:tcMar>
            <w:vAlign w:val="top"/>
          </w:tcPr>
          <w:p>
            <w:pPr>
              <w:jc w:val="left"/>
            </w:pPr>
            <w:r>
              <w:rPr>
                <w:rFonts w:ascii="Arial" w:cs="Arial" w:eastAsia="Arial" w:hAnsi="Arial"/>
                <w:b/>
                <w:bCs/>
                <w:color w:val="000000"/>
                <w:sz w:val="18"/>
                <w:szCs w:val="18"/>
              </w:rPr>
              <w:t xml:space="preserve">STRONG</w:t>
            </w:r>
          </w:p>
        </w:tc>
      </w:tr>
      <w:tr>
        <w:tc>
          <w:tcPr>
            <w:tcW w:type="dxa" w:w="336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left"/>
            </w:pPr>
            <w:r>
              <w:rPr>
                <w:rFonts w:ascii="Arial" w:cs="Arial" w:eastAsia="Arial" w:hAnsi="Arial"/>
                <w:b/>
                <w:bCs/>
                <w:color w:val="000000"/>
                <w:sz w:val="18"/>
                <w:szCs w:val="18"/>
              </w:rPr>
              <w:t xml:space="preserve">Company Profile, Experience &amp; Resumes</w:t>
            </w:r>
          </w:p>
        </w:tc>
        <w:tc>
          <w:tcPr>
            <w:tcW w:type="dxa" w:w="12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center"/>
            </w:pPr>
            <w:r>
              <w:rPr>
                <w:rFonts w:ascii="Arial" w:cs="Arial" w:eastAsia="Arial" w:hAnsi="Arial"/>
                <w:b w:val="false"/>
                <w:bCs w:val="false"/>
                <w:color w:val="000000"/>
                <w:sz w:val="18"/>
                <w:szCs w:val="18"/>
              </w:rPr>
              <w:t xml:space="preserve">200</w:t>
            </w:r>
          </w:p>
        </w:tc>
        <w:tc>
          <w:tcPr>
            <w:tcW w:type="dxa" w:w="12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center"/>
            </w:pPr>
            <w:r>
              <w:rPr>
                <w:rFonts w:ascii="Arial" w:cs="Arial" w:eastAsia="Arial" w:hAnsi="Arial"/>
                <w:b/>
                <w:bCs/>
                <w:color w:val="000000"/>
                <w:sz w:val="18"/>
                <w:szCs w:val="18"/>
              </w:rPr>
              <w:t xml:space="preserve">150</w:t>
            </w:r>
          </w:p>
        </w:tc>
        <w:tc>
          <w:tcPr>
            <w:tcW w:type="dxa" w:w="8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center"/>
            </w:pPr>
            <w:r>
              <w:rPr>
                <w:rFonts w:ascii="Arial" w:cs="Arial" w:eastAsia="Arial" w:hAnsi="Arial"/>
                <w:b w:val="false"/>
                <w:bCs w:val="false"/>
                <w:color w:val="000000"/>
                <w:sz w:val="18"/>
                <w:szCs w:val="18"/>
              </w:rPr>
              <w:t xml:space="preserve">75%</w:t>
            </w:r>
          </w:p>
        </w:tc>
        <w:tc>
          <w:tcPr>
            <w:tcW w:type="dxa" w:w="1240"/>
            <w:tcBorders>
              <w:top w:val="single" w:color="BFBFBF" w:sz="4"/>
              <w:start w:val="single" w:color="BFBFBF" w:sz="4"/>
              <w:bottom w:val="single" w:color="BFBFBF" w:sz="4"/>
              <w:end w:val="single" w:color="BFBFBF" w:sz="4"/>
            </w:tcBorders>
            <w:shd w:fill="FBE5E5" w:val="clear"/>
            <w:tcMar>
              <w:top w:type="dxa" w:w="100"/>
              <w:start w:type="dxa" w:w="140"/>
              <w:bottom w:type="dxa" w:w="100"/>
              <w:end w:type="dxa" w:w="140"/>
            </w:tcMar>
            <w:vAlign w:val="top"/>
          </w:tcPr>
          <w:p>
            <w:pPr>
              <w:jc w:val="left"/>
            </w:pPr>
            <w:r>
              <w:rPr>
                <w:rFonts w:ascii="Arial" w:cs="Arial" w:eastAsia="Arial" w:hAnsi="Arial"/>
                <w:b/>
                <w:bCs/>
                <w:color w:val="000000"/>
                <w:sz w:val="18"/>
                <w:szCs w:val="18"/>
              </w:rPr>
              <w:t xml:space="preserve">WEAK</w:t>
            </w:r>
          </w:p>
        </w:tc>
      </w:tr>
      <w:tr>
        <w:tc>
          <w:tcPr>
            <w:tcW w:type="dxa" w:w="3360"/>
            <w:tcBorders>
              <w:top w:val="single" w:color="BFBFBF" w:sz="4"/>
              <w:start w:val="single" w:color="BFBFBF" w:sz="4"/>
              <w:bottom w:val="single" w:color="BFBFBF" w:sz="4"/>
              <w:end w:val="single" w:color="BFBFBF" w:sz="4"/>
            </w:tcBorders>
            <w:shd w:fill="232D5A" w:val="clear"/>
            <w:tcMar>
              <w:top w:type="dxa" w:w="100"/>
              <w:start w:type="dxa" w:w="140"/>
              <w:bottom w:type="dxa" w:w="100"/>
              <w:end w:type="dxa" w:w="140"/>
            </w:tcMar>
            <w:vAlign w:val="top"/>
          </w:tcPr>
          <w:p>
            <w:pPr>
              <w:jc w:val="left"/>
            </w:pPr>
            <w:r>
              <w:rPr>
                <w:rFonts w:ascii="Arial" w:cs="Arial" w:eastAsia="Arial" w:hAnsi="Arial"/>
                <w:b/>
                <w:bCs/>
                <w:color w:val="FFFFFF"/>
                <w:sz w:val="18"/>
                <w:szCs w:val="18"/>
              </w:rPr>
              <w:t xml:space="preserve">TRACK 1 SUBTOTAL</w:t>
            </w:r>
          </w:p>
        </w:tc>
        <w:tc>
          <w:tcPr>
            <w:tcW w:type="dxa" w:w="1200"/>
            <w:tcBorders>
              <w:top w:val="single" w:color="BFBFBF" w:sz="4"/>
              <w:start w:val="single" w:color="BFBFBF" w:sz="4"/>
              <w:bottom w:val="single" w:color="BFBFBF" w:sz="4"/>
              <w:end w:val="single" w:color="BFBFBF" w:sz="4"/>
            </w:tcBorders>
            <w:shd w:fill="232D5A" w:val="clear"/>
            <w:tcMar>
              <w:top w:type="dxa" w:w="100"/>
              <w:start w:type="dxa" w:w="140"/>
              <w:bottom w:type="dxa" w:w="100"/>
              <w:end w:type="dxa" w:w="140"/>
            </w:tcMar>
            <w:vAlign w:val="top"/>
          </w:tcPr>
          <w:p>
            <w:pPr>
              <w:jc w:val="center"/>
            </w:pPr>
            <w:r>
              <w:rPr>
                <w:rFonts w:ascii="Arial" w:cs="Arial" w:eastAsia="Arial" w:hAnsi="Arial"/>
                <w:b/>
                <w:bCs/>
                <w:color w:val="FFFFFF"/>
                <w:sz w:val="18"/>
                <w:szCs w:val="18"/>
              </w:rPr>
              <w:t xml:space="preserve">1,000</w:t>
            </w:r>
          </w:p>
        </w:tc>
        <w:tc>
          <w:tcPr>
            <w:tcW w:type="dxa" w:w="1200"/>
            <w:tcBorders>
              <w:top w:val="single" w:color="BFBFBF" w:sz="4"/>
              <w:start w:val="single" w:color="BFBFBF" w:sz="4"/>
              <w:bottom w:val="single" w:color="BFBFBF" w:sz="4"/>
              <w:end w:val="single" w:color="BFBFBF" w:sz="4"/>
            </w:tcBorders>
            <w:shd w:fill="232D5A" w:val="clear"/>
            <w:tcMar>
              <w:top w:type="dxa" w:w="100"/>
              <w:start w:type="dxa" w:w="140"/>
              <w:bottom w:type="dxa" w:w="100"/>
              <w:end w:type="dxa" w:w="140"/>
            </w:tcMar>
            <w:vAlign w:val="top"/>
          </w:tcPr>
          <w:p>
            <w:pPr>
              <w:jc w:val="center"/>
            </w:pPr>
            <w:r>
              <w:rPr>
                <w:rFonts w:ascii="Arial" w:cs="Arial" w:eastAsia="Arial" w:hAnsi="Arial"/>
                <w:b/>
                <w:bCs/>
                <w:color w:val="FFFFFF"/>
                <w:sz w:val="18"/>
                <w:szCs w:val="18"/>
              </w:rPr>
              <w:t xml:space="preserve">793</w:t>
            </w:r>
          </w:p>
        </w:tc>
        <w:tc>
          <w:tcPr>
            <w:tcW w:type="dxa" w:w="800"/>
            <w:tcBorders>
              <w:top w:val="single" w:color="BFBFBF" w:sz="4"/>
              <w:start w:val="single" w:color="BFBFBF" w:sz="4"/>
              <w:bottom w:val="single" w:color="BFBFBF" w:sz="4"/>
              <w:end w:val="single" w:color="BFBFBF" w:sz="4"/>
            </w:tcBorders>
            <w:shd w:fill="232D5A" w:val="clear"/>
            <w:tcMar>
              <w:top w:type="dxa" w:w="100"/>
              <w:start w:type="dxa" w:w="140"/>
              <w:bottom w:type="dxa" w:w="100"/>
              <w:end w:type="dxa" w:w="140"/>
            </w:tcMar>
            <w:vAlign w:val="top"/>
          </w:tcPr>
          <w:p>
            <w:pPr>
              <w:jc w:val="center"/>
            </w:pPr>
            <w:r>
              <w:rPr>
                <w:rFonts w:ascii="Arial" w:cs="Arial" w:eastAsia="Arial" w:hAnsi="Arial"/>
                <w:b/>
                <w:bCs/>
                <w:color w:val="FFFFFF"/>
                <w:sz w:val="18"/>
                <w:szCs w:val="18"/>
              </w:rPr>
              <w:t xml:space="preserve">79%</w:t>
            </w:r>
          </w:p>
        </w:tc>
        <w:tc>
          <w:tcPr>
            <w:tcW w:type="dxa" w:w="1240"/>
            <w:tcBorders>
              <w:top w:val="single" w:color="BFBFBF" w:sz="4"/>
              <w:start w:val="single" w:color="BFBFBF" w:sz="4"/>
              <w:bottom w:val="single" w:color="BFBFBF" w:sz="4"/>
              <w:end w:val="single" w:color="BFBFBF" w:sz="4"/>
            </w:tcBorders>
            <w:shd w:fill="232D5A" w:val="clear"/>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
            </w:r>
          </w:p>
        </w:tc>
      </w:tr>
    </w:tbl>
    <w:p>
      <w:pPr>
        <w:pStyle w:val="Heading2"/>
        <w:spacing w:after="100" w:before="220"/>
      </w:pPr>
      <w:r>
        <w:rPr>
          <w:rFonts w:ascii="Arial" w:cs="Arial" w:eastAsia="Arial" w:hAnsi="Arial"/>
          <w:b/>
          <w:bCs/>
          <w:color w:val="232D5A"/>
          <w:sz w:val="24"/>
          <w:szCs w:val="24"/>
        </w:rPr>
        <w:t xml:space="preserve">3.2  Track 2 Score Breakdown</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3360"/>
        <w:gridCol w:w="1200"/>
        <w:gridCol w:w="1200"/>
        <w:gridCol w:w="800"/>
        <w:gridCol w:w="1240"/>
      </w:tblGrid>
      <w:tr>
        <w:tc>
          <w:tcPr>
            <w:tcW w:type="dxa" w:w="3360"/>
            <w:tcBorders>
              <w:top w:val="single" w:color="BFBFBF" w:sz="4"/>
              <w:start w:val="single" w:color="BFBFBF" w:sz="4"/>
              <w:bottom w:val="single" w:color="BFBFBF" w:sz="4"/>
              <w:end w:val="single" w:color="BFBFBF" w:sz="4"/>
            </w:tcBorders>
            <w:shd w:fill="232D5A" w:val="clear"/>
            <w:tcMar>
              <w:top w:type="dxa" w:w="100"/>
              <w:start w:type="dxa" w:w="140"/>
              <w:bottom w:type="dxa" w:w="100"/>
              <w:end w:type="dxa" w:w="140"/>
            </w:tcMar>
            <w:vAlign w:val="top"/>
          </w:tcPr>
          <w:p>
            <w:pPr>
              <w:jc w:val="left"/>
            </w:pPr>
            <w:r>
              <w:rPr>
                <w:rFonts w:ascii="Arial" w:cs="Arial" w:eastAsia="Arial" w:hAnsi="Arial"/>
                <w:b/>
                <w:bCs/>
                <w:color w:val="FFFFFF"/>
                <w:sz w:val="18"/>
                <w:szCs w:val="18"/>
              </w:rPr>
              <w:t xml:space="preserve">Track 2 Category</w:t>
            </w:r>
          </w:p>
        </w:tc>
        <w:tc>
          <w:tcPr>
            <w:tcW w:type="dxa" w:w="1200"/>
            <w:tcBorders>
              <w:top w:val="single" w:color="BFBFBF" w:sz="4"/>
              <w:start w:val="single" w:color="BFBFBF" w:sz="4"/>
              <w:bottom w:val="single" w:color="BFBFBF" w:sz="4"/>
              <w:end w:val="single" w:color="BFBFBF" w:sz="4"/>
            </w:tcBorders>
            <w:shd w:fill="232D5A" w:val="clear"/>
            <w:tcMar>
              <w:top w:type="dxa" w:w="100"/>
              <w:start w:type="dxa" w:w="140"/>
              <w:bottom w:type="dxa" w:w="100"/>
              <w:end w:type="dxa" w:w="140"/>
            </w:tcMar>
            <w:vAlign w:val="top"/>
          </w:tcPr>
          <w:p>
            <w:pPr>
              <w:jc w:val="left"/>
            </w:pPr>
            <w:r>
              <w:rPr>
                <w:rFonts w:ascii="Arial" w:cs="Arial" w:eastAsia="Arial" w:hAnsi="Arial"/>
                <w:b/>
                <w:bCs/>
                <w:color w:val="FFFFFF"/>
                <w:sz w:val="18"/>
                <w:szCs w:val="18"/>
              </w:rPr>
              <w:t xml:space="preserve">Possible</w:t>
            </w:r>
          </w:p>
        </w:tc>
        <w:tc>
          <w:tcPr>
            <w:tcW w:type="dxa" w:w="1200"/>
            <w:tcBorders>
              <w:top w:val="single" w:color="BFBFBF" w:sz="4"/>
              <w:start w:val="single" w:color="BFBFBF" w:sz="4"/>
              <w:bottom w:val="single" w:color="BFBFBF" w:sz="4"/>
              <w:end w:val="single" w:color="BFBFBF" w:sz="4"/>
            </w:tcBorders>
            <w:shd w:fill="232D5A" w:val="clear"/>
            <w:tcMar>
              <w:top w:type="dxa" w:w="100"/>
              <w:start w:type="dxa" w:w="140"/>
              <w:bottom w:type="dxa" w:w="100"/>
              <w:end w:type="dxa" w:w="140"/>
            </w:tcMar>
            <w:vAlign w:val="top"/>
          </w:tcPr>
          <w:p>
            <w:pPr>
              <w:jc w:val="left"/>
            </w:pPr>
            <w:r>
              <w:rPr>
                <w:rFonts w:ascii="Arial" w:cs="Arial" w:eastAsia="Arial" w:hAnsi="Arial"/>
                <w:b/>
                <w:bCs/>
                <w:color w:val="FFFFFF"/>
                <w:sz w:val="18"/>
                <w:szCs w:val="18"/>
              </w:rPr>
              <w:t xml:space="preserve">Awarded</w:t>
            </w:r>
          </w:p>
        </w:tc>
        <w:tc>
          <w:tcPr>
            <w:tcW w:type="dxa" w:w="800"/>
            <w:tcBorders>
              <w:top w:val="single" w:color="BFBFBF" w:sz="4"/>
              <w:start w:val="single" w:color="BFBFBF" w:sz="4"/>
              <w:bottom w:val="single" w:color="BFBFBF" w:sz="4"/>
              <w:end w:val="single" w:color="BFBFBF" w:sz="4"/>
            </w:tcBorders>
            <w:shd w:fill="232D5A" w:val="clear"/>
            <w:tcMar>
              <w:top w:type="dxa" w:w="100"/>
              <w:start w:type="dxa" w:w="140"/>
              <w:bottom w:type="dxa" w:w="100"/>
              <w:end w:type="dxa" w:w="140"/>
            </w:tcMar>
            <w:vAlign w:val="top"/>
          </w:tcPr>
          <w:p>
            <w:pPr>
              <w:jc w:val="left"/>
            </w:pPr>
            <w:r>
              <w:rPr>
                <w:rFonts w:ascii="Arial" w:cs="Arial" w:eastAsia="Arial" w:hAnsi="Arial"/>
                <w:b/>
                <w:bCs/>
                <w:color w:val="FFFFFF"/>
                <w:sz w:val="18"/>
                <w:szCs w:val="18"/>
              </w:rPr>
              <w:t xml:space="preserve">%</w:t>
            </w:r>
          </w:p>
        </w:tc>
        <w:tc>
          <w:tcPr>
            <w:tcW w:type="dxa" w:w="1240"/>
            <w:tcBorders>
              <w:top w:val="single" w:color="BFBFBF" w:sz="4"/>
              <w:start w:val="single" w:color="BFBFBF" w:sz="4"/>
              <w:bottom w:val="single" w:color="BFBFBF" w:sz="4"/>
              <w:end w:val="single" w:color="BFBFBF" w:sz="4"/>
            </w:tcBorders>
            <w:shd w:fill="232D5A" w:val="clear"/>
            <w:tcMar>
              <w:top w:type="dxa" w:w="100"/>
              <w:start w:type="dxa" w:w="140"/>
              <w:bottom w:type="dxa" w:w="100"/>
              <w:end w:type="dxa" w:w="140"/>
            </w:tcMar>
            <w:vAlign w:val="top"/>
          </w:tcPr>
          <w:p>
            <w:pPr>
              <w:jc w:val="left"/>
            </w:pPr>
            <w:r>
              <w:rPr>
                <w:rFonts w:ascii="Arial" w:cs="Arial" w:eastAsia="Arial" w:hAnsi="Arial"/>
                <w:b/>
                <w:bCs/>
                <w:color w:val="FFFFFF"/>
                <w:sz w:val="18"/>
                <w:szCs w:val="18"/>
              </w:rPr>
              <w:t xml:space="preserve">Status</w:t>
            </w:r>
          </w:p>
        </w:tc>
      </w:tr>
      <w:tr>
        <w:tc>
          <w:tcPr>
            <w:tcW w:type="dxa" w:w="336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Data Residency (Pass/Fail)</w:t>
            </w:r>
          </w:p>
        </w:tc>
        <w:tc>
          <w:tcPr>
            <w:tcW w:type="dxa" w:w="12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center"/>
            </w:pPr>
            <w:r>
              <w:rPr>
                <w:rFonts w:ascii="Arial" w:cs="Arial" w:eastAsia="Arial" w:hAnsi="Arial"/>
                <w:b w:val="false"/>
                <w:bCs w:val="false"/>
                <w:color w:val="000000"/>
                <w:sz w:val="18"/>
                <w:szCs w:val="18"/>
              </w:rPr>
              <w:t xml:space="preserve">P/F</w:t>
            </w:r>
          </w:p>
        </w:tc>
        <w:tc>
          <w:tcPr>
            <w:tcW w:type="dxa" w:w="1200"/>
            <w:tcBorders>
              <w:top w:val="single" w:color="BFBFBF" w:sz="4"/>
              <w:start w:val="single" w:color="BFBFBF" w:sz="4"/>
              <w:bottom w:val="single" w:color="BFBFBF" w:sz="4"/>
              <w:end w:val="single" w:color="BFBFBF" w:sz="4"/>
            </w:tcBorders>
            <w:shd w:fill="D9F0E0" w:val="clear"/>
            <w:tcMar>
              <w:top w:type="dxa" w:w="100"/>
              <w:start w:type="dxa" w:w="140"/>
              <w:bottom w:type="dxa" w:w="100"/>
              <w:end w:type="dxa" w:w="140"/>
            </w:tcMar>
            <w:vAlign w:val="top"/>
          </w:tcPr>
          <w:p>
            <w:pPr>
              <w:jc w:val="center"/>
            </w:pPr>
            <w:r>
              <w:rPr>
                <w:rFonts w:ascii="Arial" w:cs="Arial" w:eastAsia="Arial" w:hAnsi="Arial"/>
                <w:b/>
                <w:bCs/>
                <w:color w:val="000000"/>
                <w:sz w:val="18"/>
                <w:szCs w:val="18"/>
              </w:rPr>
              <w:t xml:space="preserve">PASS</w:t>
            </w:r>
          </w:p>
        </w:tc>
        <w:tc>
          <w:tcPr>
            <w:tcW w:type="dxa" w:w="8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center"/>
            </w:pPr>
            <w:r>
              <w:rPr>
                <w:rFonts w:ascii="Arial" w:cs="Arial" w:eastAsia="Arial" w:hAnsi="Arial"/>
                <w:b w:val="false"/>
                <w:bCs w:val="false"/>
                <w:color w:val="000000"/>
                <w:sz w:val="18"/>
                <w:szCs w:val="18"/>
              </w:rPr>
              <w:t xml:space="preserve">—</w:t>
            </w:r>
          </w:p>
        </w:tc>
        <w:tc>
          <w:tcPr>
            <w:tcW w:type="dxa" w:w="1240"/>
            <w:tcBorders>
              <w:top w:val="single" w:color="BFBFBF" w:sz="4"/>
              <w:start w:val="single" w:color="BFBFBF" w:sz="4"/>
              <w:bottom w:val="single" w:color="BFBFBF" w:sz="4"/>
              <w:end w:val="single" w:color="BFBFBF" w:sz="4"/>
            </w:tcBorders>
            <w:shd w:fill="D9F0E0" w:val="clear"/>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Meets requirements</w:t>
            </w:r>
          </w:p>
        </w:tc>
      </w:tr>
      <w:tr>
        <w:tc>
          <w:tcPr>
            <w:tcW w:type="dxa" w:w="336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left"/>
            </w:pPr>
            <w:r>
              <w:rPr>
                <w:rFonts w:ascii="Arial" w:cs="Arial" w:eastAsia="Arial" w:hAnsi="Arial"/>
                <w:b/>
                <w:bCs/>
                <w:color w:val="000000"/>
                <w:sz w:val="18"/>
                <w:szCs w:val="18"/>
              </w:rPr>
              <w:t xml:space="preserve">Value &amp; Utility for Operations</w:t>
            </w:r>
          </w:p>
        </w:tc>
        <w:tc>
          <w:tcPr>
            <w:tcW w:type="dxa" w:w="12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center"/>
            </w:pPr>
            <w:r>
              <w:rPr>
                <w:rFonts w:ascii="Arial" w:cs="Arial" w:eastAsia="Arial" w:hAnsi="Arial"/>
                <w:b w:val="false"/>
                <w:bCs w:val="false"/>
                <w:color w:val="000000"/>
                <w:sz w:val="18"/>
                <w:szCs w:val="18"/>
              </w:rPr>
              <w:t xml:space="preserve">400</w:t>
            </w:r>
          </w:p>
        </w:tc>
        <w:tc>
          <w:tcPr>
            <w:tcW w:type="dxa" w:w="12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center"/>
            </w:pPr>
            <w:r>
              <w:rPr>
                <w:rFonts w:ascii="Arial" w:cs="Arial" w:eastAsia="Arial" w:hAnsi="Arial"/>
                <w:b/>
                <w:bCs/>
                <w:color w:val="000000"/>
                <w:sz w:val="18"/>
                <w:szCs w:val="18"/>
              </w:rPr>
              <w:t xml:space="preserve">316</w:t>
            </w:r>
          </w:p>
        </w:tc>
        <w:tc>
          <w:tcPr>
            <w:tcW w:type="dxa" w:w="8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center"/>
            </w:pPr>
            <w:r>
              <w:rPr>
                <w:rFonts w:ascii="Arial" w:cs="Arial" w:eastAsia="Arial" w:hAnsi="Arial"/>
                <w:b w:val="false"/>
                <w:bCs w:val="false"/>
                <w:color w:val="000000"/>
                <w:sz w:val="18"/>
                <w:szCs w:val="18"/>
              </w:rPr>
              <w:t xml:space="preserve">79%</w:t>
            </w:r>
          </w:p>
        </w:tc>
        <w:tc>
          <w:tcPr>
            <w:tcW w:type="dxa" w:w="1240"/>
            <w:tcBorders>
              <w:top w:val="single" w:color="BFBFBF" w:sz="4"/>
              <w:start w:val="single" w:color="BFBFBF" w:sz="4"/>
              <w:bottom w:val="single" w:color="BFBFBF" w:sz="4"/>
              <w:end w:val="single" w:color="BFBFBF" w:sz="4"/>
            </w:tcBorders>
            <w:shd w:fill="FFF4D6" w:val="clear"/>
            <w:tcMar>
              <w:top w:type="dxa" w:w="100"/>
              <w:start w:type="dxa" w:w="140"/>
              <w:bottom w:type="dxa" w:w="100"/>
              <w:end w:type="dxa" w:w="140"/>
            </w:tcMar>
            <w:vAlign w:val="top"/>
          </w:tcPr>
          <w:p>
            <w:pPr>
              <w:jc w:val="left"/>
            </w:pPr>
            <w:r>
              <w:rPr>
                <w:rFonts w:ascii="Arial" w:cs="Arial" w:eastAsia="Arial" w:hAnsi="Arial"/>
                <w:b/>
                <w:bCs/>
                <w:color w:val="000000"/>
                <w:sz w:val="18"/>
                <w:szCs w:val="18"/>
              </w:rPr>
              <w:t xml:space="preserve">AMBER</w:t>
            </w:r>
          </w:p>
        </w:tc>
      </w:tr>
      <w:tr>
        <w:tc>
          <w:tcPr>
            <w:tcW w:type="dxa" w:w="336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left"/>
            </w:pPr>
            <w:r>
              <w:rPr>
                <w:rFonts w:ascii="Arial" w:cs="Arial" w:eastAsia="Arial" w:hAnsi="Arial"/>
                <w:b/>
                <w:bCs/>
                <w:color w:val="000000"/>
                <w:sz w:val="18"/>
                <w:szCs w:val="18"/>
              </w:rPr>
              <w:t xml:space="preserve">Ease of Adoption &amp; Deployment</w:t>
            </w:r>
          </w:p>
        </w:tc>
        <w:tc>
          <w:tcPr>
            <w:tcW w:type="dxa" w:w="12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center"/>
            </w:pPr>
            <w:r>
              <w:rPr>
                <w:rFonts w:ascii="Arial" w:cs="Arial" w:eastAsia="Arial" w:hAnsi="Arial"/>
                <w:b w:val="false"/>
                <w:bCs w:val="false"/>
                <w:color w:val="000000"/>
                <w:sz w:val="18"/>
                <w:szCs w:val="18"/>
              </w:rPr>
              <w:t xml:space="preserve">200</w:t>
            </w:r>
          </w:p>
        </w:tc>
        <w:tc>
          <w:tcPr>
            <w:tcW w:type="dxa" w:w="12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center"/>
            </w:pPr>
            <w:r>
              <w:rPr>
                <w:rFonts w:ascii="Arial" w:cs="Arial" w:eastAsia="Arial" w:hAnsi="Arial"/>
                <w:b/>
                <w:bCs/>
                <w:color w:val="000000"/>
                <w:sz w:val="18"/>
                <w:szCs w:val="18"/>
              </w:rPr>
              <w:t xml:space="preserve">160</w:t>
            </w:r>
          </w:p>
        </w:tc>
        <w:tc>
          <w:tcPr>
            <w:tcW w:type="dxa" w:w="8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center"/>
            </w:pPr>
            <w:r>
              <w:rPr>
                <w:rFonts w:ascii="Arial" w:cs="Arial" w:eastAsia="Arial" w:hAnsi="Arial"/>
                <w:b w:val="false"/>
                <w:bCs w:val="false"/>
                <w:color w:val="000000"/>
                <w:sz w:val="18"/>
                <w:szCs w:val="18"/>
              </w:rPr>
              <w:t xml:space="preserve">80%</w:t>
            </w:r>
          </w:p>
        </w:tc>
        <w:tc>
          <w:tcPr>
            <w:tcW w:type="dxa" w:w="1240"/>
            <w:tcBorders>
              <w:top w:val="single" w:color="BFBFBF" w:sz="4"/>
              <w:start w:val="single" w:color="BFBFBF" w:sz="4"/>
              <w:bottom w:val="single" w:color="BFBFBF" w:sz="4"/>
              <w:end w:val="single" w:color="BFBFBF" w:sz="4"/>
            </w:tcBorders>
            <w:shd w:fill="D9F0E0" w:val="clear"/>
            <w:tcMar>
              <w:top w:type="dxa" w:w="100"/>
              <w:start w:type="dxa" w:w="140"/>
              <w:bottom w:type="dxa" w:w="100"/>
              <w:end w:type="dxa" w:w="140"/>
            </w:tcMar>
            <w:vAlign w:val="top"/>
          </w:tcPr>
          <w:p>
            <w:pPr>
              <w:jc w:val="left"/>
            </w:pPr>
            <w:r>
              <w:rPr>
                <w:rFonts w:ascii="Arial" w:cs="Arial" w:eastAsia="Arial" w:hAnsi="Arial"/>
                <w:b/>
                <w:bCs/>
                <w:color w:val="000000"/>
                <w:sz w:val="18"/>
                <w:szCs w:val="18"/>
              </w:rPr>
              <w:t xml:space="preserve">STRONG</w:t>
            </w:r>
          </w:p>
        </w:tc>
      </w:tr>
      <w:tr>
        <w:tc>
          <w:tcPr>
            <w:tcW w:type="dxa" w:w="336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left"/>
            </w:pPr>
            <w:r>
              <w:rPr>
                <w:rFonts w:ascii="Arial" w:cs="Arial" w:eastAsia="Arial" w:hAnsi="Arial"/>
                <w:b/>
                <w:bCs/>
                <w:color w:val="000000"/>
                <w:sz w:val="18"/>
                <w:szCs w:val="18"/>
              </w:rPr>
              <w:t xml:space="preserve">Security, Privacy, Accessibility</w:t>
            </w:r>
          </w:p>
        </w:tc>
        <w:tc>
          <w:tcPr>
            <w:tcW w:type="dxa" w:w="12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center"/>
            </w:pPr>
            <w:r>
              <w:rPr>
                <w:rFonts w:ascii="Arial" w:cs="Arial" w:eastAsia="Arial" w:hAnsi="Arial"/>
                <w:b w:val="false"/>
                <w:bCs w:val="false"/>
                <w:color w:val="000000"/>
                <w:sz w:val="18"/>
                <w:szCs w:val="18"/>
              </w:rPr>
              <w:t xml:space="preserve">200</w:t>
            </w:r>
          </w:p>
        </w:tc>
        <w:tc>
          <w:tcPr>
            <w:tcW w:type="dxa" w:w="12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center"/>
            </w:pPr>
            <w:r>
              <w:rPr>
                <w:rFonts w:ascii="Arial" w:cs="Arial" w:eastAsia="Arial" w:hAnsi="Arial"/>
                <w:b/>
                <w:bCs/>
                <w:color w:val="000000"/>
                <w:sz w:val="18"/>
                <w:szCs w:val="18"/>
              </w:rPr>
              <w:t xml:space="preserve">166</w:t>
            </w:r>
          </w:p>
        </w:tc>
        <w:tc>
          <w:tcPr>
            <w:tcW w:type="dxa" w:w="8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center"/>
            </w:pPr>
            <w:r>
              <w:rPr>
                <w:rFonts w:ascii="Arial" w:cs="Arial" w:eastAsia="Arial" w:hAnsi="Arial"/>
                <w:b w:val="false"/>
                <w:bCs w:val="false"/>
                <w:color w:val="000000"/>
                <w:sz w:val="18"/>
                <w:szCs w:val="18"/>
              </w:rPr>
              <w:t xml:space="preserve">83%</w:t>
            </w:r>
          </w:p>
        </w:tc>
        <w:tc>
          <w:tcPr>
            <w:tcW w:type="dxa" w:w="1240"/>
            <w:tcBorders>
              <w:top w:val="single" w:color="BFBFBF" w:sz="4"/>
              <w:start w:val="single" w:color="BFBFBF" w:sz="4"/>
              <w:bottom w:val="single" w:color="BFBFBF" w:sz="4"/>
              <w:end w:val="single" w:color="BFBFBF" w:sz="4"/>
            </w:tcBorders>
            <w:shd w:fill="D9F0E0" w:val="clear"/>
            <w:tcMar>
              <w:top w:type="dxa" w:w="100"/>
              <w:start w:type="dxa" w:w="140"/>
              <w:bottom w:type="dxa" w:w="100"/>
              <w:end w:type="dxa" w:w="140"/>
            </w:tcMar>
            <w:vAlign w:val="top"/>
          </w:tcPr>
          <w:p>
            <w:pPr>
              <w:jc w:val="left"/>
            </w:pPr>
            <w:r>
              <w:rPr>
                <w:rFonts w:ascii="Arial" w:cs="Arial" w:eastAsia="Arial" w:hAnsi="Arial"/>
                <w:b/>
                <w:bCs/>
                <w:color w:val="000000"/>
                <w:sz w:val="18"/>
                <w:szCs w:val="18"/>
              </w:rPr>
              <w:t xml:space="preserve">STRONG</w:t>
            </w:r>
          </w:p>
        </w:tc>
      </w:tr>
      <w:tr>
        <w:tc>
          <w:tcPr>
            <w:tcW w:type="dxa" w:w="336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left"/>
            </w:pPr>
            <w:r>
              <w:rPr>
                <w:rFonts w:ascii="Arial" w:cs="Arial" w:eastAsia="Arial" w:hAnsi="Arial"/>
                <w:b/>
                <w:bCs/>
                <w:color w:val="000000"/>
                <w:sz w:val="18"/>
                <w:szCs w:val="18"/>
              </w:rPr>
              <w:t xml:space="preserve">Annual Cost (Users by Deployment Size)</w:t>
            </w:r>
          </w:p>
        </w:tc>
        <w:tc>
          <w:tcPr>
            <w:tcW w:type="dxa" w:w="12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center"/>
            </w:pPr>
            <w:r>
              <w:rPr>
                <w:rFonts w:ascii="Arial" w:cs="Arial" w:eastAsia="Arial" w:hAnsi="Arial"/>
                <w:b w:val="false"/>
                <w:bCs w:val="false"/>
                <w:color w:val="000000"/>
                <w:sz w:val="18"/>
                <w:szCs w:val="18"/>
              </w:rPr>
              <w:t xml:space="preserve">200</w:t>
            </w:r>
          </w:p>
        </w:tc>
        <w:tc>
          <w:tcPr>
            <w:tcW w:type="dxa" w:w="12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center"/>
            </w:pPr>
            <w:r>
              <w:rPr>
                <w:rFonts w:ascii="Arial" w:cs="Arial" w:eastAsia="Arial" w:hAnsi="Arial"/>
                <w:b/>
                <w:bCs/>
                <w:color w:val="B30000"/>
                <w:sz w:val="18"/>
                <w:szCs w:val="18"/>
              </w:rPr>
              <w:t xml:space="preserve">0.88</w:t>
            </w:r>
          </w:p>
        </w:tc>
        <w:tc>
          <w:tcPr>
            <w:tcW w:type="dxa" w:w="8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center"/>
            </w:pPr>
            <w:r>
              <w:rPr>
                <w:rFonts w:ascii="Arial" w:cs="Arial" w:eastAsia="Arial" w:hAnsi="Arial"/>
                <w:b w:val="false"/>
                <w:bCs w:val="false"/>
                <w:color w:val="B30000"/>
                <w:sz w:val="18"/>
                <w:szCs w:val="18"/>
              </w:rPr>
              <w:t xml:space="preserve">0.4%</w:t>
            </w:r>
          </w:p>
        </w:tc>
        <w:tc>
          <w:tcPr>
            <w:tcW w:type="dxa" w:w="1240"/>
            <w:tcBorders>
              <w:top w:val="single" w:color="BFBFBF" w:sz="4"/>
              <w:start w:val="single" w:color="BFBFBF" w:sz="4"/>
              <w:bottom w:val="single" w:color="BFBFBF" w:sz="4"/>
              <w:end w:val="single" w:color="BFBFBF" w:sz="4"/>
            </w:tcBorders>
            <w:shd w:fill="FBE5E5" w:val="clear"/>
            <w:tcMar>
              <w:top w:type="dxa" w:w="100"/>
              <w:start w:type="dxa" w:w="140"/>
              <w:bottom w:type="dxa" w:w="100"/>
              <w:end w:type="dxa" w:w="140"/>
            </w:tcMar>
            <w:vAlign w:val="top"/>
          </w:tcPr>
          <w:p>
            <w:pPr>
              <w:jc w:val="left"/>
            </w:pPr>
            <w:r>
              <w:rPr>
                <w:rFonts w:ascii="Arial" w:cs="Arial" w:eastAsia="Arial" w:hAnsi="Arial"/>
                <w:b/>
                <w:bCs/>
                <w:color w:val="000000"/>
                <w:sz w:val="18"/>
                <w:szCs w:val="18"/>
              </w:rPr>
              <w:t xml:space="preserve">CRITICAL GAP</w:t>
            </w:r>
          </w:p>
        </w:tc>
      </w:tr>
      <w:tr>
        <w:tc>
          <w:tcPr>
            <w:tcW w:type="dxa" w:w="336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Equal Pay for Montana Women (Bonus)</w:t>
            </w:r>
          </w:p>
        </w:tc>
        <w:tc>
          <w:tcPr>
            <w:tcW w:type="dxa" w:w="12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center"/>
            </w:pPr>
            <w:r>
              <w:rPr>
                <w:rFonts w:ascii="Arial" w:cs="Arial" w:eastAsia="Arial" w:hAnsi="Arial"/>
                <w:b w:val="false"/>
                <w:bCs w:val="false"/>
                <w:color w:val="000000"/>
                <w:sz w:val="18"/>
                <w:szCs w:val="18"/>
              </w:rPr>
              <w:t xml:space="preserve">50</w:t>
            </w:r>
          </w:p>
        </w:tc>
        <w:tc>
          <w:tcPr>
            <w:tcW w:type="dxa" w:w="1200"/>
            <w:tcBorders>
              <w:top w:val="single" w:color="BFBFBF" w:sz="4"/>
              <w:start w:val="single" w:color="BFBFBF" w:sz="4"/>
              <w:bottom w:val="single" w:color="BFBFBF" w:sz="4"/>
              <w:end w:val="single" w:color="BFBFBF" w:sz="4"/>
            </w:tcBorders>
            <w:shd w:fill="D9F0E0" w:val="clear"/>
            <w:tcMar>
              <w:top w:type="dxa" w:w="100"/>
              <w:start w:type="dxa" w:w="140"/>
              <w:bottom w:type="dxa" w:w="100"/>
              <w:end w:type="dxa" w:w="140"/>
            </w:tcMar>
            <w:vAlign w:val="top"/>
          </w:tcPr>
          <w:p>
            <w:pPr>
              <w:jc w:val="center"/>
            </w:pPr>
            <w:r>
              <w:rPr>
                <w:rFonts w:ascii="Arial" w:cs="Arial" w:eastAsia="Arial" w:hAnsi="Arial"/>
                <w:b/>
                <w:bCs/>
                <w:color w:val="000000"/>
                <w:sz w:val="18"/>
                <w:szCs w:val="18"/>
              </w:rPr>
              <w:t xml:space="preserve">50</w:t>
            </w:r>
          </w:p>
        </w:tc>
        <w:tc>
          <w:tcPr>
            <w:tcW w:type="dxa" w:w="8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center"/>
            </w:pPr>
            <w:r>
              <w:rPr>
                <w:rFonts w:ascii="Arial" w:cs="Arial" w:eastAsia="Arial" w:hAnsi="Arial"/>
                <w:b w:val="false"/>
                <w:bCs w:val="false"/>
                <w:color w:val="000000"/>
                <w:sz w:val="18"/>
                <w:szCs w:val="18"/>
              </w:rPr>
              <w:t xml:space="preserve">100%</w:t>
            </w:r>
          </w:p>
        </w:tc>
        <w:tc>
          <w:tcPr>
            <w:tcW w:type="dxa" w:w="1240"/>
            <w:tcBorders>
              <w:top w:val="single" w:color="BFBFBF" w:sz="4"/>
              <w:start w:val="single" w:color="BFBFBF" w:sz="4"/>
              <w:bottom w:val="single" w:color="BFBFBF" w:sz="4"/>
              <w:end w:val="single" w:color="BFBFBF" w:sz="4"/>
            </w:tcBorders>
            <w:shd w:fill="D9F0E0" w:val="clear"/>
            <w:tcMar>
              <w:top w:type="dxa" w:w="100"/>
              <w:start w:type="dxa" w:w="140"/>
              <w:bottom w:type="dxa" w:w="100"/>
              <w:end w:type="dxa" w:w="140"/>
            </w:tcMar>
            <w:vAlign w:val="top"/>
          </w:tcPr>
          <w:p>
            <w:pPr>
              <w:jc w:val="left"/>
            </w:pPr>
            <w:r>
              <w:rPr>
                <w:rFonts w:ascii="Arial" w:cs="Arial" w:eastAsia="Arial" w:hAnsi="Arial"/>
                <w:b/>
                <w:bCs/>
                <w:color w:val="000000"/>
                <w:sz w:val="18"/>
                <w:szCs w:val="18"/>
              </w:rPr>
              <w:t xml:space="preserve">EARNED</w:t>
            </w:r>
          </w:p>
        </w:tc>
      </w:tr>
      <w:tr>
        <w:tc>
          <w:tcPr>
            <w:tcW w:type="dxa" w:w="3360"/>
            <w:tcBorders>
              <w:top w:val="single" w:color="BFBFBF" w:sz="4"/>
              <w:start w:val="single" w:color="BFBFBF" w:sz="4"/>
              <w:bottom w:val="single" w:color="BFBFBF" w:sz="4"/>
              <w:end w:val="single" w:color="BFBFBF" w:sz="4"/>
            </w:tcBorders>
            <w:shd w:fill="232D5A" w:val="clear"/>
            <w:tcMar>
              <w:top w:type="dxa" w:w="100"/>
              <w:start w:type="dxa" w:w="140"/>
              <w:bottom w:type="dxa" w:w="100"/>
              <w:end w:type="dxa" w:w="140"/>
            </w:tcMar>
            <w:vAlign w:val="top"/>
          </w:tcPr>
          <w:p>
            <w:pPr>
              <w:jc w:val="left"/>
            </w:pPr>
            <w:r>
              <w:rPr>
                <w:rFonts w:ascii="Arial" w:cs="Arial" w:eastAsia="Arial" w:hAnsi="Arial"/>
                <w:b/>
                <w:bCs/>
                <w:color w:val="FFFFFF"/>
                <w:sz w:val="18"/>
                <w:szCs w:val="18"/>
              </w:rPr>
              <w:t xml:space="preserve">TRACK 2 SUBTOTAL</w:t>
            </w:r>
          </w:p>
        </w:tc>
        <w:tc>
          <w:tcPr>
            <w:tcW w:type="dxa" w:w="1200"/>
            <w:tcBorders>
              <w:top w:val="single" w:color="BFBFBF" w:sz="4"/>
              <w:start w:val="single" w:color="BFBFBF" w:sz="4"/>
              <w:bottom w:val="single" w:color="BFBFBF" w:sz="4"/>
              <w:end w:val="single" w:color="BFBFBF" w:sz="4"/>
            </w:tcBorders>
            <w:shd w:fill="232D5A" w:val="clear"/>
            <w:tcMar>
              <w:top w:type="dxa" w:w="100"/>
              <w:start w:type="dxa" w:w="140"/>
              <w:bottom w:type="dxa" w:w="100"/>
              <w:end w:type="dxa" w:w="140"/>
            </w:tcMar>
            <w:vAlign w:val="top"/>
          </w:tcPr>
          <w:p>
            <w:pPr>
              <w:jc w:val="center"/>
            </w:pPr>
            <w:r>
              <w:rPr>
                <w:rFonts w:ascii="Arial" w:cs="Arial" w:eastAsia="Arial" w:hAnsi="Arial"/>
                <w:b/>
                <w:bCs/>
                <w:color w:val="FFFFFF"/>
                <w:sz w:val="18"/>
                <w:szCs w:val="18"/>
              </w:rPr>
              <w:t xml:space="preserve">1,050</w:t>
            </w:r>
          </w:p>
        </w:tc>
        <w:tc>
          <w:tcPr>
            <w:tcW w:type="dxa" w:w="1200"/>
            <w:tcBorders>
              <w:top w:val="single" w:color="BFBFBF" w:sz="4"/>
              <w:start w:val="single" w:color="BFBFBF" w:sz="4"/>
              <w:bottom w:val="single" w:color="BFBFBF" w:sz="4"/>
              <w:end w:val="single" w:color="BFBFBF" w:sz="4"/>
            </w:tcBorders>
            <w:shd w:fill="232D5A" w:val="clear"/>
            <w:tcMar>
              <w:top w:type="dxa" w:w="100"/>
              <w:start w:type="dxa" w:w="140"/>
              <w:bottom w:type="dxa" w:w="100"/>
              <w:end w:type="dxa" w:w="140"/>
            </w:tcMar>
            <w:vAlign w:val="top"/>
          </w:tcPr>
          <w:p>
            <w:pPr>
              <w:jc w:val="center"/>
            </w:pPr>
            <w:r>
              <w:rPr>
                <w:rFonts w:ascii="Arial" w:cs="Arial" w:eastAsia="Arial" w:hAnsi="Arial"/>
                <w:b/>
                <w:bCs/>
                <w:color w:val="FFFFFF"/>
                <w:sz w:val="18"/>
                <w:szCs w:val="18"/>
              </w:rPr>
              <w:t xml:space="preserve">692.9</w:t>
            </w:r>
          </w:p>
        </w:tc>
        <w:tc>
          <w:tcPr>
            <w:tcW w:type="dxa" w:w="800"/>
            <w:tcBorders>
              <w:top w:val="single" w:color="BFBFBF" w:sz="4"/>
              <w:start w:val="single" w:color="BFBFBF" w:sz="4"/>
              <w:bottom w:val="single" w:color="BFBFBF" w:sz="4"/>
              <w:end w:val="single" w:color="BFBFBF" w:sz="4"/>
            </w:tcBorders>
            <w:shd w:fill="232D5A" w:val="clear"/>
            <w:tcMar>
              <w:top w:type="dxa" w:w="100"/>
              <w:start w:type="dxa" w:w="140"/>
              <w:bottom w:type="dxa" w:w="100"/>
              <w:end w:type="dxa" w:w="140"/>
            </w:tcMar>
            <w:vAlign w:val="top"/>
          </w:tcPr>
          <w:p>
            <w:pPr>
              <w:jc w:val="center"/>
            </w:pPr>
            <w:r>
              <w:rPr>
                <w:rFonts w:ascii="Arial" w:cs="Arial" w:eastAsia="Arial" w:hAnsi="Arial"/>
                <w:b/>
                <w:bCs/>
                <w:color w:val="FFFFFF"/>
                <w:sz w:val="18"/>
                <w:szCs w:val="18"/>
              </w:rPr>
              <w:t xml:space="preserve">66%</w:t>
            </w:r>
          </w:p>
        </w:tc>
        <w:tc>
          <w:tcPr>
            <w:tcW w:type="dxa" w:w="1240"/>
            <w:tcBorders>
              <w:top w:val="single" w:color="BFBFBF" w:sz="4"/>
              <w:start w:val="single" w:color="BFBFBF" w:sz="4"/>
              <w:bottom w:val="single" w:color="BFBFBF" w:sz="4"/>
              <w:end w:val="single" w:color="BFBFBF" w:sz="4"/>
            </w:tcBorders>
            <w:shd w:fill="232D5A" w:val="clear"/>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
            </w:r>
          </w:p>
        </w:tc>
      </w:tr>
    </w:tbl>
    <w:p>
      <w:pPr>
        <w:pStyle w:val="Heading2"/>
        <w:spacing w:after="100" w:before="220"/>
      </w:pPr>
      <w:r>
        <w:rPr>
          <w:rFonts w:ascii="Arial" w:cs="Arial" w:eastAsia="Arial" w:hAnsi="Arial"/>
          <w:b/>
          <w:bCs/>
          <w:color w:val="232D5A"/>
          <w:sz w:val="24"/>
          <w:szCs w:val="24"/>
        </w:rPr>
        <w:t xml:space="preserve">3.3  Evaluator Feedback — Verbatim</w:t>
      </w:r>
    </w:p>
    <w:p>
      <w:pPr>
        <w:spacing w:after="100" w:before="80"/>
        <w:jc w:val="left"/>
      </w:pPr>
      <w:r>
        <w:rPr>
          <w:rFonts w:ascii="Arial" w:cs="Arial" w:eastAsia="Arial" w:hAnsi="Arial"/>
          <w:b w:val="false"/>
          <w:bCs w:val="false"/>
          <w:i/>
          <w:iCs/>
          <w:color w:val="595959"/>
          <w:sz w:val="20"/>
          <w:szCs w:val="20"/>
        </w:rPr>
        <w:t xml:space="preserve">All quotes below are from the State of Montana evaluator scoring matrix mandatory justification comments. Used to ground the score-improvement backlog in Section 8.</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600"/>
        <w:gridCol w:w="4800"/>
        <w:gridCol w:w="1960"/>
      </w:tblGrid>
      <w:tr>
        <w:tc>
          <w:tcPr>
            <w:tcW w:type="dxa" w:w="2600"/>
            <w:tcBorders>
              <w:top w:val="single" w:color="BFBFBF" w:sz="4"/>
              <w:start w:val="single" w:color="BFBFBF" w:sz="4"/>
              <w:bottom w:val="single" w:color="BFBFBF" w:sz="4"/>
              <w:end w:val="single" w:color="BFBFBF" w:sz="4"/>
            </w:tcBorders>
            <w:shd w:fill="232D5A" w:val="clear"/>
            <w:tcMar>
              <w:top w:type="dxa" w:w="100"/>
              <w:start w:type="dxa" w:w="140"/>
              <w:bottom w:type="dxa" w:w="100"/>
              <w:end w:type="dxa" w:w="140"/>
            </w:tcMar>
            <w:vAlign w:val="top"/>
          </w:tcPr>
          <w:p>
            <w:pPr>
              <w:jc w:val="left"/>
            </w:pPr>
            <w:r>
              <w:rPr>
                <w:rFonts w:ascii="Arial" w:cs="Arial" w:eastAsia="Arial" w:hAnsi="Arial"/>
                <w:b/>
                <w:bCs/>
                <w:color w:val="FFFFFF"/>
                <w:sz w:val="18"/>
                <w:szCs w:val="18"/>
              </w:rPr>
              <w:t xml:space="preserve">Category</w:t>
            </w:r>
          </w:p>
        </w:tc>
        <w:tc>
          <w:tcPr>
            <w:tcW w:type="dxa" w:w="4800"/>
            <w:tcBorders>
              <w:top w:val="single" w:color="BFBFBF" w:sz="4"/>
              <w:start w:val="single" w:color="BFBFBF" w:sz="4"/>
              <w:bottom w:val="single" w:color="BFBFBF" w:sz="4"/>
              <w:end w:val="single" w:color="BFBFBF" w:sz="4"/>
            </w:tcBorders>
            <w:shd w:fill="232D5A" w:val="clear"/>
            <w:tcMar>
              <w:top w:type="dxa" w:w="100"/>
              <w:start w:type="dxa" w:w="140"/>
              <w:bottom w:type="dxa" w:w="100"/>
              <w:end w:type="dxa" w:w="140"/>
            </w:tcMar>
            <w:vAlign w:val="top"/>
          </w:tcPr>
          <w:p>
            <w:pPr>
              <w:jc w:val="left"/>
            </w:pPr>
            <w:r>
              <w:rPr>
                <w:rFonts w:ascii="Arial" w:cs="Arial" w:eastAsia="Arial" w:hAnsi="Arial"/>
                <w:b/>
                <w:bCs/>
                <w:color w:val="FFFFFF"/>
                <w:sz w:val="18"/>
                <w:szCs w:val="18"/>
              </w:rPr>
              <w:t xml:space="preserve">Evaluator Verbatim Feedback</w:t>
            </w:r>
          </w:p>
        </w:tc>
        <w:tc>
          <w:tcPr>
            <w:tcW w:type="dxa" w:w="1960"/>
            <w:tcBorders>
              <w:top w:val="single" w:color="BFBFBF" w:sz="4"/>
              <w:start w:val="single" w:color="BFBFBF" w:sz="4"/>
              <w:bottom w:val="single" w:color="BFBFBF" w:sz="4"/>
              <w:end w:val="single" w:color="BFBFBF" w:sz="4"/>
            </w:tcBorders>
            <w:shd w:fill="232D5A" w:val="clear"/>
            <w:tcMar>
              <w:top w:type="dxa" w:w="100"/>
              <w:start w:type="dxa" w:w="140"/>
              <w:bottom w:type="dxa" w:w="100"/>
              <w:end w:type="dxa" w:w="140"/>
            </w:tcMar>
            <w:vAlign w:val="top"/>
          </w:tcPr>
          <w:p>
            <w:pPr>
              <w:jc w:val="left"/>
            </w:pPr>
            <w:r>
              <w:rPr>
                <w:rFonts w:ascii="Arial" w:cs="Arial" w:eastAsia="Arial" w:hAnsi="Arial"/>
                <w:b/>
                <w:bCs/>
                <w:color w:val="FFFFFF"/>
                <w:sz w:val="18"/>
                <w:szCs w:val="18"/>
              </w:rPr>
              <w:t xml:space="preserve">Fixable?</w:t>
            </w:r>
          </w:p>
        </w:tc>
      </w:tr>
      <w:tr>
        <w:tc>
          <w:tcPr>
            <w:tcW w:type="dxa" w:w="26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left"/>
            </w:pPr>
            <w:r>
              <w:rPr>
                <w:rFonts w:ascii="Arial" w:cs="Arial" w:eastAsia="Arial" w:hAnsi="Arial"/>
                <w:b/>
                <w:bCs/>
                <w:color w:val="000000"/>
                <w:sz w:val="18"/>
                <w:szCs w:val="18"/>
              </w:rPr>
              <w:t xml:space="preserve">Tech Merit &amp; Architecture (T1)</w:t>
            </w:r>
          </w:p>
        </w:tc>
        <w:tc>
          <w:tcPr>
            <w:tcW w:type="dxa" w:w="48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"Discuss how it's applicable to public sector, good high-level overview, but missing some key details. Discuss some layers, but diagram was confusing. Some enterprise identity management. Some terminology was vague. Pursuing FedRAMP, SOC 2 available upon request."</w:t>
            </w:r>
          </w:p>
        </w:tc>
        <w:tc>
          <w:tcPr>
            <w:tcW w:type="dxa" w:w="1960"/>
            <w:tcBorders>
              <w:top w:val="single" w:color="BFBFBF" w:sz="4"/>
              <w:start w:val="single" w:color="BFBFBF" w:sz="4"/>
              <w:bottom w:val="single" w:color="BFBFBF" w:sz="4"/>
              <w:end w:val="single" w:color="BFBFBF" w:sz="4"/>
            </w:tcBorders>
            <w:shd w:fill="FFF4D6" w:val="clear"/>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YES — Diagram redesign + SOC 2 remediation language</w:t>
            </w:r>
          </w:p>
        </w:tc>
      </w:tr>
      <w:tr>
        <w:tc>
          <w:tcPr>
            <w:tcW w:type="dxa" w:w="2600"/>
            <w:tcBorders>
              <w:top w:val="single" w:color="BFBFBF" w:sz="4"/>
              <w:start w:val="single" w:color="BFBFBF" w:sz="4"/>
              <w:bottom w:val="single" w:color="BFBFBF" w:sz="4"/>
              <w:end w:val="single" w:color="BFBFBF" w:sz="4"/>
            </w:tcBorders>
            <w:shd w:fill="F2F2F2" w:val="clear"/>
            <w:tcMar>
              <w:top w:type="dxa" w:w="100"/>
              <w:start w:type="dxa" w:w="140"/>
              <w:bottom w:type="dxa" w:w="100"/>
              <w:end w:type="dxa" w:w="140"/>
            </w:tcMar>
            <w:vAlign w:val="top"/>
          </w:tcPr>
          <w:p>
            <w:pPr>
              <w:jc w:val="left"/>
            </w:pPr>
            <w:r>
              <w:rPr>
                <w:rFonts w:ascii="Arial" w:cs="Arial" w:eastAsia="Arial" w:hAnsi="Arial"/>
                <w:b/>
                <w:bCs/>
                <w:color w:val="000000"/>
                <w:sz w:val="18"/>
                <w:szCs w:val="18"/>
              </w:rPr>
              <w:t xml:space="preserve">Innovation &amp; Scalability (T1)</w:t>
            </w:r>
          </w:p>
        </w:tc>
        <w:tc>
          <w:tcPr>
            <w:tcW w:type="dxa" w:w="4800"/>
            <w:tcBorders>
              <w:top w:val="single" w:color="BFBFBF" w:sz="4"/>
              <w:start w:val="single" w:color="BFBFBF" w:sz="4"/>
              <w:bottom w:val="single" w:color="BFBFBF" w:sz="4"/>
              <w:end w:val="single" w:color="BFBFBF" w:sz="4"/>
            </w:tcBorders>
            <w:shd w:fill="F2F2F2" w:val="clear"/>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"Cover some specifics, autoscaling policies. Innovation piece is good, but missing some MT specifics, and more detail on the how. Good response overall. Justified scalability, 100k user+ deployment."</w:t>
            </w:r>
          </w:p>
        </w:tc>
        <w:tc>
          <w:tcPr>
            <w:tcW w:type="dxa" w:w="1960"/>
            <w:tcBorders>
              <w:top w:val="single" w:color="BFBFBF" w:sz="4"/>
              <w:start w:val="single" w:color="BFBFBF" w:sz="4"/>
              <w:bottom w:val="single" w:color="BFBFBF" w:sz="4"/>
              <w:end w:val="single" w:color="BFBFBF" w:sz="4"/>
            </w:tcBorders>
            <w:shd w:fill="D9F0E0" w:val="clear"/>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YES — MT-specific framing</w:t>
            </w:r>
          </w:p>
        </w:tc>
      </w:tr>
      <w:tr>
        <w:tc>
          <w:tcPr>
            <w:tcW w:type="dxa" w:w="26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left"/>
            </w:pPr>
            <w:r>
              <w:rPr>
                <w:rFonts w:ascii="Arial" w:cs="Arial" w:eastAsia="Arial" w:hAnsi="Arial"/>
                <w:b/>
                <w:bCs/>
                <w:color w:val="000000"/>
                <w:sz w:val="18"/>
                <w:szCs w:val="18"/>
              </w:rPr>
              <w:t xml:space="preserve">Policy Alignment (T1)</w:t>
            </w:r>
          </w:p>
        </w:tc>
        <w:tc>
          <w:tcPr>
            <w:tcW w:type="dxa" w:w="48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"SOC 2 available on request. Addressed requirements, MT specifics, privacy by design. Explained their compliance approach. Mentioned controls for PII and CUI. Overall good response."</w:t>
            </w:r>
          </w:p>
        </w:tc>
        <w:tc>
          <w:tcPr>
            <w:tcW w:type="dxa" w:w="1960"/>
            <w:tcBorders>
              <w:top w:val="single" w:color="BFBFBF" w:sz="4"/>
              <w:start w:val="single" w:color="BFBFBF" w:sz="4"/>
              <w:bottom w:val="single" w:color="BFBFBF" w:sz="4"/>
              <w:end w:val="single" w:color="BFBFBF" w:sz="4"/>
            </w:tcBorders>
            <w:shd w:fill="D9F0E0" w:val="clear"/>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MOSTLY — SOC 2 is the lever</w:t>
            </w:r>
          </w:p>
        </w:tc>
      </w:tr>
      <w:tr>
        <w:tc>
          <w:tcPr>
            <w:tcW w:type="dxa" w:w="2600"/>
            <w:tcBorders>
              <w:top w:val="single" w:color="BFBFBF" w:sz="4"/>
              <w:start w:val="single" w:color="BFBFBF" w:sz="4"/>
              <w:bottom w:val="single" w:color="BFBFBF" w:sz="4"/>
              <w:end w:val="single" w:color="BFBFBF" w:sz="4"/>
            </w:tcBorders>
            <w:shd w:fill="F2F2F2" w:val="clear"/>
            <w:tcMar>
              <w:top w:type="dxa" w:w="100"/>
              <w:start w:type="dxa" w:w="140"/>
              <w:bottom w:type="dxa" w:w="100"/>
              <w:end w:type="dxa" w:w="140"/>
            </w:tcMar>
            <w:vAlign w:val="top"/>
          </w:tcPr>
          <w:p>
            <w:pPr>
              <w:jc w:val="left"/>
            </w:pPr>
            <w:r>
              <w:rPr>
                <w:rFonts w:ascii="Arial" w:cs="Arial" w:eastAsia="Arial" w:hAnsi="Arial"/>
                <w:b/>
                <w:bCs/>
                <w:color w:val="000000"/>
                <w:sz w:val="18"/>
                <w:szCs w:val="18"/>
              </w:rPr>
              <w:t xml:space="preserve">Company Profile &amp; Resumes (T1)</w:t>
            </w:r>
          </w:p>
        </w:tc>
        <w:tc>
          <w:tcPr>
            <w:tcW w:type="dxa" w:w="4800"/>
            <w:tcBorders>
              <w:top w:val="single" w:color="BFBFBF" w:sz="4"/>
              <w:start w:val="single" w:color="BFBFBF" w:sz="4"/>
              <w:bottom w:val="single" w:color="BFBFBF" w:sz="4"/>
              <w:end w:val="single" w:color="BFBFBF" w:sz="4"/>
            </w:tcBorders>
            <w:shd w:fill="F2F2F2" w:val="clear"/>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"Relevant client service experience, with huge programs. Key staff with relevant experience and skills. Missing some details around their experience. Mostly private sector, only one client is public sector. Resumes were not true resumes, just listing staff with no qualifications, education or experience. No employee count or founding date."</w:t>
            </w:r>
          </w:p>
        </w:tc>
        <w:tc>
          <w:tcPr>
            <w:tcW w:type="dxa" w:w="1960"/>
            <w:tcBorders>
              <w:top w:val="single" w:color="BFBFBF" w:sz="4"/>
              <w:start w:val="single" w:color="BFBFBF" w:sz="4"/>
              <w:bottom w:val="single" w:color="BFBFBF" w:sz="4"/>
              <w:end w:val="single" w:color="BFBFBF" w:sz="4"/>
            </w:tcBorders>
            <w:shd w:fill="FBE5E5" w:val="clear"/>
            <w:tcMar>
              <w:top w:type="dxa" w:w="100"/>
              <w:start w:type="dxa" w:w="140"/>
              <w:bottom w:type="dxa" w:w="100"/>
              <w:end w:type="dxa" w:w="140"/>
            </w:tcMar>
            <w:vAlign w:val="top"/>
          </w:tcPr>
          <w:p>
            <w:pPr>
              <w:jc w:val="left"/>
            </w:pPr>
            <w:r>
              <w:rPr>
                <w:rFonts w:ascii="Arial" w:cs="Arial" w:eastAsia="Arial" w:hAnsi="Arial"/>
                <w:b/>
                <w:bCs/>
                <w:color w:val="000000"/>
                <w:sz w:val="18"/>
                <w:szCs w:val="18"/>
              </w:rPr>
              <w:t xml:space="preserve">YES — Full resume rebuild + add public-sector PP anchors + company facts</w:t>
            </w:r>
          </w:p>
        </w:tc>
      </w:tr>
      <w:tr>
        <w:tc>
          <w:tcPr>
            <w:tcW w:type="dxa" w:w="26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left"/>
            </w:pPr>
            <w:r>
              <w:rPr>
                <w:rFonts w:ascii="Arial" w:cs="Arial" w:eastAsia="Arial" w:hAnsi="Arial"/>
                <w:b/>
                <w:bCs/>
                <w:color w:val="000000"/>
                <w:sz w:val="18"/>
                <w:szCs w:val="18"/>
              </w:rPr>
              <w:t xml:space="preserve">Value &amp; Utility (T2)</w:t>
            </w:r>
          </w:p>
        </w:tc>
        <w:tc>
          <w:tcPr>
            <w:tcW w:type="dxa" w:w="48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"Concrete MT use cases. Some value is still in pilot stage. Mostly projections."</w:t>
            </w:r>
          </w:p>
        </w:tc>
        <w:tc>
          <w:tcPr>
            <w:tcW w:type="dxa" w:w="1960"/>
            <w:tcBorders>
              <w:top w:val="single" w:color="BFBFBF" w:sz="4"/>
              <w:start w:val="single" w:color="BFBFBF" w:sz="4"/>
              <w:bottom w:val="single" w:color="BFBFBF" w:sz="4"/>
              <w:end w:val="single" w:color="BFBFBF" w:sz="4"/>
            </w:tcBorders>
            <w:shd w:fill="FFF4D6" w:val="clear"/>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PARTIAL — Need real deployments, not projections</w:t>
            </w:r>
          </w:p>
        </w:tc>
      </w:tr>
      <w:tr>
        <w:tc>
          <w:tcPr>
            <w:tcW w:type="dxa" w:w="2600"/>
            <w:tcBorders>
              <w:top w:val="single" w:color="BFBFBF" w:sz="4"/>
              <w:start w:val="single" w:color="BFBFBF" w:sz="4"/>
              <w:bottom w:val="single" w:color="BFBFBF" w:sz="4"/>
              <w:end w:val="single" w:color="BFBFBF" w:sz="4"/>
            </w:tcBorders>
            <w:shd w:fill="F2F2F2" w:val="clear"/>
            <w:tcMar>
              <w:top w:type="dxa" w:w="100"/>
              <w:start w:type="dxa" w:w="140"/>
              <w:bottom w:type="dxa" w:w="100"/>
              <w:end w:type="dxa" w:w="140"/>
            </w:tcMar>
            <w:vAlign w:val="top"/>
          </w:tcPr>
          <w:p>
            <w:pPr>
              <w:jc w:val="left"/>
            </w:pPr>
            <w:r>
              <w:rPr>
                <w:rFonts w:ascii="Arial" w:cs="Arial" w:eastAsia="Arial" w:hAnsi="Arial"/>
                <w:b/>
                <w:bCs/>
                <w:color w:val="000000"/>
                <w:sz w:val="18"/>
                <w:szCs w:val="18"/>
              </w:rPr>
              <w:t xml:space="preserve">Ease of Adoption (T2)</w:t>
            </w:r>
          </w:p>
        </w:tc>
        <w:tc>
          <w:tcPr>
            <w:tcW w:type="dxa" w:w="4800"/>
            <w:tcBorders>
              <w:top w:val="single" w:color="BFBFBF" w:sz="4"/>
              <w:start w:val="single" w:color="BFBFBF" w:sz="4"/>
              <w:bottom w:val="single" w:color="BFBFBF" w:sz="4"/>
              <w:end w:val="single" w:color="BFBFBF" w:sz="4"/>
            </w:tcBorders>
            <w:shd w:fill="F2F2F2" w:val="clear"/>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"Comprehensive overview of deployment process. Rapid, 2 months for full implementation. Still hard to determine viability based on pilot phase. Onboarding training."</w:t>
            </w:r>
          </w:p>
        </w:tc>
        <w:tc>
          <w:tcPr>
            <w:tcW w:type="dxa" w:w="1960"/>
            <w:tcBorders>
              <w:top w:val="single" w:color="BFBFBF" w:sz="4"/>
              <w:start w:val="single" w:color="BFBFBF" w:sz="4"/>
              <w:bottom w:val="single" w:color="BFBFBF" w:sz="4"/>
              <w:end w:val="single" w:color="BFBFBF" w:sz="4"/>
            </w:tcBorders>
            <w:shd w:fill="FFF4D6" w:val="clear"/>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PARTIAL — Maturity proof needed</w:t>
            </w:r>
          </w:p>
        </w:tc>
      </w:tr>
      <w:tr>
        <w:tc>
          <w:tcPr>
            <w:tcW w:type="dxa" w:w="26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left"/>
            </w:pPr>
            <w:r>
              <w:rPr>
                <w:rFonts w:ascii="Arial" w:cs="Arial" w:eastAsia="Arial" w:hAnsi="Arial"/>
                <w:b/>
                <w:bCs/>
                <w:color w:val="000000"/>
                <w:sz w:val="18"/>
                <w:szCs w:val="18"/>
              </w:rPr>
              <w:t xml:space="preserve">Security/Privacy (T2)</w:t>
            </w:r>
          </w:p>
        </w:tc>
        <w:tc>
          <w:tcPr>
            <w:tcW w:type="dxa" w:w="48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"Use TLS 1.3 for in transit, identify what the infrastructure and authorization is. Controls for PII. While short, security controls were good for a SaaS product."</w:t>
            </w:r>
          </w:p>
        </w:tc>
        <w:tc>
          <w:tcPr>
            <w:tcW w:type="dxa" w:w="1960"/>
            <w:tcBorders>
              <w:top w:val="single" w:color="BFBFBF" w:sz="4"/>
              <w:start w:val="single" w:color="BFBFBF" w:sz="4"/>
              <w:bottom w:val="single" w:color="BFBFBF" w:sz="4"/>
              <w:end w:val="single" w:color="BFBFBF" w:sz="4"/>
            </w:tcBorders>
            <w:shd w:fill="D9F0E0" w:val="clear"/>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YES — Expand security narrative depth</w:t>
            </w:r>
          </w:p>
        </w:tc>
      </w:tr>
      <w:tr>
        <w:tc>
          <w:tcPr>
            <w:tcW w:type="dxa" w:w="2600"/>
            <w:tcBorders>
              <w:top w:val="single" w:color="BFBFBF" w:sz="4"/>
              <w:start w:val="single" w:color="BFBFBF" w:sz="4"/>
              <w:bottom w:val="single" w:color="BFBFBF" w:sz="4"/>
              <w:end w:val="single" w:color="BFBFBF" w:sz="4"/>
            </w:tcBorders>
            <w:shd w:fill="F2F2F2" w:val="clear"/>
            <w:tcMar>
              <w:top w:type="dxa" w:w="100"/>
              <w:start w:type="dxa" w:w="140"/>
              <w:bottom w:type="dxa" w:w="100"/>
              <w:end w:type="dxa" w:w="140"/>
            </w:tcMar>
            <w:vAlign w:val="top"/>
          </w:tcPr>
          <w:p>
            <w:pPr>
              <w:jc w:val="left"/>
            </w:pPr>
            <w:r>
              <w:rPr>
                <w:rFonts w:ascii="Arial" w:cs="Arial" w:eastAsia="Arial" w:hAnsi="Arial"/>
                <w:b/>
                <w:bCs/>
                <w:color w:val="000000"/>
                <w:sz w:val="18"/>
                <w:szCs w:val="18"/>
              </w:rPr>
              <w:t xml:space="preserve">Cost Score (T2)</w:t>
            </w:r>
          </w:p>
        </w:tc>
        <w:tc>
          <w:tcPr>
            <w:tcW w:type="dxa" w:w="4800"/>
            <w:tcBorders>
              <w:top w:val="single" w:color="BFBFBF" w:sz="4"/>
              <w:start w:val="single" w:color="BFBFBF" w:sz="4"/>
              <w:bottom w:val="single" w:color="BFBFBF" w:sz="4"/>
              <w:end w:val="single" w:color="BFBFBF" w:sz="4"/>
            </w:tcBorders>
            <w:shd w:fill="F2F2F2" w:val="clear"/>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VBX bid $3,225,000 against lowest competitor at $14,247 (Magic School). Cost formula awards inverse ratio. 4th highest priced of 31 cost submissions.</w:t>
            </w:r>
          </w:p>
        </w:tc>
        <w:tc>
          <w:tcPr>
            <w:tcW w:type="dxa" w:w="1960"/>
            <w:tcBorders>
              <w:top w:val="single" w:color="BFBFBF" w:sz="4"/>
              <w:start w:val="single" w:color="BFBFBF" w:sz="4"/>
              <w:bottom w:val="single" w:color="BFBFBF" w:sz="4"/>
              <w:end w:val="single" w:color="BFBFBF" w:sz="4"/>
            </w:tcBorders>
            <w:shd w:fill="FBE5E5" w:val="clear"/>
            <w:tcMar>
              <w:top w:type="dxa" w:w="100"/>
              <w:start w:type="dxa" w:w="140"/>
              <w:bottom w:type="dxa" w:w="100"/>
              <w:end w:type="dxa" w:w="140"/>
            </w:tcMar>
            <w:vAlign w:val="top"/>
          </w:tcPr>
          <w:p>
            <w:pPr>
              <w:jc w:val="left"/>
            </w:pPr>
            <w:r>
              <w:rPr>
                <w:rFonts w:ascii="Arial" w:cs="Arial" w:eastAsia="Arial" w:hAnsi="Arial"/>
                <w:b/>
                <w:bCs/>
                <w:color w:val="000000"/>
                <w:sz w:val="18"/>
                <w:szCs w:val="18"/>
              </w:rPr>
              <w:t xml:space="preserve">MUST FIX — TO pricing playbook is mandatory</w:t>
            </w:r>
          </w:p>
        </w:tc>
      </w:tr>
    </w:tbl>
    <w:p>
      <w:pPr>
        <w:pStyle w:val="Heading2"/>
        <w:spacing w:after="100" w:before="220"/>
      </w:pPr>
      <w:r>
        <w:rPr>
          <w:rFonts w:ascii="Arial" w:cs="Arial" w:eastAsia="Arial" w:hAnsi="Arial"/>
          <w:b/>
          <w:bCs/>
          <w:color w:val="232D5A"/>
          <w:sz w:val="24"/>
          <w:szCs w:val="24"/>
        </w:rPr>
        <w:t xml:space="preserve">3.4  Synthesis — Five Score-Killing Patterns</w:t>
      </w:r>
    </w:p>
    <w:p>
      <w:pPr>
        <w:spacing w:after="60" w:before="80"/>
        <w:jc w:val="left"/>
      </w:pPr>
      <w:r>
        <w:rPr>
          <w:rFonts w:ascii="Arial" w:cs="Arial" w:eastAsia="Arial" w:hAnsi="Arial"/>
          <w:b w:val="false"/>
          <w:bCs w:val="false"/>
          <w:i w:val="false"/>
          <w:iCs w:val="false"/>
          <w:color w:val="000000"/>
          <w:sz w:val="20"/>
          <w:szCs w:val="20"/>
        </w:rPr>
        <w:t xml:space="preserve">1.  Tech architecture diagram described as "confusing" — visual deliverables underperformed the narrative. Diagram redesign is the single highest-leverage fix.</w:t>
      </w:r>
    </w:p>
    <w:p>
      <w:pPr>
        <w:spacing w:after="60" w:before="80"/>
        <w:jc w:val="left"/>
      </w:pPr>
      <w:r>
        <w:rPr>
          <w:rFonts w:ascii="Arial" w:cs="Arial" w:eastAsia="Arial" w:hAnsi="Arial"/>
          <w:b w:val="false"/>
          <w:bCs w:val="false"/>
          <w:i w:val="false"/>
          <w:iCs w:val="false"/>
          <w:color w:val="000000"/>
          <w:sz w:val="20"/>
          <w:szCs w:val="20"/>
        </w:rPr>
        <w:t xml:space="preserve">2.  Resumes flagged as "not true resumes, just listing staff with no qualifications, education or experience" — staff packaging discipline gap. Fixable immediately with a standardized resume template (3-5 pages each: education, certs, federal-analog experience, role-specific keywords).</w:t>
      </w:r>
    </w:p>
    <w:p>
      <w:pPr>
        <w:spacing w:after="60" w:before="80"/>
        <w:jc w:val="left"/>
      </w:pPr>
      <w:r>
        <w:rPr>
          <w:rFonts w:ascii="Arial" w:cs="Arial" w:eastAsia="Arial" w:hAnsi="Arial"/>
          <w:b w:val="false"/>
          <w:bCs w:val="false"/>
          <w:i w:val="false"/>
          <w:iCs w:val="false"/>
          <w:color w:val="000000"/>
          <w:sz w:val="20"/>
          <w:szCs w:val="20"/>
        </w:rPr>
        <w:t xml:space="preserve">3.  Past performance read as "mostly private sector, only one client is public sector" — Kaiser, Cigna, Solgenie are private. CA DHCS is the only public anchor. The Montana win itself is the next public-sector anchor. HCPSS adds a third. Future bids should foreground these.</w:t>
      </w:r>
    </w:p>
    <w:p>
      <w:pPr>
        <w:spacing w:after="60" w:before="80"/>
        <w:jc w:val="left"/>
      </w:pPr>
      <w:r>
        <w:rPr>
          <w:rFonts w:ascii="Arial" w:cs="Arial" w:eastAsia="Arial" w:hAnsi="Arial"/>
          <w:b w:val="false"/>
          <w:bCs w:val="false"/>
          <w:i w:val="false"/>
          <w:iCs w:val="false"/>
          <w:color w:val="000000"/>
          <w:sz w:val="20"/>
          <w:szCs w:val="20"/>
        </w:rPr>
        <w:t xml:space="preserve">4.  SOC 2 "available upon request" language was flagged in both T1 and T2 — the SOC 2 Type II gap continues to suppress scoring. "Available upon request" reads as defensive. Better language: "SOC 2 Type II readiness assessment in progress; controls mapped to NIST 800-53 Moderate baseline; ISO 27001:2022 readiness via TES Consultants advisory engagement."</w:t>
      </w:r>
    </w:p>
    <w:p>
      <w:pPr>
        <w:spacing w:after="60" w:before="80"/>
        <w:jc w:val="left"/>
      </w:pPr>
      <w:r>
        <w:rPr>
          <w:rFonts w:ascii="Arial" w:cs="Arial" w:eastAsia="Arial" w:hAnsi="Arial"/>
          <w:b w:val="false"/>
          <w:bCs w:val="false"/>
          <w:i w:val="false"/>
          <w:iCs w:val="false"/>
          <w:color w:val="000000"/>
          <w:sz w:val="20"/>
          <w:szCs w:val="20"/>
        </w:rPr>
        <w:t xml:space="preserve">5.  Cost score 0.88/200 is the single biggest threat to task order capture. With cost weighted ≥ 20% on every TO over $100K, VBX must either rebuild pricing strategy for TO competitions OR demonstrate value premium that justifies the cost gap. Recommend: TO pricing playbook with three-tier pricing model (penetration / market-rate / value-premium) based on TO competitive intensity.</w:t>
      </w:r>
    </w:p>
    <w:p>
      <w:r>
        <w:br w:type="page"/>
      </w:r>
    </w:p>
    <w:p>
      <w:pPr>
        <w:pStyle w:val="Heading1"/>
        <w:pBdr>
          <w:bottom w:val="single" w:color="2EA891" w:sz="12" w:space="6"/>
        </w:pBdr>
        <w:spacing w:after="160" w:before="360"/>
      </w:pPr>
      <w:r>
        <w:rPr>
          <w:rFonts w:ascii="Arial" w:cs="Arial" w:eastAsia="Arial" w:hAnsi="Arial"/>
          <w:b/>
          <w:bCs/>
          <w:color w:val="232D5A"/>
          <w:sz w:val="30"/>
          <w:szCs w:val="30"/>
        </w:rPr>
        <w:t xml:space="preserve">4.  Competitive Landscape</w:t>
      </w:r>
    </w:p>
    <w:p>
      <w:pPr>
        <w:pStyle w:val="Heading2"/>
        <w:spacing w:after="100" w:before="220"/>
      </w:pPr>
      <w:r>
        <w:rPr>
          <w:rFonts w:ascii="Arial" w:cs="Arial" w:eastAsia="Arial" w:hAnsi="Arial"/>
          <w:b/>
          <w:bCs/>
          <w:color w:val="232D5A"/>
          <w:sz w:val="24"/>
          <w:szCs w:val="24"/>
        </w:rPr>
        <w:t xml:space="preserve">4.1  The Dual-Track Winners' Pool (n = 12)</w:t>
      </w:r>
    </w:p>
    <w:p>
      <w:pPr>
        <w:spacing w:after="100" w:before="80"/>
        <w:jc w:val="left"/>
      </w:pPr>
      <w:r>
        <w:rPr>
          <w:rFonts w:ascii="Arial" w:cs="Arial" w:eastAsia="Arial" w:hAnsi="Arial"/>
          <w:b w:val="false"/>
          <w:bCs w:val="false"/>
          <w:i w:val="false"/>
          <w:iCs w:val="false"/>
          <w:color w:val="000000"/>
          <w:sz w:val="20"/>
          <w:szCs w:val="20"/>
        </w:rPr>
        <w:t xml:space="preserve">These are the 12 vendors awarded BOTH Track 1 and Track 2. This is the most direct competitive set for any TO that calls for both services and product/platform delivery. VBX ranks 12th of 12 by combined technical score — at the bottom of the pool, but in the pool.</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700"/>
        <w:gridCol w:w="5200"/>
        <w:gridCol w:w="1200"/>
        <w:gridCol w:w="1200"/>
        <w:gridCol w:w="1060"/>
      </w:tblGrid>
      <w:tr>
        <w:tc>
          <w:tcPr>
            <w:tcW w:type="dxa" w:w="700"/>
            <w:tcBorders>
              <w:top w:val="single" w:color="BFBFBF" w:sz="4"/>
              <w:start w:val="single" w:color="BFBFBF" w:sz="4"/>
              <w:bottom w:val="single" w:color="BFBFBF" w:sz="4"/>
              <w:end w:val="single" w:color="BFBFBF" w:sz="4"/>
            </w:tcBorders>
            <w:shd w:fill="232D5A" w:val="clear"/>
            <w:tcMar>
              <w:top w:type="dxa" w:w="100"/>
              <w:start w:type="dxa" w:w="140"/>
              <w:bottom w:type="dxa" w:w="100"/>
              <w:end w:type="dxa" w:w="140"/>
            </w:tcMar>
            <w:vAlign w:val="top"/>
          </w:tcPr>
          <w:p>
            <w:pPr>
              <w:jc w:val="left"/>
            </w:pPr>
            <w:r>
              <w:rPr>
                <w:rFonts w:ascii="Arial" w:cs="Arial" w:eastAsia="Arial" w:hAnsi="Arial"/>
                <w:b/>
                <w:bCs/>
                <w:color w:val="FFFFFF"/>
                <w:sz w:val="18"/>
                <w:szCs w:val="18"/>
              </w:rPr>
              <w:t xml:space="preserve">Rank</w:t>
            </w:r>
          </w:p>
        </w:tc>
        <w:tc>
          <w:tcPr>
            <w:tcW w:type="dxa" w:w="5200"/>
            <w:tcBorders>
              <w:top w:val="single" w:color="BFBFBF" w:sz="4"/>
              <w:start w:val="single" w:color="BFBFBF" w:sz="4"/>
              <w:bottom w:val="single" w:color="BFBFBF" w:sz="4"/>
              <w:end w:val="single" w:color="BFBFBF" w:sz="4"/>
            </w:tcBorders>
            <w:shd w:fill="232D5A" w:val="clear"/>
            <w:tcMar>
              <w:top w:type="dxa" w:w="100"/>
              <w:start w:type="dxa" w:w="140"/>
              <w:bottom w:type="dxa" w:w="100"/>
              <w:end w:type="dxa" w:w="140"/>
            </w:tcMar>
            <w:vAlign w:val="top"/>
          </w:tcPr>
          <w:p>
            <w:pPr>
              <w:jc w:val="left"/>
            </w:pPr>
            <w:r>
              <w:rPr>
                <w:rFonts w:ascii="Arial" w:cs="Arial" w:eastAsia="Arial" w:hAnsi="Arial"/>
                <w:b/>
                <w:bCs/>
                <w:color w:val="FFFFFF"/>
                <w:sz w:val="18"/>
                <w:szCs w:val="18"/>
              </w:rPr>
              <w:t xml:space="preserve">Vendor</w:t>
            </w:r>
          </w:p>
        </w:tc>
        <w:tc>
          <w:tcPr>
            <w:tcW w:type="dxa" w:w="1200"/>
            <w:tcBorders>
              <w:top w:val="single" w:color="BFBFBF" w:sz="4"/>
              <w:start w:val="single" w:color="BFBFBF" w:sz="4"/>
              <w:bottom w:val="single" w:color="BFBFBF" w:sz="4"/>
              <w:end w:val="single" w:color="BFBFBF" w:sz="4"/>
            </w:tcBorders>
            <w:shd w:fill="232D5A" w:val="clear"/>
            <w:tcMar>
              <w:top w:type="dxa" w:w="100"/>
              <w:start w:type="dxa" w:w="140"/>
              <w:bottom w:type="dxa" w:w="100"/>
              <w:end w:type="dxa" w:w="140"/>
            </w:tcMar>
            <w:vAlign w:val="top"/>
          </w:tcPr>
          <w:p>
            <w:pPr>
              <w:jc w:val="left"/>
            </w:pPr>
            <w:r>
              <w:rPr>
                <w:rFonts w:ascii="Arial" w:cs="Arial" w:eastAsia="Arial" w:hAnsi="Arial"/>
                <w:b/>
                <w:bCs/>
                <w:color w:val="FFFFFF"/>
                <w:sz w:val="18"/>
                <w:szCs w:val="18"/>
              </w:rPr>
              <w:t xml:space="preserve">Track 1</w:t>
            </w:r>
          </w:p>
        </w:tc>
        <w:tc>
          <w:tcPr>
            <w:tcW w:type="dxa" w:w="1200"/>
            <w:tcBorders>
              <w:top w:val="single" w:color="BFBFBF" w:sz="4"/>
              <w:start w:val="single" w:color="BFBFBF" w:sz="4"/>
              <w:bottom w:val="single" w:color="BFBFBF" w:sz="4"/>
              <w:end w:val="single" w:color="BFBFBF" w:sz="4"/>
            </w:tcBorders>
            <w:shd w:fill="232D5A" w:val="clear"/>
            <w:tcMar>
              <w:top w:type="dxa" w:w="100"/>
              <w:start w:type="dxa" w:w="140"/>
              <w:bottom w:type="dxa" w:w="100"/>
              <w:end w:type="dxa" w:w="140"/>
            </w:tcMar>
            <w:vAlign w:val="top"/>
          </w:tcPr>
          <w:p>
            <w:pPr>
              <w:jc w:val="left"/>
            </w:pPr>
            <w:r>
              <w:rPr>
                <w:rFonts w:ascii="Arial" w:cs="Arial" w:eastAsia="Arial" w:hAnsi="Arial"/>
                <w:b/>
                <w:bCs/>
                <w:color w:val="FFFFFF"/>
                <w:sz w:val="18"/>
                <w:szCs w:val="18"/>
              </w:rPr>
              <w:t xml:space="preserve">Track 2</w:t>
            </w:r>
          </w:p>
        </w:tc>
        <w:tc>
          <w:tcPr>
            <w:tcW w:type="dxa" w:w="1060"/>
            <w:tcBorders>
              <w:top w:val="single" w:color="BFBFBF" w:sz="4"/>
              <w:start w:val="single" w:color="BFBFBF" w:sz="4"/>
              <w:bottom w:val="single" w:color="BFBFBF" w:sz="4"/>
              <w:end w:val="single" w:color="BFBFBF" w:sz="4"/>
            </w:tcBorders>
            <w:shd w:fill="232D5A" w:val="clear"/>
            <w:tcMar>
              <w:top w:type="dxa" w:w="100"/>
              <w:start w:type="dxa" w:w="140"/>
              <w:bottom w:type="dxa" w:w="100"/>
              <w:end w:type="dxa" w:w="140"/>
            </w:tcMar>
            <w:vAlign w:val="top"/>
          </w:tcPr>
          <w:p>
            <w:pPr>
              <w:jc w:val="left"/>
            </w:pPr>
            <w:r>
              <w:rPr>
                <w:rFonts w:ascii="Arial" w:cs="Arial" w:eastAsia="Arial" w:hAnsi="Arial"/>
                <w:b/>
                <w:bCs/>
                <w:color w:val="FFFFFF"/>
                <w:sz w:val="18"/>
                <w:szCs w:val="18"/>
              </w:rPr>
              <w:t xml:space="preserve">Combined</w:t>
            </w:r>
          </w:p>
        </w:tc>
      </w:tr>
      <w:tr>
        <w:tc>
          <w:tcPr>
            <w:tcW w:type="dxa" w:w="7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center"/>
            </w:pPr>
            <w:r>
              <w:rPr>
                <w:rFonts w:ascii="Arial" w:cs="Arial" w:eastAsia="Arial" w:hAnsi="Arial"/>
                <w:b w:val="false"/>
                <w:bCs w:val="false"/>
                <w:color w:val="000000"/>
                <w:sz w:val="18"/>
                <w:szCs w:val="18"/>
              </w:rPr>
              <w:t xml:space="preserve">1</w:t>
            </w:r>
          </w:p>
        </w:tc>
        <w:tc>
          <w:tcPr>
            <w:tcW w:type="dxa" w:w="52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22nd Century Technologies, Inc.</w:t>
            </w:r>
          </w:p>
        </w:tc>
        <w:tc>
          <w:tcPr>
            <w:tcW w:type="dxa" w:w="12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right"/>
            </w:pPr>
            <w:r>
              <w:rPr>
                <w:rFonts w:ascii="Arial" w:cs="Arial" w:eastAsia="Arial" w:hAnsi="Arial"/>
                <w:b w:val="false"/>
                <w:bCs w:val="false"/>
                <w:color w:val="000000"/>
                <w:sz w:val="18"/>
                <w:szCs w:val="18"/>
              </w:rPr>
              <w:t xml:space="preserve">927.0</w:t>
            </w:r>
          </w:p>
        </w:tc>
        <w:tc>
          <w:tcPr>
            <w:tcW w:type="dxa" w:w="12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right"/>
            </w:pPr>
            <w:r>
              <w:rPr>
                <w:rFonts w:ascii="Arial" w:cs="Arial" w:eastAsia="Arial" w:hAnsi="Arial"/>
                <w:b w:val="false"/>
                <w:bCs w:val="false"/>
                <w:color w:val="000000"/>
                <w:sz w:val="18"/>
                <w:szCs w:val="18"/>
              </w:rPr>
              <w:t xml:space="preserve">751.6</w:t>
            </w:r>
          </w:p>
        </w:tc>
        <w:tc>
          <w:tcPr>
            <w:tcW w:type="dxa" w:w="106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right"/>
            </w:pPr>
            <w:r>
              <w:rPr>
                <w:rFonts w:ascii="Arial" w:cs="Arial" w:eastAsia="Arial" w:hAnsi="Arial"/>
                <w:b/>
                <w:bCs/>
                <w:color w:val="000000"/>
                <w:sz w:val="18"/>
                <w:szCs w:val="18"/>
              </w:rPr>
              <w:t xml:space="preserve">1,678.6</w:t>
            </w:r>
          </w:p>
        </w:tc>
      </w:tr>
      <w:tr>
        <w:tc>
          <w:tcPr>
            <w:tcW w:type="dxa" w:w="7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center"/>
            </w:pPr>
            <w:r>
              <w:rPr>
                <w:rFonts w:ascii="Arial" w:cs="Arial" w:eastAsia="Arial" w:hAnsi="Arial"/>
                <w:b w:val="false"/>
                <w:bCs w:val="false"/>
                <w:color w:val="000000"/>
                <w:sz w:val="18"/>
                <w:szCs w:val="18"/>
              </w:rPr>
              <w:t xml:space="preserve">2</w:t>
            </w:r>
          </w:p>
        </w:tc>
        <w:tc>
          <w:tcPr>
            <w:tcW w:type="dxa" w:w="52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OpenTeams LLC</w:t>
            </w:r>
          </w:p>
        </w:tc>
        <w:tc>
          <w:tcPr>
            <w:tcW w:type="dxa" w:w="12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right"/>
            </w:pPr>
            <w:r>
              <w:rPr>
                <w:rFonts w:ascii="Arial" w:cs="Arial" w:eastAsia="Arial" w:hAnsi="Arial"/>
                <w:b w:val="false"/>
                <w:bCs w:val="false"/>
                <w:color w:val="000000"/>
                <w:sz w:val="18"/>
                <w:szCs w:val="18"/>
              </w:rPr>
              <w:t xml:space="preserve">918.0</w:t>
            </w:r>
          </w:p>
        </w:tc>
        <w:tc>
          <w:tcPr>
            <w:tcW w:type="dxa" w:w="12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right"/>
            </w:pPr>
            <w:r>
              <w:rPr>
                <w:rFonts w:ascii="Arial" w:cs="Arial" w:eastAsia="Arial" w:hAnsi="Arial"/>
                <w:b w:val="false"/>
                <w:bCs w:val="false"/>
                <w:color w:val="000000"/>
                <w:sz w:val="18"/>
                <w:szCs w:val="18"/>
              </w:rPr>
              <w:t xml:space="preserve">749.7</w:t>
            </w:r>
          </w:p>
        </w:tc>
        <w:tc>
          <w:tcPr>
            <w:tcW w:type="dxa" w:w="106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right"/>
            </w:pPr>
            <w:r>
              <w:rPr>
                <w:rFonts w:ascii="Arial" w:cs="Arial" w:eastAsia="Arial" w:hAnsi="Arial"/>
                <w:b/>
                <w:bCs/>
                <w:color w:val="000000"/>
                <w:sz w:val="18"/>
                <w:szCs w:val="18"/>
              </w:rPr>
              <w:t xml:space="preserve">1,667.7</w:t>
            </w:r>
          </w:p>
        </w:tc>
      </w:tr>
      <w:tr>
        <w:tc>
          <w:tcPr>
            <w:tcW w:type="dxa" w:w="7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center"/>
            </w:pPr>
            <w:r>
              <w:rPr>
                <w:rFonts w:ascii="Arial" w:cs="Arial" w:eastAsia="Arial" w:hAnsi="Arial"/>
                <w:b w:val="false"/>
                <w:bCs w:val="false"/>
                <w:color w:val="000000"/>
                <w:sz w:val="18"/>
                <w:szCs w:val="18"/>
              </w:rPr>
              <w:t xml:space="preserve">3</w:t>
            </w:r>
          </w:p>
        </w:tc>
        <w:tc>
          <w:tcPr>
            <w:tcW w:type="dxa" w:w="52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In Time Tec, LLC</w:t>
            </w:r>
          </w:p>
        </w:tc>
        <w:tc>
          <w:tcPr>
            <w:tcW w:type="dxa" w:w="12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right"/>
            </w:pPr>
            <w:r>
              <w:rPr>
                <w:rFonts w:ascii="Arial" w:cs="Arial" w:eastAsia="Arial" w:hAnsi="Arial"/>
                <w:b w:val="false"/>
                <w:bCs w:val="false"/>
                <w:color w:val="000000"/>
                <w:sz w:val="18"/>
                <w:szCs w:val="18"/>
              </w:rPr>
              <w:t xml:space="preserve">928.0</w:t>
            </w:r>
          </w:p>
        </w:tc>
        <w:tc>
          <w:tcPr>
            <w:tcW w:type="dxa" w:w="12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right"/>
            </w:pPr>
            <w:r>
              <w:rPr>
                <w:rFonts w:ascii="Arial" w:cs="Arial" w:eastAsia="Arial" w:hAnsi="Arial"/>
                <w:b w:val="false"/>
                <w:bCs w:val="false"/>
                <w:color w:val="000000"/>
                <w:sz w:val="18"/>
                <w:szCs w:val="18"/>
              </w:rPr>
              <w:t xml:space="preserve">729.3</w:t>
            </w:r>
          </w:p>
        </w:tc>
        <w:tc>
          <w:tcPr>
            <w:tcW w:type="dxa" w:w="106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right"/>
            </w:pPr>
            <w:r>
              <w:rPr>
                <w:rFonts w:ascii="Arial" w:cs="Arial" w:eastAsia="Arial" w:hAnsi="Arial"/>
                <w:b/>
                <w:bCs/>
                <w:color w:val="000000"/>
                <w:sz w:val="18"/>
                <w:szCs w:val="18"/>
              </w:rPr>
              <w:t xml:space="preserve">1,657.3</w:t>
            </w:r>
          </w:p>
        </w:tc>
      </w:tr>
      <w:tr>
        <w:tc>
          <w:tcPr>
            <w:tcW w:type="dxa" w:w="7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center"/>
            </w:pPr>
            <w:r>
              <w:rPr>
                <w:rFonts w:ascii="Arial" w:cs="Arial" w:eastAsia="Arial" w:hAnsi="Arial"/>
                <w:b w:val="false"/>
                <w:bCs w:val="false"/>
                <w:color w:val="000000"/>
                <w:sz w:val="18"/>
                <w:szCs w:val="18"/>
              </w:rPr>
              <w:t xml:space="preserve">4</w:t>
            </w:r>
          </w:p>
        </w:tc>
        <w:tc>
          <w:tcPr>
            <w:tcW w:type="dxa" w:w="52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Cetrix Technologies LLC</w:t>
            </w:r>
          </w:p>
        </w:tc>
        <w:tc>
          <w:tcPr>
            <w:tcW w:type="dxa" w:w="12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right"/>
            </w:pPr>
            <w:r>
              <w:rPr>
                <w:rFonts w:ascii="Arial" w:cs="Arial" w:eastAsia="Arial" w:hAnsi="Arial"/>
                <w:b w:val="false"/>
                <w:bCs w:val="false"/>
                <w:color w:val="000000"/>
                <w:sz w:val="18"/>
                <w:szCs w:val="18"/>
              </w:rPr>
              <w:t xml:space="preserve">889.0</w:t>
            </w:r>
          </w:p>
        </w:tc>
        <w:tc>
          <w:tcPr>
            <w:tcW w:type="dxa" w:w="12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right"/>
            </w:pPr>
            <w:r>
              <w:rPr>
                <w:rFonts w:ascii="Arial" w:cs="Arial" w:eastAsia="Arial" w:hAnsi="Arial"/>
                <w:b w:val="false"/>
                <w:bCs w:val="false"/>
                <w:color w:val="000000"/>
                <w:sz w:val="18"/>
                <w:szCs w:val="18"/>
              </w:rPr>
              <w:t xml:space="preserve">767.5</w:t>
            </w:r>
          </w:p>
        </w:tc>
        <w:tc>
          <w:tcPr>
            <w:tcW w:type="dxa" w:w="106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right"/>
            </w:pPr>
            <w:r>
              <w:rPr>
                <w:rFonts w:ascii="Arial" w:cs="Arial" w:eastAsia="Arial" w:hAnsi="Arial"/>
                <w:b/>
                <w:bCs/>
                <w:color w:val="000000"/>
                <w:sz w:val="18"/>
                <w:szCs w:val="18"/>
              </w:rPr>
              <w:t xml:space="preserve">1,656.5</w:t>
            </w:r>
          </w:p>
        </w:tc>
      </w:tr>
      <w:tr>
        <w:tc>
          <w:tcPr>
            <w:tcW w:type="dxa" w:w="7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center"/>
            </w:pPr>
            <w:r>
              <w:rPr>
                <w:rFonts w:ascii="Arial" w:cs="Arial" w:eastAsia="Arial" w:hAnsi="Arial"/>
                <w:b w:val="false"/>
                <w:bCs w:val="false"/>
                <w:color w:val="000000"/>
                <w:sz w:val="18"/>
                <w:szCs w:val="18"/>
              </w:rPr>
              <w:t xml:space="preserve">5</w:t>
            </w:r>
          </w:p>
        </w:tc>
        <w:tc>
          <w:tcPr>
            <w:tcW w:type="dxa" w:w="52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Agentic Enterprise Solutions, Corp.</w:t>
            </w:r>
          </w:p>
        </w:tc>
        <w:tc>
          <w:tcPr>
            <w:tcW w:type="dxa" w:w="12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right"/>
            </w:pPr>
            <w:r>
              <w:rPr>
                <w:rFonts w:ascii="Arial" w:cs="Arial" w:eastAsia="Arial" w:hAnsi="Arial"/>
                <w:b w:val="false"/>
                <w:bCs w:val="false"/>
                <w:color w:val="000000"/>
                <w:sz w:val="18"/>
                <w:szCs w:val="18"/>
              </w:rPr>
              <w:t xml:space="preserve">853.0</w:t>
            </w:r>
          </w:p>
        </w:tc>
        <w:tc>
          <w:tcPr>
            <w:tcW w:type="dxa" w:w="12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right"/>
            </w:pPr>
            <w:r>
              <w:rPr>
                <w:rFonts w:ascii="Arial" w:cs="Arial" w:eastAsia="Arial" w:hAnsi="Arial"/>
                <w:b w:val="false"/>
                <w:bCs w:val="false"/>
                <w:color w:val="000000"/>
                <w:sz w:val="18"/>
                <w:szCs w:val="18"/>
              </w:rPr>
              <w:t xml:space="preserve">768.0</w:t>
            </w:r>
          </w:p>
        </w:tc>
        <w:tc>
          <w:tcPr>
            <w:tcW w:type="dxa" w:w="106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right"/>
            </w:pPr>
            <w:r>
              <w:rPr>
                <w:rFonts w:ascii="Arial" w:cs="Arial" w:eastAsia="Arial" w:hAnsi="Arial"/>
                <w:b/>
                <w:bCs/>
                <w:color w:val="000000"/>
                <w:sz w:val="18"/>
                <w:szCs w:val="18"/>
              </w:rPr>
              <w:t xml:space="preserve">1,621.0</w:t>
            </w:r>
          </w:p>
        </w:tc>
      </w:tr>
      <w:tr>
        <w:tc>
          <w:tcPr>
            <w:tcW w:type="dxa" w:w="7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center"/>
            </w:pPr>
            <w:r>
              <w:rPr>
                <w:rFonts w:ascii="Arial" w:cs="Arial" w:eastAsia="Arial" w:hAnsi="Arial"/>
                <w:b w:val="false"/>
                <w:bCs w:val="false"/>
                <w:color w:val="000000"/>
                <w:sz w:val="18"/>
                <w:szCs w:val="18"/>
              </w:rPr>
              <w:t xml:space="preserve">6</w:t>
            </w:r>
          </w:p>
        </w:tc>
        <w:tc>
          <w:tcPr>
            <w:tcW w:type="dxa" w:w="52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TipCo Automated Systems</w:t>
            </w:r>
          </w:p>
        </w:tc>
        <w:tc>
          <w:tcPr>
            <w:tcW w:type="dxa" w:w="12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right"/>
            </w:pPr>
            <w:r>
              <w:rPr>
                <w:rFonts w:ascii="Arial" w:cs="Arial" w:eastAsia="Arial" w:hAnsi="Arial"/>
                <w:b w:val="false"/>
                <w:bCs w:val="false"/>
                <w:color w:val="000000"/>
                <w:sz w:val="18"/>
                <w:szCs w:val="18"/>
              </w:rPr>
              <w:t xml:space="preserve">875.0</w:t>
            </w:r>
          </w:p>
        </w:tc>
        <w:tc>
          <w:tcPr>
            <w:tcW w:type="dxa" w:w="12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right"/>
            </w:pPr>
            <w:r>
              <w:rPr>
                <w:rFonts w:ascii="Arial" w:cs="Arial" w:eastAsia="Arial" w:hAnsi="Arial"/>
                <w:b w:val="false"/>
                <w:bCs w:val="false"/>
                <w:color w:val="000000"/>
                <w:sz w:val="18"/>
                <w:szCs w:val="18"/>
              </w:rPr>
              <w:t xml:space="preserve">716.0</w:t>
            </w:r>
          </w:p>
        </w:tc>
        <w:tc>
          <w:tcPr>
            <w:tcW w:type="dxa" w:w="106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right"/>
            </w:pPr>
            <w:r>
              <w:rPr>
                <w:rFonts w:ascii="Arial" w:cs="Arial" w:eastAsia="Arial" w:hAnsi="Arial"/>
                <w:b/>
                <w:bCs/>
                <w:color w:val="000000"/>
                <w:sz w:val="18"/>
                <w:szCs w:val="18"/>
              </w:rPr>
              <w:t xml:space="preserve">1,591.0</w:t>
            </w:r>
          </w:p>
        </w:tc>
      </w:tr>
      <w:tr>
        <w:tc>
          <w:tcPr>
            <w:tcW w:type="dxa" w:w="7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center"/>
            </w:pPr>
            <w:r>
              <w:rPr>
                <w:rFonts w:ascii="Arial" w:cs="Arial" w:eastAsia="Arial" w:hAnsi="Arial"/>
                <w:b w:val="false"/>
                <w:bCs w:val="false"/>
                <w:color w:val="000000"/>
                <w:sz w:val="18"/>
                <w:szCs w:val="18"/>
              </w:rPr>
              <w:t xml:space="preserve">7</w:t>
            </w:r>
          </w:p>
        </w:tc>
        <w:tc>
          <w:tcPr>
            <w:tcW w:type="dxa" w:w="52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Transform Digital LLC (SDLC Corp)</w:t>
            </w:r>
          </w:p>
        </w:tc>
        <w:tc>
          <w:tcPr>
            <w:tcW w:type="dxa" w:w="12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right"/>
            </w:pPr>
            <w:r>
              <w:rPr>
                <w:rFonts w:ascii="Arial" w:cs="Arial" w:eastAsia="Arial" w:hAnsi="Arial"/>
                <w:b w:val="false"/>
                <w:bCs w:val="false"/>
                <w:color w:val="000000"/>
                <w:sz w:val="18"/>
                <w:szCs w:val="18"/>
              </w:rPr>
              <w:t xml:space="preserve">859.0</w:t>
            </w:r>
          </w:p>
        </w:tc>
        <w:tc>
          <w:tcPr>
            <w:tcW w:type="dxa" w:w="12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right"/>
            </w:pPr>
            <w:r>
              <w:rPr>
                <w:rFonts w:ascii="Arial" w:cs="Arial" w:eastAsia="Arial" w:hAnsi="Arial"/>
                <w:b w:val="false"/>
                <w:bCs w:val="false"/>
                <w:color w:val="000000"/>
                <w:sz w:val="18"/>
                <w:szCs w:val="18"/>
              </w:rPr>
              <w:t xml:space="preserve">723.2</w:t>
            </w:r>
          </w:p>
        </w:tc>
        <w:tc>
          <w:tcPr>
            <w:tcW w:type="dxa" w:w="106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right"/>
            </w:pPr>
            <w:r>
              <w:rPr>
                <w:rFonts w:ascii="Arial" w:cs="Arial" w:eastAsia="Arial" w:hAnsi="Arial"/>
                <w:b/>
                <w:bCs/>
                <w:color w:val="000000"/>
                <w:sz w:val="18"/>
                <w:szCs w:val="18"/>
              </w:rPr>
              <w:t xml:space="preserve">1,582.2</w:t>
            </w:r>
          </w:p>
        </w:tc>
      </w:tr>
      <w:tr>
        <w:tc>
          <w:tcPr>
            <w:tcW w:type="dxa" w:w="7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center"/>
            </w:pPr>
            <w:r>
              <w:rPr>
                <w:rFonts w:ascii="Arial" w:cs="Arial" w:eastAsia="Arial" w:hAnsi="Arial"/>
                <w:b w:val="false"/>
                <w:bCs w:val="false"/>
                <w:color w:val="000000"/>
                <w:sz w:val="18"/>
                <w:szCs w:val="18"/>
              </w:rPr>
              <w:t xml:space="preserve">8</w:t>
            </w:r>
          </w:p>
        </w:tc>
        <w:tc>
          <w:tcPr>
            <w:tcW w:type="dxa" w:w="52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Carahsoft Technology Corporation</w:t>
            </w:r>
          </w:p>
        </w:tc>
        <w:tc>
          <w:tcPr>
            <w:tcW w:type="dxa" w:w="12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right"/>
            </w:pPr>
            <w:r>
              <w:rPr>
                <w:rFonts w:ascii="Arial" w:cs="Arial" w:eastAsia="Arial" w:hAnsi="Arial"/>
                <w:b w:val="false"/>
                <w:bCs w:val="false"/>
                <w:color w:val="000000"/>
                <w:sz w:val="18"/>
                <w:szCs w:val="18"/>
              </w:rPr>
              <w:t xml:space="preserve">870.0</w:t>
            </w:r>
          </w:p>
        </w:tc>
        <w:tc>
          <w:tcPr>
            <w:tcW w:type="dxa" w:w="12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right"/>
            </w:pPr>
            <w:r>
              <w:rPr>
                <w:rFonts w:ascii="Arial" w:cs="Arial" w:eastAsia="Arial" w:hAnsi="Arial"/>
                <w:b w:val="false"/>
                <w:bCs w:val="false"/>
                <w:color w:val="000000"/>
                <w:sz w:val="18"/>
                <w:szCs w:val="18"/>
              </w:rPr>
              <w:t xml:space="preserve">690.8</w:t>
            </w:r>
          </w:p>
        </w:tc>
        <w:tc>
          <w:tcPr>
            <w:tcW w:type="dxa" w:w="106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right"/>
            </w:pPr>
            <w:r>
              <w:rPr>
                <w:rFonts w:ascii="Arial" w:cs="Arial" w:eastAsia="Arial" w:hAnsi="Arial"/>
                <w:b/>
                <w:bCs/>
                <w:color w:val="000000"/>
                <w:sz w:val="18"/>
                <w:szCs w:val="18"/>
              </w:rPr>
              <w:t xml:space="preserve">1,560.8</w:t>
            </w:r>
          </w:p>
        </w:tc>
      </w:tr>
      <w:tr>
        <w:tc>
          <w:tcPr>
            <w:tcW w:type="dxa" w:w="7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center"/>
            </w:pPr>
            <w:r>
              <w:rPr>
                <w:rFonts w:ascii="Arial" w:cs="Arial" w:eastAsia="Arial" w:hAnsi="Arial"/>
                <w:b w:val="false"/>
                <w:bCs w:val="false"/>
                <w:color w:val="000000"/>
                <w:sz w:val="18"/>
                <w:szCs w:val="18"/>
              </w:rPr>
              <w:t xml:space="preserve">9</w:t>
            </w:r>
          </w:p>
        </w:tc>
        <w:tc>
          <w:tcPr>
            <w:tcW w:type="dxa" w:w="52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PYXIS Management Consulting Group LLC</w:t>
            </w:r>
          </w:p>
        </w:tc>
        <w:tc>
          <w:tcPr>
            <w:tcW w:type="dxa" w:w="12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right"/>
            </w:pPr>
            <w:r>
              <w:rPr>
                <w:rFonts w:ascii="Arial" w:cs="Arial" w:eastAsia="Arial" w:hAnsi="Arial"/>
                <w:b w:val="false"/>
                <w:bCs w:val="false"/>
                <w:color w:val="000000"/>
                <w:sz w:val="18"/>
                <w:szCs w:val="18"/>
              </w:rPr>
              <w:t xml:space="preserve">848.0</w:t>
            </w:r>
          </w:p>
        </w:tc>
        <w:tc>
          <w:tcPr>
            <w:tcW w:type="dxa" w:w="12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right"/>
            </w:pPr>
            <w:r>
              <w:rPr>
                <w:rFonts w:ascii="Arial" w:cs="Arial" w:eastAsia="Arial" w:hAnsi="Arial"/>
                <w:b w:val="false"/>
                <w:bCs w:val="false"/>
                <w:color w:val="000000"/>
                <w:sz w:val="18"/>
                <w:szCs w:val="18"/>
              </w:rPr>
              <w:t xml:space="preserve">709.1</w:t>
            </w:r>
          </w:p>
        </w:tc>
        <w:tc>
          <w:tcPr>
            <w:tcW w:type="dxa" w:w="106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right"/>
            </w:pPr>
            <w:r>
              <w:rPr>
                <w:rFonts w:ascii="Arial" w:cs="Arial" w:eastAsia="Arial" w:hAnsi="Arial"/>
                <w:b/>
                <w:bCs/>
                <w:color w:val="000000"/>
                <w:sz w:val="18"/>
                <w:szCs w:val="18"/>
              </w:rPr>
              <w:t xml:space="preserve">1,557.1</w:t>
            </w:r>
          </w:p>
        </w:tc>
      </w:tr>
      <w:tr>
        <w:tc>
          <w:tcPr>
            <w:tcW w:type="dxa" w:w="7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center"/>
            </w:pPr>
            <w:r>
              <w:rPr>
                <w:rFonts w:ascii="Arial" w:cs="Arial" w:eastAsia="Arial" w:hAnsi="Arial"/>
                <w:b w:val="false"/>
                <w:bCs w:val="false"/>
                <w:color w:val="000000"/>
                <w:sz w:val="18"/>
                <w:szCs w:val="18"/>
              </w:rPr>
              <w:t xml:space="preserve">10</w:t>
            </w:r>
          </w:p>
        </w:tc>
        <w:tc>
          <w:tcPr>
            <w:tcW w:type="dxa" w:w="52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Sweent LLC</w:t>
            </w:r>
          </w:p>
        </w:tc>
        <w:tc>
          <w:tcPr>
            <w:tcW w:type="dxa" w:w="12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right"/>
            </w:pPr>
            <w:r>
              <w:rPr>
                <w:rFonts w:ascii="Arial" w:cs="Arial" w:eastAsia="Arial" w:hAnsi="Arial"/>
                <w:b w:val="false"/>
                <w:bCs w:val="false"/>
                <w:color w:val="000000"/>
                <w:sz w:val="18"/>
                <w:szCs w:val="18"/>
              </w:rPr>
              <w:t xml:space="preserve">849.0</w:t>
            </w:r>
          </w:p>
        </w:tc>
        <w:tc>
          <w:tcPr>
            <w:tcW w:type="dxa" w:w="12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right"/>
            </w:pPr>
            <w:r>
              <w:rPr>
                <w:rFonts w:ascii="Arial" w:cs="Arial" w:eastAsia="Arial" w:hAnsi="Arial"/>
                <w:b w:val="false"/>
                <w:bCs w:val="false"/>
                <w:color w:val="000000"/>
                <w:sz w:val="18"/>
                <w:szCs w:val="18"/>
              </w:rPr>
              <w:t xml:space="preserve">686.2</w:t>
            </w:r>
          </w:p>
        </w:tc>
        <w:tc>
          <w:tcPr>
            <w:tcW w:type="dxa" w:w="106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right"/>
            </w:pPr>
            <w:r>
              <w:rPr>
                <w:rFonts w:ascii="Arial" w:cs="Arial" w:eastAsia="Arial" w:hAnsi="Arial"/>
                <w:b/>
                <w:bCs/>
                <w:color w:val="000000"/>
                <w:sz w:val="18"/>
                <w:szCs w:val="18"/>
              </w:rPr>
              <w:t xml:space="preserve">1,535.2</w:t>
            </w:r>
          </w:p>
        </w:tc>
      </w:tr>
      <w:tr>
        <w:tc>
          <w:tcPr>
            <w:tcW w:type="dxa" w:w="7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center"/>
            </w:pPr>
            <w:r>
              <w:rPr>
                <w:rFonts w:ascii="Arial" w:cs="Arial" w:eastAsia="Arial" w:hAnsi="Arial"/>
                <w:b w:val="false"/>
                <w:bCs w:val="false"/>
                <w:color w:val="000000"/>
                <w:sz w:val="18"/>
                <w:szCs w:val="18"/>
              </w:rPr>
              <w:t xml:space="preserve">11</w:t>
            </w:r>
          </w:p>
        </w:tc>
        <w:tc>
          <w:tcPr>
            <w:tcW w:type="dxa" w:w="52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Paramount Software Solutions, Inc</w:t>
            </w:r>
          </w:p>
        </w:tc>
        <w:tc>
          <w:tcPr>
            <w:tcW w:type="dxa" w:w="12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right"/>
            </w:pPr>
            <w:r>
              <w:rPr>
                <w:rFonts w:ascii="Arial" w:cs="Arial" w:eastAsia="Arial" w:hAnsi="Arial"/>
                <w:b w:val="false"/>
                <w:bCs w:val="false"/>
                <w:color w:val="000000"/>
                <w:sz w:val="18"/>
                <w:szCs w:val="18"/>
              </w:rPr>
              <w:t xml:space="preserve">850.0</w:t>
            </w:r>
          </w:p>
        </w:tc>
        <w:tc>
          <w:tcPr>
            <w:tcW w:type="dxa" w:w="12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right"/>
            </w:pPr>
            <w:r>
              <w:rPr>
                <w:rFonts w:ascii="Arial" w:cs="Arial" w:eastAsia="Arial" w:hAnsi="Arial"/>
                <w:b w:val="false"/>
                <w:bCs w:val="false"/>
                <w:color w:val="000000"/>
                <w:sz w:val="18"/>
                <w:szCs w:val="18"/>
              </w:rPr>
              <w:t xml:space="preserve">675.5</w:t>
            </w:r>
          </w:p>
        </w:tc>
        <w:tc>
          <w:tcPr>
            <w:tcW w:type="dxa" w:w="106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right"/>
            </w:pPr>
            <w:r>
              <w:rPr>
                <w:rFonts w:ascii="Arial" w:cs="Arial" w:eastAsia="Arial" w:hAnsi="Arial"/>
                <w:b/>
                <w:bCs/>
                <w:color w:val="000000"/>
                <w:sz w:val="18"/>
                <w:szCs w:val="18"/>
              </w:rPr>
              <w:t xml:space="preserve">1,525.5</w:t>
            </w:r>
          </w:p>
        </w:tc>
      </w:tr>
      <w:tr>
        <w:tc>
          <w:tcPr>
            <w:tcW w:type="dxa" w:w="700"/>
            <w:tcBorders>
              <w:top w:val="single" w:color="BFBFBF" w:sz="4"/>
              <w:start w:val="single" w:color="BFBFBF" w:sz="4"/>
              <w:bottom w:val="single" w:color="BFBFBF" w:sz="4"/>
              <w:end w:val="single" w:color="BFBFBF" w:sz="4"/>
            </w:tcBorders>
            <w:shd w:fill="2EA891" w:val="clear"/>
            <w:tcMar>
              <w:top w:type="dxa" w:w="100"/>
              <w:start w:type="dxa" w:w="140"/>
              <w:bottom w:type="dxa" w:w="100"/>
              <w:end w:type="dxa" w:w="140"/>
            </w:tcMar>
            <w:vAlign w:val="top"/>
          </w:tcPr>
          <w:p>
            <w:pPr>
              <w:jc w:val="center"/>
            </w:pPr>
            <w:r>
              <w:rPr>
                <w:rFonts w:ascii="Arial" w:cs="Arial" w:eastAsia="Arial" w:hAnsi="Arial"/>
                <w:b/>
                <w:bCs/>
                <w:color w:val="FFFFFF"/>
                <w:sz w:val="18"/>
                <w:szCs w:val="18"/>
              </w:rPr>
              <w:t xml:space="preserve">12</w:t>
            </w:r>
          </w:p>
        </w:tc>
        <w:tc>
          <w:tcPr>
            <w:tcW w:type="dxa" w:w="5200"/>
            <w:tcBorders>
              <w:top w:val="single" w:color="BFBFBF" w:sz="4"/>
              <w:start w:val="single" w:color="BFBFBF" w:sz="4"/>
              <w:bottom w:val="single" w:color="BFBFBF" w:sz="4"/>
              <w:end w:val="single" w:color="BFBFBF" w:sz="4"/>
            </w:tcBorders>
            <w:shd w:fill="2EA891" w:val="clear"/>
            <w:tcMar>
              <w:top w:type="dxa" w:w="100"/>
              <w:start w:type="dxa" w:w="140"/>
              <w:bottom w:type="dxa" w:w="100"/>
              <w:end w:type="dxa" w:w="140"/>
            </w:tcMar>
            <w:vAlign w:val="top"/>
          </w:tcPr>
          <w:p>
            <w:pPr>
              <w:jc w:val="left"/>
            </w:pPr>
            <w:r>
              <w:rPr>
                <w:rFonts w:ascii="Arial" w:cs="Arial" w:eastAsia="Arial" w:hAnsi="Arial"/>
                <w:b/>
                <w:bCs/>
                <w:color w:val="FFFFFF"/>
                <w:sz w:val="18"/>
                <w:szCs w:val="18"/>
              </w:rPr>
              <w:t xml:space="preserve">Visionblox LLC</w:t>
            </w:r>
          </w:p>
        </w:tc>
        <w:tc>
          <w:tcPr>
            <w:tcW w:type="dxa" w:w="1200"/>
            <w:tcBorders>
              <w:top w:val="single" w:color="BFBFBF" w:sz="4"/>
              <w:start w:val="single" w:color="BFBFBF" w:sz="4"/>
              <w:bottom w:val="single" w:color="BFBFBF" w:sz="4"/>
              <w:end w:val="single" w:color="BFBFBF" w:sz="4"/>
            </w:tcBorders>
            <w:shd w:fill="2EA891" w:val="clear"/>
            <w:tcMar>
              <w:top w:type="dxa" w:w="100"/>
              <w:start w:type="dxa" w:w="140"/>
              <w:bottom w:type="dxa" w:w="100"/>
              <w:end w:type="dxa" w:w="140"/>
            </w:tcMar>
            <w:vAlign w:val="top"/>
          </w:tcPr>
          <w:p>
            <w:pPr>
              <w:jc w:val="right"/>
            </w:pPr>
            <w:r>
              <w:rPr>
                <w:rFonts w:ascii="Arial" w:cs="Arial" w:eastAsia="Arial" w:hAnsi="Arial"/>
                <w:b/>
                <w:bCs/>
                <w:color w:val="FFFFFF"/>
                <w:sz w:val="18"/>
                <w:szCs w:val="18"/>
              </w:rPr>
              <w:t xml:space="preserve">793.0</w:t>
            </w:r>
          </w:p>
        </w:tc>
        <w:tc>
          <w:tcPr>
            <w:tcW w:type="dxa" w:w="1200"/>
            <w:tcBorders>
              <w:top w:val="single" w:color="BFBFBF" w:sz="4"/>
              <w:start w:val="single" w:color="BFBFBF" w:sz="4"/>
              <w:bottom w:val="single" w:color="BFBFBF" w:sz="4"/>
              <w:end w:val="single" w:color="BFBFBF" w:sz="4"/>
            </w:tcBorders>
            <w:shd w:fill="2EA891" w:val="clear"/>
            <w:tcMar>
              <w:top w:type="dxa" w:w="100"/>
              <w:start w:type="dxa" w:w="140"/>
              <w:bottom w:type="dxa" w:w="100"/>
              <w:end w:type="dxa" w:w="140"/>
            </w:tcMar>
            <w:vAlign w:val="top"/>
          </w:tcPr>
          <w:p>
            <w:pPr>
              <w:jc w:val="right"/>
            </w:pPr>
            <w:r>
              <w:rPr>
                <w:rFonts w:ascii="Arial" w:cs="Arial" w:eastAsia="Arial" w:hAnsi="Arial"/>
                <w:b/>
                <w:bCs/>
                <w:color w:val="FFFFFF"/>
                <w:sz w:val="18"/>
                <w:szCs w:val="18"/>
              </w:rPr>
              <w:t xml:space="preserve">692.9</w:t>
            </w:r>
          </w:p>
        </w:tc>
        <w:tc>
          <w:tcPr>
            <w:tcW w:type="dxa" w:w="1060"/>
            <w:tcBorders>
              <w:top w:val="single" w:color="BFBFBF" w:sz="4"/>
              <w:start w:val="single" w:color="BFBFBF" w:sz="4"/>
              <w:bottom w:val="single" w:color="BFBFBF" w:sz="4"/>
              <w:end w:val="single" w:color="BFBFBF" w:sz="4"/>
            </w:tcBorders>
            <w:shd w:fill="2EA891" w:val="clear"/>
            <w:tcMar>
              <w:top w:type="dxa" w:w="100"/>
              <w:start w:type="dxa" w:w="140"/>
              <w:bottom w:type="dxa" w:w="100"/>
              <w:end w:type="dxa" w:w="140"/>
            </w:tcMar>
            <w:vAlign w:val="top"/>
          </w:tcPr>
          <w:p>
            <w:pPr>
              <w:jc w:val="right"/>
            </w:pPr>
            <w:r>
              <w:rPr>
                <w:rFonts w:ascii="Arial" w:cs="Arial" w:eastAsia="Arial" w:hAnsi="Arial"/>
                <w:b/>
                <w:bCs/>
                <w:color w:val="FFFFFF"/>
                <w:sz w:val="18"/>
                <w:szCs w:val="18"/>
              </w:rPr>
              <w:t xml:space="preserve">1,485.9</w:t>
            </w:r>
          </w:p>
        </w:tc>
      </w:tr>
    </w:tbl>
    <w:p>
      <w:pPr>
        <w:pStyle w:val="Heading2"/>
        <w:spacing w:after="100" w:before="220"/>
      </w:pPr>
      <w:r>
        <w:rPr>
          <w:rFonts w:ascii="Arial" w:cs="Arial" w:eastAsia="Arial" w:hAnsi="Arial"/>
          <w:b/>
          <w:bCs/>
          <w:color w:val="232D5A"/>
          <w:sz w:val="24"/>
          <w:szCs w:val="24"/>
        </w:rPr>
        <w:t xml:space="preserve">4.2  Other Award Pools</w:t>
      </w:r>
    </w:p>
    <w:p>
      <w:pPr>
        <w:spacing w:after="100" w:before="80"/>
        <w:jc w:val="left"/>
      </w:pPr>
      <w:r>
        <w:rPr>
          <w:rFonts w:ascii="Arial" w:cs="Arial" w:eastAsia="Arial" w:hAnsi="Arial"/>
          <w:b w:val="false"/>
          <w:bCs w:val="false"/>
          <w:i w:val="false"/>
          <w:iCs w:val="false"/>
          <w:color w:val="000000"/>
          <w:sz w:val="20"/>
          <w:szCs w:val="20"/>
        </w:rPr>
        <w:t xml:space="preserve">Track 1 only (services): 20 additional vendors including Deloitte (971), HPE (953), Saige (953), IBM (935), CDW-G (927), Cerium (927), CoreSphere (926), Infojini (917), Granicus (915), HealthTech Solutions (931), The Kiwi Group (933), BlueVector AI (910), Cogent (907), Optimum (904), ThinkDeeply (902), Concourse (885), Promise (885), Slalom (883), RICEFW (864).</w:t>
      </w:r>
    </w:p>
    <w:p>
      <w:pPr>
        <w:spacing w:after="100" w:before="80"/>
        <w:jc w:val="left"/>
      </w:pPr>
      <w:r>
        <w:rPr>
          <w:rFonts w:ascii="Arial" w:cs="Arial" w:eastAsia="Arial" w:hAnsi="Arial"/>
          <w:b w:val="false"/>
          <w:bCs w:val="false"/>
          <w:i w:val="false"/>
          <w:iCs w:val="false"/>
          <w:color w:val="000000"/>
          <w:sz w:val="20"/>
          <w:szCs w:val="20"/>
        </w:rPr>
        <w:t xml:space="preserve">Track 2 only (products): 18 additional vendors including A-Frame, Belcan, Blaise, Boodle, CGI (T2), CityData, eDermatology, Elyon, GOV AI, Guardian Robotics, JW Creative, Magic School, 3MData, Morton Analytics, Novalink, PCG, Quadrant, QUIQ, TransOrg.</w:t>
      </w:r>
    </w:p>
    <w:p>
      <w:pPr>
        <w:pStyle w:val="Heading2"/>
        <w:spacing w:after="100" w:before="220"/>
      </w:pPr>
      <w:r>
        <w:rPr>
          <w:rFonts w:ascii="Arial" w:cs="Arial" w:eastAsia="Arial" w:hAnsi="Arial"/>
          <w:b/>
          <w:bCs/>
          <w:color w:val="232D5A"/>
          <w:sz w:val="24"/>
          <w:szCs w:val="24"/>
        </w:rPr>
        <w:t xml:space="preserve">4.3  Notable Eliminated Offerors</w:t>
      </w:r>
    </w:p>
    <w:p>
      <w:pPr>
        <w:spacing w:after="100" w:before="80"/>
        <w:jc w:val="left"/>
      </w:pPr>
      <w:r>
        <w:rPr>
          <w:rFonts w:ascii="Arial" w:cs="Arial" w:eastAsia="Arial" w:hAnsi="Arial"/>
          <w:b w:val="false"/>
          <w:bCs w:val="false"/>
          <w:i w:val="false"/>
          <w:iCs w:val="false"/>
          <w:color w:val="000000"/>
          <w:sz w:val="20"/>
          <w:szCs w:val="20"/>
        </w:rPr>
        <w:t xml:space="preserve">The following 18 vendors were Apparent Unsuccessful Offerors. Useful intel for future state AI/IT procurement competitions:</w:t>
      </w:r>
    </w:p>
    <w:p>
      <w:pPr>
        <w:pStyle w:val="ListParagraph"/>
        <w:numPr>
          <w:ilvl w:val="0"/>
          <w:numId w:val="2"/>
        </w:numPr>
      </w:pPr>
      <w:r>
        <w:rPr>
          <w:rFonts w:ascii="Arial" w:cs="Arial" w:eastAsia="Arial" w:hAnsi="Arial"/>
          <w:sz w:val="20"/>
          <w:szCs w:val="20"/>
        </w:rPr>
        <w:t xml:space="preserve">Accenture LLP</w:t>
      </w:r>
    </w:p>
    <w:p>
      <w:pPr>
        <w:pStyle w:val="ListParagraph"/>
        <w:numPr>
          <w:ilvl w:val="0"/>
          <w:numId w:val="2"/>
        </w:numPr>
      </w:pPr>
      <w:r>
        <w:rPr>
          <w:rFonts w:ascii="Arial" w:cs="Arial" w:eastAsia="Arial" w:hAnsi="Arial"/>
          <w:sz w:val="20"/>
          <w:szCs w:val="20"/>
        </w:rPr>
        <w:t xml:space="preserve">AikiTech, Inc.</w:t>
      </w:r>
    </w:p>
    <w:p>
      <w:pPr>
        <w:pStyle w:val="ListParagraph"/>
        <w:numPr>
          <w:ilvl w:val="0"/>
          <w:numId w:val="2"/>
        </w:numPr>
      </w:pPr>
      <w:r>
        <w:rPr>
          <w:rFonts w:ascii="Arial" w:cs="Arial" w:eastAsia="Arial" w:hAnsi="Arial"/>
          <w:sz w:val="20"/>
          <w:szCs w:val="20"/>
        </w:rPr>
        <w:t xml:space="preserve">JBA Holding Company Inc. (APX)</w:t>
      </w:r>
    </w:p>
    <w:p>
      <w:pPr>
        <w:pStyle w:val="ListParagraph"/>
        <w:numPr>
          <w:ilvl w:val="0"/>
          <w:numId w:val="2"/>
        </w:numPr>
      </w:pPr>
      <w:r>
        <w:rPr>
          <w:rFonts w:ascii="Arial" w:cs="Arial" w:eastAsia="Arial" w:hAnsi="Arial"/>
          <w:sz w:val="20"/>
          <w:szCs w:val="20"/>
        </w:rPr>
        <w:t xml:space="preserve">Canibuild LLC</w:t>
      </w:r>
    </w:p>
    <w:p>
      <w:pPr>
        <w:pStyle w:val="ListParagraph"/>
        <w:numPr>
          <w:ilvl w:val="0"/>
          <w:numId w:val="2"/>
        </w:numPr>
      </w:pPr>
      <w:r>
        <w:rPr>
          <w:rFonts w:ascii="Arial" w:cs="Arial" w:eastAsia="Arial" w:hAnsi="Arial"/>
          <w:sz w:val="20"/>
          <w:szCs w:val="20"/>
        </w:rPr>
        <w:t xml:space="preserve">CGI Technologies and Services Inc (Track 1)</w:t>
      </w:r>
    </w:p>
    <w:p>
      <w:pPr>
        <w:pStyle w:val="ListParagraph"/>
        <w:numPr>
          <w:ilvl w:val="0"/>
          <w:numId w:val="2"/>
        </w:numPr>
      </w:pPr>
      <w:r>
        <w:rPr>
          <w:rFonts w:ascii="Arial" w:cs="Arial" w:eastAsia="Arial" w:hAnsi="Arial"/>
          <w:sz w:val="20"/>
          <w:szCs w:val="20"/>
        </w:rPr>
        <w:t xml:space="preserve">Expressible AI, Inc.</w:t>
      </w:r>
    </w:p>
    <w:p>
      <w:pPr>
        <w:pStyle w:val="ListParagraph"/>
        <w:numPr>
          <w:ilvl w:val="0"/>
          <w:numId w:val="2"/>
        </w:numPr>
      </w:pPr>
      <w:r>
        <w:rPr>
          <w:rFonts w:ascii="Arial" w:cs="Arial" w:eastAsia="Arial" w:hAnsi="Arial"/>
          <w:sz w:val="20"/>
          <w:szCs w:val="20"/>
        </w:rPr>
        <w:t xml:space="preserve">Genesys Cloud Services, Inc.</w:t>
      </w:r>
    </w:p>
    <w:p>
      <w:pPr>
        <w:pStyle w:val="ListParagraph"/>
        <w:numPr>
          <w:ilvl w:val="0"/>
          <w:numId w:val="2"/>
        </w:numPr>
      </w:pPr>
      <w:r>
        <w:rPr>
          <w:rFonts w:ascii="Arial" w:cs="Arial" w:eastAsia="Arial" w:hAnsi="Arial"/>
          <w:sz w:val="20"/>
          <w:szCs w:val="20"/>
        </w:rPr>
        <w:t xml:space="preserve">GitLab</w:t>
      </w:r>
    </w:p>
    <w:p>
      <w:pPr>
        <w:pStyle w:val="ListParagraph"/>
        <w:numPr>
          <w:ilvl w:val="0"/>
          <w:numId w:val="2"/>
        </w:numPr>
      </w:pPr>
      <w:r>
        <w:rPr>
          <w:rFonts w:ascii="Arial" w:cs="Arial" w:eastAsia="Arial" w:hAnsi="Arial"/>
          <w:sz w:val="20"/>
          <w:szCs w:val="20"/>
        </w:rPr>
        <w:t xml:space="preserve">Island Technology, Inc.</w:t>
      </w:r>
    </w:p>
    <w:p>
      <w:pPr>
        <w:pStyle w:val="ListParagraph"/>
        <w:numPr>
          <w:ilvl w:val="0"/>
          <w:numId w:val="2"/>
        </w:numPr>
      </w:pPr>
      <w:r>
        <w:rPr>
          <w:rFonts w:ascii="Arial" w:cs="Arial" w:eastAsia="Arial" w:hAnsi="Arial"/>
          <w:sz w:val="20"/>
          <w:szCs w:val="20"/>
        </w:rPr>
        <w:t xml:space="preserve">Maverick Quantum, Inc</w:t>
      </w:r>
    </w:p>
    <w:p>
      <w:pPr>
        <w:pStyle w:val="ListParagraph"/>
        <w:numPr>
          <w:ilvl w:val="0"/>
          <w:numId w:val="2"/>
        </w:numPr>
      </w:pPr>
      <w:r>
        <w:rPr>
          <w:rFonts w:ascii="Arial" w:cs="Arial" w:eastAsia="Arial" w:hAnsi="Arial"/>
          <w:sz w:val="20"/>
          <w:szCs w:val="20"/>
        </w:rPr>
        <w:t xml:space="preserve">Meyers Workforce Solutions LLC</w:t>
      </w:r>
    </w:p>
    <w:p>
      <w:pPr>
        <w:pStyle w:val="ListParagraph"/>
        <w:numPr>
          <w:ilvl w:val="0"/>
          <w:numId w:val="2"/>
        </w:numPr>
      </w:pPr>
      <w:r>
        <w:rPr>
          <w:rFonts w:ascii="Arial" w:cs="Arial" w:eastAsia="Arial" w:hAnsi="Arial"/>
          <w:sz w:val="20"/>
          <w:szCs w:val="20"/>
        </w:rPr>
        <w:t xml:space="preserve">Modern Technology Solutions LLC</w:t>
      </w:r>
    </w:p>
    <w:p>
      <w:pPr>
        <w:pStyle w:val="ListParagraph"/>
        <w:numPr>
          <w:ilvl w:val="0"/>
          <w:numId w:val="2"/>
        </w:numPr>
      </w:pPr>
      <w:r>
        <w:rPr>
          <w:rFonts w:ascii="Arial" w:cs="Arial" w:eastAsia="Arial" w:hAnsi="Arial"/>
          <w:sz w:val="20"/>
          <w:szCs w:val="20"/>
        </w:rPr>
        <w:t xml:space="preserve">MosaicDM LLC</w:t>
      </w:r>
    </w:p>
    <w:p>
      <w:pPr>
        <w:pStyle w:val="ListParagraph"/>
        <w:numPr>
          <w:ilvl w:val="0"/>
          <w:numId w:val="2"/>
        </w:numPr>
      </w:pPr>
      <w:r>
        <w:rPr>
          <w:rFonts w:ascii="Arial" w:cs="Arial" w:eastAsia="Arial" w:hAnsi="Arial"/>
          <w:sz w:val="20"/>
          <w:szCs w:val="20"/>
        </w:rPr>
        <w:t xml:space="preserve">Perplexity AI, Inc.</w:t>
      </w:r>
    </w:p>
    <w:p>
      <w:pPr>
        <w:pStyle w:val="ListParagraph"/>
        <w:numPr>
          <w:ilvl w:val="0"/>
          <w:numId w:val="2"/>
        </w:numPr>
      </w:pPr>
      <w:r>
        <w:rPr>
          <w:rFonts w:ascii="Arial" w:cs="Arial" w:eastAsia="Arial" w:hAnsi="Arial"/>
          <w:sz w:val="20"/>
          <w:szCs w:val="20"/>
        </w:rPr>
        <w:t xml:space="preserve">Polimorphic, Inc.</w:t>
      </w:r>
    </w:p>
    <w:p>
      <w:pPr>
        <w:pStyle w:val="ListParagraph"/>
        <w:numPr>
          <w:ilvl w:val="0"/>
          <w:numId w:val="2"/>
        </w:numPr>
      </w:pPr>
      <w:r>
        <w:rPr>
          <w:rFonts w:ascii="Arial" w:cs="Arial" w:eastAsia="Arial" w:hAnsi="Arial"/>
          <w:sz w:val="20"/>
          <w:szCs w:val="20"/>
        </w:rPr>
        <w:t xml:space="preserve">TekProai LLC</w:t>
      </w:r>
    </w:p>
    <w:p>
      <w:pPr>
        <w:pStyle w:val="ListParagraph"/>
        <w:numPr>
          <w:ilvl w:val="0"/>
          <w:numId w:val="2"/>
        </w:numPr>
      </w:pPr>
      <w:r>
        <w:rPr>
          <w:rFonts w:ascii="Arial" w:cs="Arial" w:eastAsia="Arial" w:hAnsi="Arial"/>
          <w:sz w:val="20"/>
          <w:szCs w:val="20"/>
        </w:rPr>
        <w:t xml:space="preserve">The Evolvers Group, L.P.</w:t>
      </w:r>
    </w:p>
    <w:p>
      <w:pPr>
        <w:pStyle w:val="ListParagraph"/>
        <w:numPr>
          <w:ilvl w:val="0"/>
          <w:numId w:val="2"/>
        </w:numPr>
      </w:pPr>
      <w:r>
        <w:rPr>
          <w:rFonts w:ascii="Arial" w:cs="Arial" w:eastAsia="Arial" w:hAnsi="Arial"/>
          <w:sz w:val="20"/>
          <w:szCs w:val="20"/>
        </w:rPr>
        <w:t xml:space="preserve">Turnkey Solutions, LLC</w:t>
      </w:r>
    </w:p>
    <w:p>
      <w:pPr>
        <w:pStyle w:val="Heading2"/>
        <w:spacing w:after="100" w:before="220"/>
      </w:pPr>
      <w:r>
        <w:rPr>
          <w:rFonts w:ascii="Arial" w:cs="Arial" w:eastAsia="Arial" w:hAnsi="Arial"/>
          <w:b/>
          <w:bCs/>
          <w:color w:val="232D5A"/>
          <w:sz w:val="24"/>
          <w:szCs w:val="24"/>
        </w:rPr>
        <w:t xml:space="preserve">4.4  What This Means for VBX Positioning</w:t>
      </w:r>
    </w:p>
    <w:p>
      <w:pPr>
        <w:spacing w:after="100" w:before="80"/>
        <w:jc w:val="left"/>
      </w:pPr>
      <w:r>
        <w:rPr>
          <w:rFonts w:ascii="Arial" w:cs="Arial" w:eastAsia="Arial" w:hAnsi="Arial"/>
          <w:b w:val="false"/>
          <w:bCs w:val="false"/>
          <w:i w:val="false"/>
          <w:iCs w:val="false"/>
          <w:color w:val="000000"/>
          <w:sz w:val="20"/>
          <w:szCs w:val="20"/>
        </w:rPr>
        <w:t xml:space="preserve">VBX is in a pool with global integrators (Carahsoft, IBM, Deloitte, HPE, Slalom on T1) and specialized AI shops (22nd Century, Agentic, OpenTeams, ThinkDeeply, BlueVector). The win itself signals that Montana's evaluators credit VBX as a credible AI services + products firm at the SLED tier — but the bottom-of-pool ranking signals VBX is not yet a tier-one competitor. On any task order, VBX wins on three plays: (1) lowest-total-cost-of-ownership pricing on TOs under $500K where the big integrators won't aggressively bid; (2) healthcare-IT and rural/CAH domain depth on TOs where DPHHS-flavored use cases dominate; (3) speed and named-team accessibility on TOs where ordering agencies want a hands-on small business, not a Tier 1 with delegated delivery.</w:t>
      </w:r>
    </w:p>
    <w:p>
      <w:r>
        <w:br w:type="page"/>
      </w:r>
    </w:p>
    <w:p>
      <w:pPr>
        <w:pStyle w:val="Heading1"/>
        <w:pBdr>
          <w:bottom w:val="single" w:color="2EA891" w:sz="12" w:space="6"/>
        </w:pBdr>
        <w:spacing w:after="160" w:before="360"/>
      </w:pPr>
      <w:r>
        <w:rPr>
          <w:rFonts w:ascii="Arial" w:cs="Arial" w:eastAsia="Arial" w:hAnsi="Arial"/>
          <w:b/>
          <w:bCs/>
          <w:color w:val="232D5A"/>
          <w:sz w:val="30"/>
          <w:szCs w:val="30"/>
        </w:rPr>
        <w:t xml:space="preserve">5.  Compliance Critical Path — 10-Business-Day Clock</w:t>
      </w:r>
    </w:p>
    <w:p>
      <w:pPr>
        <w:spacing w:after="80" w:before="80"/>
        <w:jc w:val="left"/>
      </w:pPr>
      <w:r>
        <w:rPr>
          <w:rFonts w:ascii="Arial" w:cs="Arial" w:eastAsia="Arial" w:hAnsi="Arial"/>
          <w:b/>
          <w:bCs/>
          <w:i w:val="false"/>
          <w:iCs w:val="false"/>
          <w:color w:val="000000"/>
          <w:sz w:val="20"/>
          <w:szCs w:val="20"/>
        </w:rPr>
        <w:t xml:space="preserve">Clock starts on Notice receipt. </w:t>
      </w:r>
      <w:r>
        <w:rPr>
          <w:rFonts w:ascii="Arial" w:cs="Arial" w:eastAsia="Arial" w:hAnsi="Arial"/>
          <w:b w:val="false"/>
          <w:bCs w:val="false"/>
          <w:i w:val="false"/>
          <w:iCs w:val="false"/>
          <w:color w:val="000000"/>
          <w:sz w:val="20"/>
          <w:szCs w:val="20"/>
        </w:rPr>
        <w:t xml:space="preserve">Failure to provide insurance certificates within 10 business days may result in the State selecting another vendor. Estimated deadline: </w:t>
      </w:r>
      <w:r>
        <w:rPr>
          <w:rFonts w:ascii="Arial" w:cs="Arial" w:eastAsia="Arial" w:hAnsi="Arial"/>
          <w:b/>
          <w:bCs/>
          <w:i w:val="false"/>
          <w:iCs w:val="false"/>
          <w:color w:val="000000"/>
          <w:sz w:val="20"/>
          <w:szCs w:val="20"/>
        </w:rPr>
        <w:t xml:space="preserve">approximately July 14, 2026</w:t>
      </w:r>
      <w:r>
        <w:rPr>
          <w:rFonts w:ascii="Arial" w:cs="Arial" w:eastAsia="Arial" w:hAnsi="Arial"/>
          <w:b w:val="false"/>
          <w:bCs w:val="false"/>
          <w:i w:val="false"/>
          <w:iCs w:val="false"/>
          <w:color w:val="000000"/>
          <w:sz w:val="20"/>
          <w:szCs w:val="20"/>
        </w:rPr>
        <w:t xml:space="preserve">, to be confirmed against the actual notice receipt date.</w:t>
      </w:r>
    </w:p>
    <w:p>
      <w:pPr>
        <w:pStyle w:val="Heading2"/>
        <w:spacing w:after="100" w:before="220"/>
      </w:pPr>
      <w:r>
        <w:rPr>
          <w:rFonts w:ascii="Arial" w:cs="Arial" w:eastAsia="Arial" w:hAnsi="Arial"/>
          <w:b/>
          <w:bCs/>
          <w:color w:val="232D5A"/>
          <w:sz w:val="24"/>
          <w:szCs w:val="24"/>
        </w:rPr>
        <w:t xml:space="preserve">5.1  Insurance Requirements (Exhibit A §8 + Exhibit C §9)</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400"/>
        <w:gridCol w:w="4400"/>
        <w:gridCol w:w="2560"/>
      </w:tblGrid>
      <w:tr>
        <w:tc>
          <w:tcPr>
            <w:tcW w:type="dxa" w:w="2400"/>
            <w:tcBorders>
              <w:top w:val="single" w:color="BFBFBF" w:sz="4"/>
              <w:start w:val="single" w:color="BFBFBF" w:sz="4"/>
              <w:bottom w:val="single" w:color="BFBFBF" w:sz="4"/>
              <w:end w:val="single" w:color="BFBFBF" w:sz="4"/>
            </w:tcBorders>
            <w:shd w:fill="232D5A" w:val="clear"/>
            <w:tcMar>
              <w:top w:type="dxa" w:w="100"/>
              <w:start w:type="dxa" w:w="140"/>
              <w:bottom w:type="dxa" w:w="100"/>
              <w:end w:type="dxa" w:w="140"/>
            </w:tcMar>
            <w:vAlign w:val="top"/>
          </w:tcPr>
          <w:p>
            <w:pPr>
              <w:jc w:val="left"/>
            </w:pPr>
            <w:r>
              <w:rPr>
                <w:rFonts w:ascii="Arial" w:cs="Arial" w:eastAsia="Arial" w:hAnsi="Arial"/>
                <w:b/>
                <w:bCs/>
                <w:color w:val="FFFFFF"/>
                <w:sz w:val="18"/>
                <w:szCs w:val="18"/>
              </w:rPr>
              <w:t xml:space="preserve">Coverage</w:t>
            </w:r>
          </w:p>
        </w:tc>
        <w:tc>
          <w:tcPr>
            <w:tcW w:type="dxa" w:w="4400"/>
            <w:tcBorders>
              <w:top w:val="single" w:color="BFBFBF" w:sz="4"/>
              <w:start w:val="single" w:color="BFBFBF" w:sz="4"/>
              <w:bottom w:val="single" w:color="BFBFBF" w:sz="4"/>
              <w:end w:val="single" w:color="BFBFBF" w:sz="4"/>
            </w:tcBorders>
            <w:shd w:fill="232D5A" w:val="clear"/>
            <w:tcMar>
              <w:top w:type="dxa" w:w="100"/>
              <w:start w:type="dxa" w:w="140"/>
              <w:bottom w:type="dxa" w:w="100"/>
              <w:end w:type="dxa" w:w="140"/>
            </w:tcMar>
            <w:vAlign w:val="top"/>
          </w:tcPr>
          <w:p>
            <w:pPr>
              <w:jc w:val="left"/>
            </w:pPr>
            <w:r>
              <w:rPr>
                <w:rFonts w:ascii="Arial" w:cs="Arial" w:eastAsia="Arial" w:hAnsi="Arial"/>
                <w:b/>
                <w:bCs/>
                <w:color w:val="FFFFFF"/>
                <w:sz w:val="18"/>
                <w:szCs w:val="18"/>
              </w:rPr>
              <w:t xml:space="preserve">Requirement</w:t>
            </w:r>
          </w:p>
        </w:tc>
        <w:tc>
          <w:tcPr>
            <w:tcW w:type="dxa" w:w="2560"/>
            <w:tcBorders>
              <w:top w:val="single" w:color="BFBFBF" w:sz="4"/>
              <w:start w:val="single" w:color="BFBFBF" w:sz="4"/>
              <w:bottom w:val="single" w:color="BFBFBF" w:sz="4"/>
              <w:end w:val="single" w:color="BFBFBF" w:sz="4"/>
            </w:tcBorders>
            <w:shd w:fill="232D5A" w:val="clear"/>
            <w:tcMar>
              <w:top w:type="dxa" w:w="100"/>
              <w:start w:type="dxa" w:w="140"/>
              <w:bottom w:type="dxa" w:w="100"/>
              <w:end w:type="dxa" w:w="140"/>
            </w:tcMar>
            <w:vAlign w:val="top"/>
          </w:tcPr>
          <w:p>
            <w:pPr>
              <w:jc w:val="left"/>
            </w:pPr>
            <w:r>
              <w:rPr>
                <w:rFonts w:ascii="Arial" w:cs="Arial" w:eastAsia="Arial" w:hAnsi="Arial"/>
                <w:b/>
                <w:bCs/>
                <w:color w:val="FFFFFF"/>
                <w:sz w:val="18"/>
                <w:szCs w:val="18"/>
              </w:rPr>
              <w:t xml:space="preserve">VBX Status / Action</w:t>
            </w:r>
          </w:p>
        </w:tc>
      </w:tr>
      <w:tr>
        <w:tc>
          <w:tcPr>
            <w:tcW w:type="dxa" w:w="24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left"/>
            </w:pPr>
            <w:r>
              <w:rPr>
                <w:rFonts w:ascii="Arial" w:cs="Arial" w:eastAsia="Arial" w:hAnsi="Arial"/>
                <w:b/>
                <w:bCs/>
                <w:color w:val="000000"/>
                <w:sz w:val="18"/>
                <w:szCs w:val="18"/>
              </w:rPr>
              <w:t xml:space="preserve">Workers' Compensation</w:t>
            </w:r>
          </w:p>
        </w:tc>
        <w:tc>
          <w:tcPr>
            <w:tcW w:type="dxa" w:w="44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Certificate of insurance OR Independent Contractor Exemption Certificate from the MT Dept. of Labor &amp; Industry. Required by statute regardless of Cyber/GL.</w:t>
            </w:r>
          </w:p>
        </w:tc>
        <w:tc>
          <w:tcPr>
            <w:tcW w:type="dxa" w:w="2560"/>
            <w:tcBorders>
              <w:top w:val="single" w:color="BFBFBF" w:sz="4"/>
              <w:start w:val="single" w:color="BFBFBF" w:sz="4"/>
              <w:bottom w:val="single" w:color="BFBFBF" w:sz="4"/>
              <w:end w:val="single" w:color="BFBFBF" w:sz="4"/>
            </w:tcBorders>
            <w:shd w:fill="FFF4D6" w:val="clear"/>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Confirm current carrier and coverage; obtain MT cert. If owner-only with no employees, file MT IC Exemption.</w:t>
            </w:r>
          </w:p>
        </w:tc>
      </w:tr>
      <w:tr>
        <w:tc>
          <w:tcPr>
            <w:tcW w:type="dxa" w:w="2400"/>
            <w:tcBorders>
              <w:top w:val="single" w:color="BFBFBF" w:sz="4"/>
              <w:start w:val="single" w:color="BFBFBF" w:sz="4"/>
              <w:bottom w:val="single" w:color="BFBFBF" w:sz="4"/>
              <w:end w:val="single" w:color="BFBFBF" w:sz="4"/>
            </w:tcBorders>
            <w:shd w:fill="F2F2F2" w:val="clear"/>
            <w:tcMar>
              <w:top w:type="dxa" w:w="100"/>
              <w:start w:type="dxa" w:w="140"/>
              <w:bottom w:type="dxa" w:w="100"/>
              <w:end w:type="dxa" w:w="140"/>
            </w:tcMar>
            <w:vAlign w:val="top"/>
          </w:tcPr>
          <w:p>
            <w:pPr>
              <w:jc w:val="left"/>
            </w:pPr>
            <w:r>
              <w:rPr>
                <w:rFonts w:ascii="Arial" w:cs="Arial" w:eastAsia="Arial" w:hAnsi="Arial"/>
                <w:b/>
                <w:bCs/>
                <w:color w:val="000000"/>
                <w:sz w:val="18"/>
                <w:szCs w:val="18"/>
              </w:rPr>
              <w:t xml:space="preserve">Commercial General Liability</w:t>
            </w:r>
          </w:p>
        </w:tc>
        <w:tc>
          <w:tcPr>
            <w:tcW w:type="dxa" w:w="4400"/>
            <w:tcBorders>
              <w:top w:val="single" w:color="BFBFBF" w:sz="4"/>
              <w:start w:val="single" w:color="BFBFBF" w:sz="4"/>
              <w:bottom w:val="single" w:color="BFBFBF" w:sz="4"/>
              <w:end w:val="single" w:color="BFBFBF" w:sz="4"/>
            </w:tcBorders>
            <w:shd w:fill="F2F2F2" w:val="clear"/>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$2,000,000 per occurrence / $2,000,000 aggregate. Insurer Best's rating A- minimum. Coverage of contractual liability + claims from negligent acts/omissions.</w:t>
            </w:r>
          </w:p>
        </w:tc>
        <w:tc>
          <w:tcPr>
            <w:tcW w:type="dxa" w:w="2560"/>
            <w:tcBorders>
              <w:top w:val="single" w:color="BFBFBF" w:sz="4"/>
              <w:start w:val="single" w:color="BFBFBF" w:sz="4"/>
              <w:bottom w:val="single" w:color="BFBFBF" w:sz="4"/>
              <w:end w:val="single" w:color="BFBFBF" w:sz="4"/>
            </w:tcBorders>
            <w:shd w:fill="FFF4D6" w:val="clear"/>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Verify current limits. Procure Additional Insured endorsement naming State of MT.</w:t>
            </w:r>
          </w:p>
        </w:tc>
      </w:tr>
      <w:tr>
        <w:tc>
          <w:tcPr>
            <w:tcW w:type="dxa" w:w="24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left"/>
            </w:pPr>
            <w:r>
              <w:rPr>
                <w:rFonts w:ascii="Arial" w:cs="Arial" w:eastAsia="Arial" w:hAnsi="Arial"/>
                <w:b/>
                <w:bCs/>
                <w:color w:val="B30000"/>
                <w:sz w:val="18"/>
                <w:szCs w:val="18"/>
              </w:rPr>
              <w:t xml:space="preserve">Cyber Security / Information Security Insurance</w:t>
            </w:r>
          </w:p>
        </w:tc>
        <w:tc>
          <w:tcPr>
            <w:tcW w:type="dxa" w:w="44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$6,000,000 combined single limit aggregate (per Exhibit C §9). Must cover: privacy notification, credit monitoring, forensics investigation, legal fees, regulatory fines/penalties, third-party liability. Claims-made acceptable with 3-year extended reporting tail + retroactive date prior to contract effective.</w:t>
            </w:r>
          </w:p>
        </w:tc>
        <w:tc>
          <w:tcPr>
            <w:tcW w:type="dxa" w:w="2560"/>
            <w:tcBorders>
              <w:top w:val="single" w:color="BFBFBF" w:sz="4"/>
              <w:start w:val="single" w:color="BFBFBF" w:sz="4"/>
              <w:bottom w:val="single" w:color="BFBFBF" w:sz="4"/>
              <w:end w:val="single" w:color="BFBFBF" w:sz="4"/>
            </w:tcBorders>
            <w:shd w:fill="FBE5E5" w:val="clear"/>
            <w:tcMar>
              <w:top w:type="dxa" w:w="100"/>
              <w:start w:type="dxa" w:w="140"/>
              <w:bottom w:type="dxa" w:w="100"/>
              <w:end w:type="dxa" w:w="140"/>
            </w:tcMar>
            <w:vAlign w:val="top"/>
          </w:tcPr>
          <w:p>
            <w:pPr>
              <w:jc w:val="left"/>
            </w:pPr>
            <w:r>
              <w:rPr>
                <w:rFonts w:ascii="Arial" w:cs="Arial" w:eastAsia="Arial" w:hAnsi="Arial"/>
                <w:b/>
                <w:bCs/>
                <w:color w:val="000000"/>
                <w:sz w:val="18"/>
                <w:szCs w:val="18"/>
              </w:rPr>
              <w:t xml:space="preserve">HIGHEST RISK ITEM. Standard SMB cyber is $1M-$3M. $6M typically requires (a) excess/umbrella layer over primary, (b) project-specific tower, or (c) restructured carrier program. Call broker today.</w:t>
            </w:r>
          </w:p>
        </w:tc>
      </w:tr>
      <w:tr>
        <w:tc>
          <w:tcPr>
            <w:tcW w:type="dxa" w:w="2400"/>
            <w:tcBorders>
              <w:top w:val="single" w:color="BFBFBF" w:sz="4"/>
              <w:start w:val="single" w:color="BFBFBF" w:sz="4"/>
              <w:bottom w:val="single" w:color="BFBFBF" w:sz="4"/>
              <w:end w:val="single" w:color="BFBFBF" w:sz="4"/>
            </w:tcBorders>
            <w:shd w:fill="F2F2F2" w:val="clear"/>
            <w:tcMar>
              <w:top w:type="dxa" w:w="100"/>
              <w:start w:type="dxa" w:w="140"/>
              <w:bottom w:type="dxa" w:w="100"/>
              <w:end w:type="dxa" w:w="140"/>
            </w:tcMar>
            <w:vAlign w:val="top"/>
          </w:tcPr>
          <w:p>
            <w:pPr>
              <w:jc w:val="left"/>
            </w:pPr>
            <w:r>
              <w:rPr>
                <w:rFonts w:ascii="Arial" w:cs="Arial" w:eastAsia="Arial" w:hAnsi="Arial"/>
                <w:b/>
                <w:bCs/>
                <w:color w:val="000000"/>
                <w:sz w:val="18"/>
                <w:szCs w:val="18"/>
              </w:rPr>
              <w:t xml:space="preserve">Auto Liability (if applicable)</w:t>
            </w:r>
          </w:p>
        </w:tc>
        <w:tc>
          <w:tcPr>
            <w:tcW w:type="dxa" w:w="4400"/>
            <w:tcBorders>
              <w:top w:val="single" w:color="BFBFBF" w:sz="4"/>
              <w:start w:val="single" w:color="BFBFBF" w:sz="4"/>
              <w:bottom w:val="single" w:color="BFBFBF" w:sz="4"/>
              <w:end w:val="single" w:color="BFBFBF" w:sz="4"/>
            </w:tcBorders>
            <w:shd w:fill="F2F2F2" w:val="clear"/>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Not specifically called out for AI/IT scope; flag at signature if non-owned/hired auto exposure exists during TO performance.</w:t>
            </w:r>
          </w:p>
        </w:tc>
        <w:tc>
          <w:tcPr>
            <w:tcW w:type="dxa" w:w="2560"/>
            <w:tcBorders>
              <w:top w:val="single" w:color="BFBFBF" w:sz="4"/>
              <w:start w:val="single" w:color="BFBFBF" w:sz="4"/>
              <w:bottom w:val="single" w:color="BFBFBF" w:sz="4"/>
              <w:end w:val="single" w:color="BFBFBF" w:sz="4"/>
            </w:tcBorders>
            <w:shd w:fill="D9F0E0" w:val="clear"/>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Likely N/A for current scope. Confirm at TO award.</w:t>
            </w:r>
          </w:p>
        </w:tc>
      </w:tr>
      <w:tr>
        <w:tc>
          <w:tcPr>
            <w:tcW w:type="dxa" w:w="24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left"/>
            </w:pPr>
            <w:r>
              <w:rPr>
                <w:rFonts w:ascii="Arial" w:cs="Arial" w:eastAsia="Arial" w:hAnsi="Arial"/>
                <w:b/>
                <w:bCs/>
                <w:color w:val="000000"/>
                <w:sz w:val="18"/>
                <w:szCs w:val="18"/>
              </w:rPr>
              <w:t xml:space="preserve">Endorsement Requirements</w:t>
            </w:r>
          </w:p>
        </w:tc>
        <w:tc>
          <w:tcPr>
            <w:tcW w:type="dxa" w:w="44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All certificates (except Workers' Comp) must name State of Montana as Additional Insured. Endorsement copy required. Insurance must be PRIMARY (Exhibit A §8.2); any State coverage is excess.</w:t>
            </w:r>
          </w:p>
        </w:tc>
        <w:tc>
          <w:tcPr>
            <w:tcW w:type="dxa" w:w="2560"/>
            <w:tcBorders>
              <w:top w:val="single" w:color="BFBFBF" w:sz="4"/>
              <w:start w:val="single" w:color="BFBFBF" w:sz="4"/>
              <w:bottom w:val="single" w:color="BFBFBF" w:sz="4"/>
              <w:end w:val="single" w:color="BFBFBF" w:sz="4"/>
            </w:tcBorders>
            <w:shd w:fill="FFF4D6" w:val="clear"/>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Operational — broker action item.</w:t>
            </w:r>
          </w:p>
        </w:tc>
      </w:tr>
      <w:tr>
        <w:tc>
          <w:tcPr>
            <w:tcW w:type="dxa" w:w="2400"/>
            <w:tcBorders>
              <w:top w:val="single" w:color="BFBFBF" w:sz="4"/>
              <w:start w:val="single" w:color="BFBFBF" w:sz="4"/>
              <w:bottom w:val="single" w:color="BFBFBF" w:sz="4"/>
              <w:end w:val="single" w:color="BFBFBF" w:sz="4"/>
            </w:tcBorders>
            <w:shd w:fill="F2F2F2" w:val="clear"/>
            <w:tcMar>
              <w:top w:type="dxa" w:w="100"/>
              <w:start w:type="dxa" w:w="140"/>
              <w:bottom w:type="dxa" w:w="100"/>
              <w:end w:type="dxa" w:w="140"/>
            </w:tcMar>
            <w:vAlign w:val="top"/>
          </w:tcPr>
          <w:p>
            <w:pPr>
              <w:jc w:val="left"/>
            </w:pPr>
            <w:r>
              <w:rPr>
                <w:rFonts w:ascii="Arial" w:cs="Arial" w:eastAsia="Arial" w:hAnsi="Arial"/>
                <w:b/>
                <w:bCs/>
                <w:color w:val="000000"/>
                <w:sz w:val="18"/>
                <w:szCs w:val="18"/>
              </w:rPr>
              <w:t xml:space="preserve">Submission Method</w:t>
            </w:r>
          </w:p>
        </w:tc>
        <w:tc>
          <w:tcPr>
            <w:tcW w:type="dxa" w:w="4400"/>
            <w:tcBorders>
              <w:top w:val="single" w:color="BFBFBF" w:sz="4"/>
              <w:start w:val="single" w:color="BFBFBF" w:sz="4"/>
              <w:bottom w:val="single" w:color="BFBFBF" w:sz="4"/>
              <w:end w:val="single" w:color="BFBFBF" w:sz="4"/>
            </w:tcBorders>
            <w:shd w:fill="F2F2F2" w:val="clear"/>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Email to grace.waring@mt.gov. Certificate Holder: State of Montana, 125 N. Roberts St., Helena, MT 59601. (Exhibit A also references P.O. Box 200135, Helena MT 59620-0135 for State Procurement Services Division.)</w:t>
            </w:r>
          </w:p>
        </w:tc>
        <w:tc>
          <w:tcPr>
            <w:tcW w:type="dxa" w:w="2560"/>
            <w:tcBorders>
              <w:top w:val="single" w:color="BFBFBF" w:sz="4"/>
              <w:start w:val="single" w:color="BFBFBF" w:sz="4"/>
              <w:bottom w:val="single" w:color="BFBFBF" w:sz="4"/>
              <w:end w:val="single" w:color="BFBFBF" w:sz="4"/>
            </w:tcBorders>
            <w:shd w:fill="D9F0E0" w:val="clear"/>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Confirm certificate holder block matches NOIA address.</w:t>
            </w:r>
          </w:p>
        </w:tc>
      </w:tr>
    </w:tbl>
    <w:p>
      <w:pPr>
        <w:pStyle w:val="Heading2"/>
        <w:spacing w:after="100" w:before="220"/>
      </w:pPr>
      <w:r>
        <w:rPr>
          <w:rFonts w:ascii="Arial" w:cs="Arial" w:eastAsia="Arial" w:hAnsi="Arial"/>
          <w:b/>
          <w:bCs/>
          <w:color w:val="232D5A"/>
          <w:sz w:val="24"/>
          <w:szCs w:val="24"/>
        </w:rPr>
        <w:t xml:space="preserve">5.2  eMACS Awarded-Vendor Registration</w:t>
      </w:r>
    </w:p>
    <w:p>
      <w:pPr>
        <w:spacing w:after="100" w:before="80"/>
        <w:jc w:val="left"/>
      </w:pPr>
      <w:r>
        <w:rPr>
          <w:rFonts w:ascii="Arial" w:cs="Arial" w:eastAsia="Arial" w:hAnsi="Arial"/>
          <w:b w:val="false"/>
          <w:bCs w:val="false"/>
          <w:i w:val="false"/>
          <w:iCs w:val="false"/>
          <w:color w:val="000000"/>
          <w:sz w:val="20"/>
          <w:szCs w:val="20"/>
        </w:rPr>
        <w:t xml:space="preserve">VBX is already registered in eMACS as a vendor; awarded-vendor status requires a second, more detailed registration. An invitation will be sent to the contact on file. If invitation not received within 48 hours, contact emacs@mt.gov directly. Awarded-vendor registration is a precondition for task order receipt.</w:t>
      </w:r>
    </w:p>
    <w:p>
      <w:pPr>
        <w:pStyle w:val="Heading2"/>
        <w:spacing w:after="100" w:before="220"/>
      </w:pPr>
      <w:r>
        <w:rPr>
          <w:rFonts w:ascii="Arial" w:cs="Arial" w:eastAsia="Arial" w:hAnsi="Arial"/>
          <w:b/>
          <w:bCs/>
          <w:color w:val="232D5A"/>
          <w:sz w:val="24"/>
          <w:szCs w:val="24"/>
        </w:rPr>
        <w:t xml:space="preserve">5.3  Contracts Officer Acknowledgment</w:t>
      </w:r>
    </w:p>
    <w:p>
      <w:pPr>
        <w:spacing w:after="100" w:before="80"/>
        <w:jc w:val="left"/>
      </w:pPr>
      <w:r>
        <w:rPr>
          <w:rFonts w:ascii="Arial" w:cs="Arial" w:eastAsia="Arial" w:hAnsi="Arial"/>
          <w:b w:val="false"/>
          <w:bCs w:val="false"/>
          <w:i w:val="false"/>
          <w:iCs w:val="false"/>
          <w:color w:val="000000"/>
          <w:sz w:val="20"/>
          <w:szCs w:val="20"/>
        </w:rPr>
        <w:t xml:space="preserve">Reply to Grace Waring within 24 hours acknowledging receipt of NOIA and confirming Khaalis Wooden as VBX's Contracts POC. Insurance + eMACS in flight. Do NOT commit to contract base language or volunteer concessions before Akil + Tony Paul + Khaalis complete the contract review.</w:t>
      </w:r>
    </w:p>
    <w:p>
      <w:pPr>
        <w:pStyle w:val="Heading2"/>
        <w:spacing w:after="100" w:before="220"/>
      </w:pPr>
      <w:r>
        <w:rPr>
          <w:rFonts w:ascii="Arial" w:cs="Arial" w:eastAsia="Arial" w:hAnsi="Arial"/>
          <w:b/>
          <w:bCs/>
          <w:color w:val="232D5A"/>
          <w:sz w:val="24"/>
          <w:szCs w:val="24"/>
        </w:rPr>
        <w:t xml:space="preserve">5.4  Hold List — Do Not Do Yet</w:t>
      </w:r>
    </w:p>
    <w:p>
      <w:pPr>
        <w:spacing w:after="40" w:before="80"/>
        <w:jc w:val="left"/>
      </w:pPr>
      <w:r>
        <w:rPr>
          <w:rFonts w:ascii="Arial" w:cs="Arial" w:eastAsia="Arial" w:hAnsi="Arial"/>
          <w:b w:val="false"/>
          <w:bCs w:val="false"/>
          <w:i w:val="false"/>
          <w:iCs w:val="false"/>
          <w:color w:val="000000"/>
          <w:sz w:val="20"/>
          <w:szCs w:val="20"/>
        </w:rPr>
        <w:t xml:space="preserve">• No LinkedIn announcement — NOIA is not a contract. Public commentary in the 7-day notice window can invite protest from unsuccessful offerors.</w:t>
      </w:r>
    </w:p>
    <w:p>
      <w:pPr>
        <w:spacing w:after="40" w:before="80"/>
        <w:jc w:val="left"/>
      </w:pPr>
      <w:r>
        <w:rPr>
          <w:rFonts w:ascii="Arial" w:cs="Arial" w:eastAsia="Arial" w:hAnsi="Arial"/>
          <w:b w:val="false"/>
          <w:bCs w:val="false"/>
          <w:i w:val="false"/>
          <w:iCs w:val="false"/>
          <w:color w:val="000000"/>
          <w:sz w:val="20"/>
          <w:szCs w:val="20"/>
        </w:rPr>
        <w:t xml:space="preserve">• No partner brag-emails — wait for signature.</w:t>
      </w:r>
    </w:p>
    <w:p>
      <w:pPr>
        <w:spacing w:after="40" w:before="80"/>
        <w:jc w:val="left"/>
      </w:pPr>
      <w:r>
        <w:rPr>
          <w:rFonts w:ascii="Arial" w:cs="Arial" w:eastAsia="Arial" w:hAnsi="Arial"/>
          <w:b w:val="false"/>
          <w:bCs w:val="false"/>
          <w:i w:val="false"/>
          <w:iCs w:val="false"/>
          <w:color w:val="000000"/>
          <w:sz w:val="20"/>
          <w:szCs w:val="20"/>
        </w:rPr>
        <w:t xml:space="preserve">• No press release — wait for signature.</w:t>
      </w:r>
    </w:p>
    <w:p>
      <w:pPr>
        <w:spacing w:after="100" w:before="80"/>
        <w:jc w:val="left"/>
      </w:pPr>
      <w:r>
        <w:rPr>
          <w:rFonts w:ascii="Arial" w:cs="Arial" w:eastAsia="Arial" w:hAnsi="Arial"/>
          <w:b w:val="false"/>
          <w:bCs w:val="false"/>
          <w:i w:val="false"/>
          <w:iCs w:val="false"/>
          <w:color w:val="000000"/>
          <w:sz w:val="20"/>
          <w:szCs w:val="20"/>
        </w:rPr>
        <w:t xml:space="preserve">• No Anthropic Partner Network mention as "Montana win" — wait for signature.</w:t>
      </w:r>
    </w:p>
    <w:p>
      <w:r>
        <w:br w:type="page"/>
      </w:r>
    </w:p>
    <w:p>
      <w:pPr>
        <w:pStyle w:val="Heading1"/>
        <w:pBdr>
          <w:bottom w:val="single" w:color="2EA891" w:sz="12" w:space="6"/>
        </w:pBdr>
        <w:spacing w:after="160" w:before="360"/>
      </w:pPr>
      <w:r>
        <w:rPr>
          <w:rFonts w:ascii="Arial" w:cs="Arial" w:eastAsia="Arial" w:hAnsi="Arial"/>
          <w:b/>
          <w:bCs/>
          <w:color w:val="232D5A"/>
          <w:sz w:val="30"/>
          <w:szCs w:val="30"/>
        </w:rPr>
        <w:t xml:space="preserve">6.  Contract Terms Review — Service Contract Base + Exhibits A, B, C</w:t>
      </w:r>
    </w:p>
    <w:p>
      <w:pPr>
        <w:spacing w:after="120" w:before="80"/>
        <w:jc w:val="left"/>
      </w:pPr>
      <w:r>
        <w:rPr>
          <w:rFonts w:ascii="Arial" w:cs="Arial" w:eastAsia="Arial" w:hAnsi="Arial"/>
          <w:b w:val="false"/>
          <w:bCs w:val="false"/>
          <w:i/>
          <w:iCs/>
          <w:color w:val="595959"/>
          <w:sz w:val="20"/>
          <w:szCs w:val="20"/>
        </w:rPr>
        <w:t xml:space="preserve">This is a high-level red/amber/green review focused on operational risk, delivery posture, and pricing implications. Final legal review still required before signature. Exhibit B (Federal Terms) is largely boilerplate flow-down and is not extracted here unless it interacts with another clause.</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400"/>
        <w:gridCol w:w="1400"/>
        <w:gridCol w:w="3760"/>
        <w:gridCol w:w="1800"/>
      </w:tblGrid>
      <w:tr>
        <w:tc>
          <w:tcPr>
            <w:tcW w:type="dxa" w:w="2400"/>
            <w:tcBorders>
              <w:top w:val="single" w:color="BFBFBF" w:sz="4"/>
              <w:start w:val="single" w:color="BFBFBF" w:sz="4"/>
              <w:bottom w:val="single" w:color="BFBFBF" w:sz="4"/>
              <w:end w:val="single" w:color="BFBFBF" w:sz="4"/>
            </w:tcBorders>
            <w:shd w:fill="232D5A" w:val="clear"/>
            <w:tcMar>
              <w:top w:type="dxa" w:w="100"/>
              <w:start w:type="dxa" w:w="140"/>
              <w:bottom w:type="dxa" w:w="100"/>
              <w:end w:type="dxa" w:w="140"/>
            </w:tcMar>
            <w:vAlign w:val="top"/>
          </w:tcPr>
          <w:p>
            <w:pPr>
              <w:jc w:val="left"/>
            </w:pPr>
            <w:r>
              <w:rPr>
                <w:rFonts w:ascii="Arial" w:cs="Arial" w:eastAsia="Arial" w:hAnsi="Arial"/>
                <w:b/>
                <w:bCs/>
                <w:color w:val="FFFFFF"/>
                <w:sz w:val="18"/>
                <w:szCs w:val="18"/>
              </w:rPr>
              <w:t xml:space="preserve">Provision</w:t>
            </w:r>
          </w:p>
        </w:tc>
        <w:tc>
          <w:tcPr>
            <w:tcW w:type="dxa" w:w="1400"/>
            <w:tcBorders>
              <w:top w:val="single" w:color="BFBFBF" w:sz="4"/>
              <w:start w:val="single" w:color="BFBFBF" w:sz="4"/>
              <w:bottom w:val="single" w:color="BFBFBF" w:sz="4"/>
              <w:end w:val="single" w:color="BFBFBF" w:sz="4"/>
            </w:tcBorders>
            <w:shd w:fill="232D5A" w:val="clear"/>
            <w:tcMar>
              <w:top w:type="dxa" w:w="100"/>
              <w:start w:type="dxa" w:w="140"/>
              <w:bottom w:type="dxa" w:w="100"/>
              <w:end w:type="dxa" w:w="140"/>
            </w:tcMar>
            <w:vAlign w:val="top"/>
          </w:tcPr>
          <w:p>
            <w:pPr>
              <w:jc w:val="left"/>
            </w:pPr>
            <w:r>
              <w:rPr>
                <w:rFonts w:ascii="Arial" w:cs="Arial" w:eastAsia="Arial" w:hAnsi="Arial"/>
                <w:b/>
                <w:bCs/>
                <w:color w:val="FFFFFF"/>
                <w:sz w:val="18"/>
                <w:szCs w:val="18"/>
              </w:rPr>
              <w:t xml:space="preserve">Source</w:t>
            </w:r>
          </w:p>
        </w:tc>
        <w:tc>
          <w:tcPr>
            <w:tcW w:type="dxa" w:w="3760"/>
            <w:tcBorders>
              <w:top w:val="single" w:color="BFBFBF" w:sz="4"/>
              <w:start w:val="single" w:color="BFBFBF" w:sz="4"/>
              <w:bottom w:val="single" w:color="BFBFBF" w:sz="4"/>
              <w:end w:val="single" w:color="BFBFBF" w:sz="4"/>
            </w:tcBorders>
            <w:shd w:fill="232D5A" w:val="clear"/>
            <w:tcMar>
              <w:top w:type="dxa" w:w="100"/>
              <w:start w:type="dxa" w:w="140"/>
              <w:bottom w:type="dxa" w:w="100"/>
              <w:end w:type="dxa" w:w="140"/>
            </w:tcMar>
            <w:vAlign w:val="top"/>
          </w:tcPr>
          <w:p>
            <w:pPr>
              <w:jc w:val="left"/>
            </w:pPr>
            <w:r>
              <w:rPr>
                <w:rFonts w:ascii="Arial" w:cs="Arial" w:eastAsia="Arial" w:hAnsi="Arial"/>
                <w:b/>
                <w:bCs/>
                <w:color w:val="FFFFFF"/>
                <w:sz w:val="18"/>
                <w:szCs w:val="18"/>
              </w:rPr>
              <w:t xml:space="preserve">Finding</w:t>
            </w:r>
          </w:p>
        </w:tc>
        <w:tc>
          <w:tcPr>
            <w:tcW w:type="dxa" w:w="1800"/>
            <w:tcBorders>
              <w:top w:val="single" w:color="BFBFBF" w:sz="4"/>
              <w:start w:val="single" w:color="BFBFBF" w:sz="4"/>
              <w:bottom w:val="single" w:color="BFBFBF" w:sz="4"/>
              <w:end w:val="single" w:color="BFBFBF" w:sz="4"/>
            </w:tcBorders>
            <w:shd w:fill="232D5A" w:val="clear"/>
            <w:tcMar>
              <w:top w:type="dxa" w:w="100"/>
              <w:start w:type="dxa" w:w="140"/>
              <w:bottom w:type="dxa" w:w="100"/>
              <w:end w:type="dxa" w:w="140"/>
            </w:tcMar>
            <w:vAlign w:val="top"/>
          </w:tcPr>
          <w:p>
            <w:pPr>
              <w:jc w:val="left"/>
            </w:pPr>
            <w:r>
              <w:rPr>
                <w:rFonts w:ascii="Arial" w:cs="Arial" w:eastAsia="Arial" w:hAnsi="Arial"/>
                <w:b/>
                <w:bCs/>
                <w:color w:val="FFFFFF"/>
                <w:sz w:val="18"/>
                <w:szCs w:val="18"/>
              </w:rPr>
              <w:t xml:space="preserve">Action</w:t>
            </w:r>
          </w:p>
        </w:tc>
      </w:tr>
      <w:tr>
        <w:tc>
          <w:tcPr>
            <w:tcW w:type="dxa" w:w="24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left"/>
            </w:pPr>
            <w:r>
              <w:rPr>
                <w:rFonts w:ascii="Arial" w:cs="Arial" w:eastAsia="Arial" w:hAnsi="Arial"/>
                <w:b/>
                <w:bCs/>
                <w:color w:val="B30000"/>
                <w:sz w:val="18"/>
                <w:szCs w:val="18"/>
              </w:rPr>
              <w:t xml:space="preserve">Remote Access — US-only</w:t>
            </w:r>
          </w:p>
        </w:tc>
        <w:tc>
          <w:tcPr>
            <w:tcW w:type="dxa" w:w="14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Exhibit C §1e</w:t>
            </w:r>
          </w:p>
        </w:tc>
        <w:tc>
          <w:tcPr>
            <w:tcW w:type="dxa" w:w="376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MT IT resources may NOT be accessed by Contractor, employees, agents, subcontractors, or affiliated users located outside the legal jurisdictional boundary of the United States. No exceptions.</w:t>
            </w:r>
          </w:p>
        </w:tc>
        <w:tc>
          <w:tcPr>
            <w:tcW w:type="dxa" w:w="1800"/>
            <w:tcBorders>
              <w:top w:val="single" w:color="BFBFBF" w:sz="4"/>
              <w:start w:val="single" w:color="BFBFBF" w:sz="4"/>
              <w:bottom w:val="single" w:color="BFBFBF" w:sz="4"/>
              <w:end w:val="single" w:color="BFBFBF" w:sz="4"/>
            </w:tcBorders>
            <w:shd w:fill="FBE5E5" w:val="clear"/>
            <w:tcMar>
              <w:top w:type="dxa" w:w="100"/>
              <w:start w:type="dxa" w:w="140"/>
              <w:bottom w:type="dxa" w:w="100"/>
              <w:end w:type="dxa" w:w="140"/>
            </w:tcMar>
            <w:vAlign w:val="top"/>
          </w:tcPr>
          <w:p>
            <w:pPr>
              <w:jc w:val="left"/>
            </w:pPr>
            <w:r>
              <w:rPr>
                <w:rFonts w:ascii="Arial" w:cs="Arial" w:eastAsia="Arial" w:hAnsi="Arial"/>
                <w:b/>
                <w:bCs/>
                <w:color w:val="000000"/>
                <w:sz w:val="18"/>
                <w:szCs w:val="18"/>
              </w:rPr>
              <w:t xml:space="preserve">VBX India SAP delivery team (Peter Jayajar + India team) cannot touch MT data. Bench any India-staffed delivery on MT task orders. US-only delivery posture required.</w:t>
            </w:r>
          </w:p>
        </w:tc>
      </w:tr>
      <w:tr>
        <w:tc>
          <w:tcPr>
            <w:tcW w:type="dxa" w:w="2400"/>
            <w:tcBorders>
              <w:top w:val="single" w:color="BFBFBF" w:sz="4"/>
              <w:start w:val="single" w:color="BFBFBF" w:sz="4"/>
              <w:bottom w:val="single" w:color="BFBFBF" w:sz="4"/>
              <w:end w:val="single" w:color="BFBFBF" w:sz="4"/>
            </w:tcBorders>
            <w:shd w:fill="F2F2F2" w:val="clear"/>
            <w:tcMar>
              <w:top w:type="dxa" w:w="100"/>
              <w:start w:type="dxa" w:w="140"/>
              <w:bottom w:type="dxa" w:w="100"/>
              <w:end w:type="dxa" w:w="140"/>
            </w:tcMar>
            <w:vAlign w:val="top"/>
          </w:tcPr>
          <w:p>
            <w:pPr>
              <w:jc w:val="left"/>
            </w:pPr>
            <w:r>
              <w:rPr>
                <w:rFonts w:ascii="Arial" w:cs="Arial" w:eastAsia="Arial" w:hAnsi="Arial"/>
                <w:b/>
                <w:bCs/>
                <w:color w:val="B30000"/>
                <w:sz w:val="18"/>
                <w:szCs w:val="18"/>
              </w:rPr>
              <w:t xml:space="preserve">Cyber Insurance Tower — $6M</w:t>
            </w:r>
          </w:p>
        </w:tc>
        <w:tc>
          <w:tcPr>
            <w:tcW w:type="dxa" w:w="1400"/>
            <w:tcBorders>
              <w:top w:val="single" w:color="BFBFBF" w:sz="4"/>
              <w:start w:val="single" w:color="BFBFBF" w:sz="4"/>
              <w:bottom w:val="single" w:color="BFBFBF" w:sz="4"/>
              <w:end w:val="single" w:color="BFBFBF" w:sz="4"/>
            </w:tcBorders>
            <w:shd w:fill="F2F2F2" w:val="clear"/>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Exhibit C §9</w:t>
            </w:r>
          </w:p>
        </w:tc>
        <w:tc>
          <w:tcPr>
            <w:tcW w:type="dxa" w:w="3760"/>
            <w:tcBorders>
              <w:top w:val="single" w:color="BFBFBF" w:sz="4"/>
              <w:start w:val="single" w:color="BFBFBF" w:sz="4"/>
              <w:bottom w:val="single" w:color="BFBFBF" w:sz="4"/>
              <w:end w:val="single" w:color="BFBFBF" w:sz="4"/>
            </w:tcBorders>
            <w:shd w:fill="F2F2F2" w:val="clear"/>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$6M aggregate cyber/info security policy required. Specific coverage list (notification, credit monitoring, forensics, legal, fines, third-party liability).</w:t>
            </w:r>
          </w:p>
        </w:tc>
        <w:tc>
          <w:tcPr>
            <w:tcW w:type="dxa" w:w="1800"/>
            <w:tcBorders>
              <w:top w:val="single" w:color="BFBFBF" w:sz="4"/>
              <w:start w:val="single" w:color="BFBFBF" w:sz="4"/>
              <w:bottom w:val="single" w:color="BFBFBF" w:sz="4"/>
              <w:end w:val="single" w:color="BFBFBF" w:sz="4"/>
            </w:tcBorders>
            <w:shd w:fill="FBE5E5" w:val="clear"/>
            <w:tcMar>
              <w:top w:type="dxa" w:w="100"/>
              <w:start w:type="dxa" w:w="140"/>
              <w:bottom w:type="dxa" w:w="100"/>
              <w:end w:type="dxa" w:w="140"/>
            </w:tcMar>
            <w:vAlign w:val="top"/>
          </w:tcPr>
          <w:p>
            <w:pPr>
              <w:jc w:val="left"/>
            </w:pPr>
            <w:r>
              <w:rPr>
                <w:rFonts w:ascii="Arial" w:cs="Arial" w:eastAsia="Arial" w:hAnsi="Arial"/>
                <w:b/>
                <w:bCs/>
                <w:color w:val="000000"/>
                <w:sz w:val="18"/>
                <w:szCs w:val="18"/>
              </w:rPr>
              <w:t xml:space="preserve">10-day procurement. See §5.1 above.</w:t>
            </w:r>
          </w:p>
        </w:tc>
      </w:tr>
      <w:tr>
        <w:tc>
          <w:tcPr>
            <w:tcW w:type="dxa" w:w="24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left"/>
            </w:pPr>
            <w:r>
              <w:rPr>
                <w:rFonts w:ascii="Arial" w:cs="Arial" w:eastAsia="Arial" w:hAnsi="Arial"/>
                <w:b/>
                <w:bCs/>
                <w:color w:val="B30000"/>
                <w:sz w:val="18"/>
                <w:szCs w:val="18"/>
              </w:rPr>
              <w:t xml:space="preserve">AI Training on State Data — Prohibited</w:t>
            </w:r>
          </w:p>
        </w:tc>
        <w:tc>
          <w:tcPr>
            <w:tcW w:type="dxa" w:w="14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Exhibit C §15 (Use of AI)</w:t>
            </w:r>
          </w:p>
        </w:tc>
        <w:tc>
          <w:tcPr>
            <w:tcW w:type="dxa" w:w="376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Contractor PROHIBITED from using State materials or data in generative AI queries OR from building/training proprietary generative AI programs without prior written State permission. Contractor attests its AI models use only properly licensed material. Indemnification on violation.</w:t>
            </w:r>
          </w:p>
        </w:tc>
        <w:tc>
          <w:tcPr>
            <w:tcW w:type="dxa" w:w="1800"/>
            <w:tcBorders>
              <w:top w:val="single" w:color="BFBFBF" w:sz="4"/>
              <w:start w:val="single" w:color="BFBFBF" w:sz="4"/>
              <w:bottom w:val="single" w:color="BFBFBF" w:sz="4"/>
              <w:end w:val="single" w:color="BFBFBF" w:sz="4"/>
            </w:tcBorders>
            <w:shd w:fill="FBE5E5" w:val="clear"/>
            <w:tcMar>
              <w:top w:type="dxa" w:w="100"/>
              <w:start w:type="dxa" w:w="140"/>
              <w:bottom w:type="dxa" w:w="100"/>
              <w:end w:type="dxa" w:w="140"/>
            </w:tcMar>
            <w:vAlign w:val="top"/>
          </w:tcPr>
          <w:p>
            <w:pPr>
              <w:jc w:val="left"/>
            </w:pPr>
            <w:r>
              <w:rPr>
                <w:rFonts w:ascii="Arial" w:cs="Arial" w:eastAsia="Arial" w:hAnsi="Arial"/>
                <w:b/>
                <w:bCs/>
                <w:color w:val="000000"/>
                <w:sz w:val="18"/>
                <w:szCs w:val="18"/>
              </w:rPr>
              <w:t xml:space="preserve">Audit ALL downstream AI/LLM vendor terms (AWS Bedrock, OpenAI, Anthropic enterprise, Azure OpenAI) for no-training-on-customer-data guarantees. Document the AI stack pre-TO-bid.</w:t>
            </w:r>
          </w:p>
        </w:tc>
      </w:tr>
      <w:tr>
        <w:tc>
          <w:tcPr>
            <w:tcW w:type="dxa" w:w="2400"/>
            <w:tcBorders>
              <w:top w:val="single" w:color="BFBFBF" w:sz="4"/>
              <w:start w:val="single" w:color="BFBFBF" w:sz="4"/>
              <w:bottom w:val="single" w:color="BFBFBF" w:sz="4"/>
              <w:end w:val="single" w:color="BFBFBF" w:sz="4"/>
            </w:tcBorders>
            <w:shd w:fill="F2F2F2" w:val="clear"/>
            <w:tcMar>
              <w:top w:type="dxa" w:w="100"/>
              <w:start w:type="dxa" w:w="140"/>
              <w:bottom w:type="dxa" w:w="100"/>
              <w:end w:type="dxa" w:w="140"/>
            </w:tcMar>
            <w:vAlign w:val="top"/>
          </w:tcPr>
          <w:p>
            <w:pPr>
              <w:jc w:val="left"/>
            </w:pPr>
            <w:r>
              <w:rPr>
                <w:rFonts w:ascii="Arial" w:cs="Arial" w:eastAsia="Arial" w:hAnsi="Arial"/>
                <w:b/>
                <w:bCs/>
                <w:color w:val="B30000"/>
                <w:sz w:val="18"/>
                <w:szCs w:val="18"/>
              </w:rPr>
              <w:t xml:space="preserve">Data Location — US-only Storage/Processing</w:t>
            </w:r>
          </w:p>
        </w:tc>
        <w:tc>
          <w:tcPr>
            <w:tcW w:type="dxa" w:w="1400"/>
            <w:tcBorders>
              <w:top w:val="single" w:color="BFBFBF" w:sz="4"/>
              <w:start w:val="single" w:color="BFBFBF" w:sz="4"/>
              <w:bottom w:val="single" w:color="BFBFBF" w:sz="4"/>
              <w:end w:val="single" w:color="BFBFBF" w:sz="4"/>
            </w:tcBorders>
            <w:shd w:fill="F2F2F2" w:val="clear"/>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Exhibit C §15 (Data Location, Moderate)</w:t>
            </w:r>
          </w:p>
        </w:tc>
        <w:tc>
          <w:tcPr>
            <w:tcW w:type="dxa" w:w="3760"/>
            <w:tcBorders>
              <w:top w:val="single" w:color="BFBFBF" w:sz="4"/>
              <w:start w:val="single" w:color="BFBFBF" w:sz="4"/>
              <w:bottom w:val="single" w:color="BFBFBF" w:sz="4"/>
              <w:end w:val="single" w:color="BFBFBF" w:sz="4"/>
            </w:tcBorders>
            <w:shd w:fill="F2F2F2" w:val="clear"/>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Contractor shall not store, process, or transfer any non-public State data outside the US — including for services or back-up and disaster recovery.</w:t>
            </w:r>
          </w:p>
        </w:tc>
        <w:tc>
          <w:tcPr>
            <w:tcW w:type="dxa" w:w="1800"/>
            <w:tcBorders>
              <w:top w:val="single" w:color="BFBFBF" w:sz="4"/>
              <w:start w:val="single" w:color="BFBFBF" w:sz="4"/>
              <w:bottom w:val="single" w:color="BFBFBF" w:sz="4"/>
              <w:end w:val="single" w:color="BFBFBF" w:sz="4"/>
            </w:tcBorders>
            <w:shd w:fill="FBE5E5" w:val="clear"/>
            <w:tcMar>
              <w:top w:type="dxa" w:w="100"/>
              <w:start w:type="dxa" w:w="140"/>
              <w:bottom w:type="dxa" w:w="100"/>
              <w:end w:type="dxa" w:w="140"/>
            </w:tcMar>
            <w:vAlign w:val="top"/>
          </w:tcPr>
          <w:p>
            <w:pPr>
              <w:jc w:val="left"/>
            </w:pPr>
            <w:r>
              <w:rPr>
                <w:rFonts w:ascii="Arial" w:cs="Arial" w:eastAsia="Arial" w:hAnsi="Arial"/>
                <w:b/>
                <w:bCs/>
                <w:color w:val="000000"/>
                <w:sz w:val="18"/>
                <w:szCs w:val="18"/>
              </w:rPr>
              <w:t xml:space="preserve">Verify AWS/Azure/GCP region selection (US gov or US commercial only). No global multi-region DR. Document at TO award.</w:t>
            </w:r>
          </w:p>
        </w:tc>
      </w:tr>
      <w:tr>
        <w:tc>
          <w:tcPr>
            <w:tcW w:type="dxa" w:w="24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left"/>
            </w:pPr>
            <w:r>
              <w:rPr>
                <w:rFonts w:ascii="Arial" w:cs="Arial" w:eastAsia="Arial" w:hAnsi="Arial"/>
                <w:b/>
                <w:bCs/>
                <w:color w:val="000000"/>
                <w:sz w:val="18"/>
                <w:szCs w:val="18"/>
              </w:rPr>
              <w:t xml:space="preserve">FIPS 199 MODERATE Data Classification</w:t>
            </w:r>
          </w:p>
        </w:tc>
        <w:tc>
          <w:tcPr>
            <w:tcW w:type="dxa" w:w="14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Exhibit C §15</w:t>
            </w:r>
          </w:p>
        </w:tc>
        <w:tc>
          <w:tcPr>
            <w:tcW w:type="dxa" w:w="376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State has marked the contract as handling Non-public Data at FIPS 199 MODERATE level. All moderate-level data security terms apply (Data Ownership, Location, Disclosure/Usage, Authorized Personnel, AI).</w:t>
            </w:r>
          </w:p>
        </w:tc>
        <w:tc>
          <w:tcPr>
            <w:tcW w:type="dxa" w:w="1800"/>
            <w:tcBorders>
              <w:top w:val="single" w:color="BFBFBF" w:sz="4"/>
              <w:start w:val="single" w:color="BFBFBF" w:sz="4"/>
              <w:bottom w:val="single" w:color="BFBFBF" w:sz="4"/>
              <w:end w:val="single" w:color="BFBFBF" w:sz="4"/>
            </w:tcBorders>
            <w:shd w:fill="FFF4D6" w:val="clear"/>
            <w:tcMar>
              <w:top w:type="dxa" w:w="100"/>
              <w:start w:type="dxa" w:w="140"/>
              <w:bottom w:type="dxa" w:w="100"/>
              <w:end w:type="dxa" w:w="140"/>
            </w:tcMar>
            <w:vAlign w:val="top"/>
          </w:tcPr>
          <w:p>
            <w:pPr>
              <w:jc w:val="left"/>
            </w:pPr>
            <w:r>
              <w:rPr>
                <w:rFonts w:ascii="Arial" w:cs="Arial" w:eastAsia="Arial" w:hAnsi="Arial"/>
                <w:b/>
                <w:bCs/>
                <w:color w:val="000000"/>
                <w:sz w:val="18"/>
                <w:szCs w:val="18"/>
              </w:rPr>
              <w:t xml:space="preserve">Map VBX delivery to NIST 800-53 MODERATE control baseline. Document gap to SOC 2 Type II readiness.</w:t>
            </w:r>
          </w:p>
        </w:tc>
      </w:tr>
      <w:tr>
        <w:tc>
          <w:tcPr>
            <w:tcW w:type="dxa" w:w="2400"/>
            <w:tcBorders>
              <w:top w:val="single" w:color="BFBFBF" w:sz="4"/>
              <w:start w:val="single" w:color="BFBFBF" w:sz="4"/>
              <w:bottom w:val="single" w:color="BFBFBF" w:sz="4"/>
              <w:end w:val="single" w:color="BFBFBF" w:sz="4"/>
            </w:tcBorders>
            <w:shd w:fill="F2F2F2" w:val="clear"/>
            <w:tcMar>
              <w:top w:type="dxa" w:w="100"/>
              <w:start w:type="dxa" w:w="140"/>
              <w:bottom w:type="dxa" w:w="100"/>
              <w:end w:type="dxa" w:w="140"/>
            </w:tcMar>
            <w:vAlign w:val="top"/>
          </w:tcPr>
          <w:p>
            <w:pPr>
              <w:jc w:val="left"/>
            </w:pPr>
            <w:r>
              <w:rPr>
                <w:rFonts w:ascii="Arial" w:cs="Arial" w:eastAsia="Arial" w:hAnsi="Arial"/>
                <w:b/>
                <w:bCs/>
                <w:color w:val="000000"/>
                <w:sz w:val="18"/>
                <w:szCs w:val="18"/>
              </w:rPr>
              <w:t xml:space="preserve">No State Indemnification</w:t>
            </w:r>
          </w:p>
        </w:tc>
        <w:tc>
          <w:tcPr>
            <w:tcW w:type="dxa" w:w="1400"/>
            <w:tcBorders>
              <w:top w:val="single" w:color="BFBFBF" w:sz="4"/>
              <w:start w:val="single" w:color="BFBFBF" w:sz="4"/>
              <w:bottom w:val="single" w:color="BFBFBF" w:sz="4"/>
              <w:end w:val="single" w:color="BFBFBF" w:sz="4"/>
            </w:tcBorders>
            <w:shd w:fill="F2F2F2" w:val="clear"/>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Exhibit C §13</w:t>
            </w:r>
          </w:p>
        </w:tc>
        <w:tc>
          <w:tcPr>
            <w:tcW w:type="dxa" w:w="3760"/>
            <w:tcBorders>
              <w:top w:val="single" w:color="BFBFBF" w:sz="4"/>
              <w:start w:val="single" w:color="BFBFBF" w:sz="4"/>
              <w:bottom w:val="single" w:color="BFBFBF" w:sz="4"/>
              <w:end w:val="single" w:color="BFBFBF" w:sz="4"/>
            </w:tcBorders>
            <w:shd w:fill="F2F2F2" w:val="clear"/>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"State shall not indemnify Contractor or its subcontractor." Asymmetric — VBX bears all defense/indemnity risk per Exhibit A §7.</w:t>
            </w:r>
          </w:p>
        </w:tc>
        <w:tc>
          <w:tcPr>
            <w:tcW w:type="dxa" w:w="1800"/>
            <w:tcBorders>
              <w:top w:val="single" w:color="BFBFBF" w:sz="4"/>
              <w:start w:val="single" w:color="BFBFBF" w:sz="4"/>
              <w:bottom w:val="single" w:color="BFBFBF" w:sz="4"/>
              <w:end w:val="single" w:color="BFBFBF" w:sz="4"/>
            </w:tcBorders>
            <w:shd w:fill="FFF4D6" w:val="clear"/>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Price risk premium into TO bids. Confirm cyber insurance + GL umbrella adequately backstops indemnification scope.</w:t>
            </w:r>
          </w:p>
        </w:tc>
      </w:tr>
      <w:tr>
        <w:tc>
          <w:tcPr>
            <w:tcW w:type="dxa" w:w="24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left"/>
            </w:pPr>
            <w:r>
              <w:rPr>
                <w:rFonts w:ascii="Arial" w:cs="Arial" w:eastAsia="Arial" w:hAnsi="Arial"/>
                <w:b/>
                <w:bCs/>
                <w:color w:val="000000"/>
                <w:sz w:val="18"/>
                <w:szCs w:val="18"/>
              </w:rPr>
              <w:t xml:space="preserve">Subcontracting — State Consent Required</w:t>
            </w:r>
          </w:p>
        </w:tc>
        <w:tc>
          <w:tcPr>
            <w:tcW w:type="dxa" w:w="14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Exhibit A §4.1</w:t>
            </w:r>
          </w:p>
        </w:tc>
        <w:tc>
          <w:tcPr>
            <w:tcW w:type="dxa" w:w="376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VBX may not assign, transfer, or subcontract any portion without State's prior written consent. Subs do not relieve VBX of obligations.</w:t>
            </w:r>
          </w:p>
        </w:tc>
        <w:tc>
          <w:tcPr>
            <w:tcW w:type="dxa" w:w="1800"/>
            <w:tcBorders>
              <w:top w:val="single" w:color="BFBFBF" w:sz="4"/>
              <w:start w:val="single" w:color="BFBFBF" w:sz="4"/>
              <w:bottom w:val="single" w:color="BFBFBF" w:sz="4"/>
              <w:end w:val="single" w:color="BFBFBF" w:sz="4"/>
            </w:tcBorders>
            <w:shd w:fill="FFF4D6" w:val="clear"/>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Name any cyber/AI sub in the TO bid itself. Get State written consent at TO award, not mid-stream.</w:t>
            </w:r>
          </w:p>
        </w:tc>
      </w:tr>
      <w:tr>
        <w:tc>
          <w:tcPr>
            <w:tcW w:type="dxa" w:w="2400"/>
            <w:tcBorders>
              <w:top w:val="single" w:color="BFBFBF" w:sz="4"/>
              <w:start w:val="single" w:color="BFBFBF" w:sz="4"/>
              <w:bottom w:val="single" w:color="BFBFBF" w:sz="4"/>
              <w:end w:val="single" w:color="BFBFBF" w:sz="4"/>
            </w:tcBorders>
            <w:shd w:fill="F2F2F2" w:val="clear"/>
            <w:tcMar>
              <w:top w:type="dxa" w:w="100"/>
              <w:start w:type="dxa" w:w="140"/>
              <w:bottom w:type="dxa" w:w="100"/>
              <w:end w:type="dxa" w:w="140"/>
            </w:tcMar>
            <w:vAlign w:val="top"/>
          </w:tcPr>
          <w:p>
            <w:pPr>
              <w:jc w:val="left"/>
            </w:pPr>
            <w:r>
              <w:rPr>
                <w:rFonts w:ascii="Arial" w:cs="Arial" w:eastAsia="Arial" w:hAnsi="Arial"/>
                <w:b/>
                <w:bCs/>
                <w:color w:val="000000"/>
                <w:sz w:val="18"/>
                <w:szCs w:val="18"/>
              </w:rPr>
              <w:t xml:space="preserve">Annual Background Checks</w:t>
            </w:r>
          </w:p>
        </w:tc>
        <w:tc>
          <w:tcPr>
            <w:tcW w:type="dxa" w:w="1400"/>
            <w:tcBorders>
              <w:top w:val="single" w:color="BFBFBF" w:sz="4"/>
              <w:start w:val="single" w:color="BFBFBF" w:sz="4"/>
              <w:bottom w:val="single" w:color="BFBFBF" w:sz="4"/>
              <w:end w:val="single" w:color="BFBFBF" w:sz="4"/>
            </w:tcBorders>
            <w:shd w:fill="F2F2F2" w:val="clear"/>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Exhibit C §6</w:t>
            </w:r>
          </w:p>
        </w:tc>
        <w:tc>
          <w:tcPr>
            <w:tcW w:type="dxa" w:w="3760"/>
            <w:tcBorders>
              <w:top w:val="single" w:color="BFBFBF" w:sz="4"/>
              <w:start w:val="single" w:color="BFBFBF" w:sz="4"/>
              <w:bottom w:val="single" w:color="BFBFBF" w:sz="4"/>
              <w:end w:val="single" w:color="BFBFBF" w:sz="4"/>
            </w:tcBorders>
            <w:shd w:fill="F2F2F2" w:val="clear"/>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VBX warrants to assign only employees/subs who have annually completed and passed a background check. State may require an additional State IT background check for sensitive-data access.</w:t>
            </w:r>
          </w:p>
        </w:tc>
        <w:tc>
          <w:tcPr>
            <w:tcW w:type="dxa" w:w="1800"/>
            <w:tcBorders>
              <w:top w:val="single" w:color="BFBFBF" w:sz="4"/>
              <w:start w:val="single" w:color="BFBFBF" w:sz="4"/>
              <w:bottom w:val="single" w:color="BFBFBF" w:sz="4"/>
              <w:end w:val="single" w:color="BFBFBF" w:sz="4"/>
            </w:tcBorders>
            <w:shd w:fill="FFF4D6" w:val="clear"/>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Operational HR process — annual cadence (more frequent than typical). Tony Paul to own.</w:t>
            </w:r>
          </w:p>
        </w:tc>
      </w:tr>
      <w:tr>
        <w:tc>
          <w:tcPr>
            <w:tcW w:type="dxa" w:w="24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left"/>
            </w:pPr>
            <w:r>
              <w:rPr>
                <w:rFonts w:ascii="Arial" w:cs="Arial" w:eastAsia="Arial" w:hAnsi="Arial"/>
                <w:b/>
                <w:bCs/>
                <w:color w:val="000000"/>
                <w:sz w:val="18"/>
                <w:szCs w:val="18"/>
              </w:rPr>
              <w:t xml:space="preserve">Section 508 Accessibility</w:t>
            </w:r>
          </w:p>
        </w:tc>
        <w:tc>
          <w:tcPr>
            <w:tcW w:type="dxa" w:w="14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Exhibit C §3</w:t>
            </w:r>
          </w:p>
        </w:tc>
        <w:tc>
          <w:tcPr>
            <w:tcW w:type="dxa" w:w="376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All ICT products/platforms/services delivered must conform to Revised 508 Standards (36 CFR 1194.1 Apps A, B, C). State may test. Non-conformance: remediate at no cost OR State may terminate at no cost.</w:t>
            </w:r>
          </w:p>
        </w:tc>
        <w:tc>
          <w:tcPr>
            <w:tcW w:type="dxa" w:w="1800"/>
            <w:tcBorders>
              <w:top w:val="single" w:color="BFBFBF" w:sz="4"/>
              <w:start w:val="single" w:color="BFBFBF" w:sz="4"/>
              <w:bottom w:val="single" w:color="BFBFBF" w:sz="4"/>
              <w:end w:val="single" w:color="BFBFBF" w:sz="4"/>
            </w:tcBorders>
            <w:shd w:fill="FFF4D6" w:val="clear"/>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Build Section 508 compliance into all UI/UX deliverables. Cost of remediation falls on VBX.</w:t>
            </w:r>
          </w:p>
        </w:tc>
      </w:tr>
      <w:tr>
        <w:tc>
          <w:tcPr>
            <w:tcW w:type="dxa" w:w="2400"/>
            <w:tcBorders>
              <w:top w:val="single" w:color="BFBFBF" w:sz="4"/>
              <w:start w:val="single" w:color="BFBFBF" w:sz="4"/>
              <w:bottom w:val="single" w:color="BFBFBF" w:sz="4"/>
              <w:end w:val="single" w:color="BFBFBF" w:sz="4"/>
            </w:tcBorders>
            <w:shd w:fill="F2F2F2" w:val="clear"/>
            <w:tcMar>
              <w:top w:type="dxa" w:w="100"/>
              <w:start w:type="dxa" w:w="140"/>
              <w:bottom w:type="dxa" w:w="100"/>
              <w:end w:type="dxa" w:w="140"/>
            </w:tcMar>
            <w:vAlign w:val="top"/>
          </w:tcPr>
          <w:p>
            <w:pPr>
              <w:jc w:val="left"/>
            </w:pPr>
            <w:r>
              <w:rPr>
                <w:rFonts w:ascii="Arial" w:cs="Arial" w:eastAsia="Arial" w:hAnsi="Arial"/>
                <w:b/>
                <w:bCs/>
                <w:color w:val="000000"/>
                <w:sz w:val="18"/>
                <w:szCs w:val="18"/>
              </w:rPr>
              <w:t xml:space="preserve">Security Awareness Training</w:t>
            </w:r>
          </w:p>
        </w:tc>
        <w:tc>
          <w:tcPr>
            <w:tcW w:type="dxa" w:w="1400"/>
            <w:tcBorders>
              <w:top w:val="single" w:color="BFBFBF" w:sz="4"/>
              <w:start w:val="single" w:color="BFBFBF" w:sz="4"/>
              <w:bottom w:val="single" w:color="BFBFBF" w:sz="4"/>
              <w:end w:val="single" w:color="BFBFBF" w:sz="4"/>
            </w:tcBorders>
            <w:shd w:fill="F2F2F2" w:val="clear"/>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Exhibit C §5</w:t>
            </w:r>
          </w:p>
        </w:tc>
        <w:tc>
          <w:tcPr>
            <w:tcW w:type="dxa" w:w="3760"/>
            <w:tcBorders>
              <w:top w:val="single" w:color="BFBFBF" w:sz="4"/>
              <w:start w:val="single" w:color="BFBFBF" w:sz="4"/>
              <w:bottom w:val="single" w:color="BFBFBF" w:sz="4"/>
              <w:end w:val="single" w:color="BFBFBF" w:sz="4"/>
            </w:tcBorders>
            <w:shd w:fill="F2F2F2" w:val="clear"/>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All VBX/sub personnel with State IT access must complete security awareness training within 12 months OR State-approved annual training.</w:t>
            </w:r>
          </w:p>
        </w:tc>
        <w:tc>
          <w:tcPr>
            <w:tcW w:type="dxa" w:w="1800"/>
            <w:tcBorders>
              <w:top w:val="single" w:color="BFBFBF" w:sz="4"/>
              <w:start w:val="single" w:color="BFBFBF" w:sz="4"/>
              <w:bottom w:val="single" w:color="BFBFBF" w:sz="4"/>
              <w:end w:val="single" w:color="BFBFBF" w:sz="4"/>
            </w:tcBorders>
            <w:shd w:fill="D9F0E0" w:val="clear"/>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Operational — Tony Paul + KnowBe4 (or equivalent) annual training program.</w:t>
            </w:r>
          </w:p>
        </w:tc>
      </w:tr>
      <w:tr>
        <w:tc>
          <w:tcPr>
            <w:tcW w:type="dxa" w:w="24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left"/>
            </w:pPr>
            <w:r>
              <w:rPr>
                <w:rFonts w:ascii="Arial" w:cs="Arial" w:eastAsia="Arial" w:hAnsi="Arial"/>
                <w:b/>
                <w:bCs/>
                <w:color w:val="000000"/>
                <w:sz w:val="18"/>
                <w:szCs w:val="18"/>
              </w:rPr>
              <w:t xml:space="preserve">Stop Work Order Authority</w:t>
            </w:r>
          </w:p>
        </w:tc>
        <w:tc>
          <w:tcPr>
            <w:tcW w:type="dxa" w:w="14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Exhibit C §1d</w:t>
            </w:r>
          </w:p>
        </w:tc>
        <w:tc>
          <w:tcPr>
            <w:tcW w:type="dxa" w:w="376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State CIO may issue Stop Work Order at any time. Contractor must immediately comply and minimize cost incurrence.</w:t>
            </w:r>
          </w:p>
        </w:tc>
        <w:tc>
          <w:tcPr>
            <w:tcW w:type="dxa" w:w="1800"/>
            <w:tcBorders>
              <w:top w:val="single" w:color="BFBFBF" w:sz="4"/>
              <w:start w:val="single" w:color="BFBFBF" w:sz="4"/>
              <w:bottom w:val="single" w:color="BFBFBF" w:sz="4"/>
              <w:end w:val="single" w:color="BFBFBF" w:sz="4"/>
            </w:tcBorders>
            <w:shd w:fill="FFF4D6" w:val="clear"/>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Standard government clause. Cost-incurrence-during-stoppage risk should be priced into TO bids.</w:t>
            </w:r>
          </w:p>
        </w:tc>
      </w:tr>
      <w:tr>
        <w:tc>
          <w:tcPr>
            <w:tcW w:type="dxa" w:w="2400"/>
            <w:tcBorders>
              <w:top w:val="single" w:color="BFBFBF" w:sz="4"/>
              <w:start w:val="single" w:color="BFBFBF" w:sz="4"/>
              <w:bottom w:val="single" w:color="BFBFBF" w:sz="4"/>
              <w:end w:val="single" w:color="BFBFBF" w:sz="4"/>
            </w:tcBorders>
            <w:shd w:fill="F2F2F2" w:val="clear"/>
            <w:tcMar>
              <w:top w:type="dxa" w:w="100"/>
              <w:start w:type="dxa" w:w="140"/>
              <w:bottom w:type="dxa" w:w="100"/>
              <w:end w:type="dxa" w:w="140"/>
            </w:tcMar>
            <w:vAlign w:val="top"/>
          </w:tcPr>
          <w:p>
            <w:pPr>
              <w:jc w:val="left"/>
            </w:pPr>
            <w:r>
              <w:rPr>
                <w:rFonts w:ascii="Arial" w:cs="Arial" w:eastAsia="Arial" w:hAnsi="Arial"/>
                <w:b/>
                <w:bCs/>
                <w:color w:val="000000"/>
                <w:sz w:val="18"/>
                <w:szCs w:val="18"/>
              </w:rPr>
              <w:t xml:space="preserve">Records Retention — 6 Years</w:t>
            </w:r>
          </w:p>
        </w:tc>
        <w:tc>
          <w:tcPr>
            <w:tcW w:type="dxa" w:w="1400"/>
            <w:tcBorders>
              <w:top w:val="single" w:color="BFBFBF" w:sz="4"/>
              <w:start w:val="single" w:color="BFBFBF" w:sz="4"/>
              <w:bottom w:val="single" w:color="BFBFBF" w:sz="4"/>
              <w:end w:val="single" w:color="BFBFBF" w:sz="4"/>
            </w:tcBorders>
            <w:shd w:fill="F2F2F2" w:val="clear"/>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Exhibit A §3.2</w:t>
            </w:r>
          </w:p>
        </w:tc>
        <w:tc>
          <w:tcPr>
            <w:tcW w:type="dxa" w:w="3760"/>
            <w:tcBorders>
              <w:top w:val="single" w:color="BFBFBF" w:sz="4"/>
              <w:start w:val="single" w:color="BFBFBF" w:sz="4"/>
              <w:bottom w:val="single" w:color="BFBFBF" w:sz="4"/>
              <w:end w:val="single" w:color="BFBFBF" w:sz="4"/>
            </w:tcBorders>
            <w:shd w:fill="F2F2F2" w:val="clear"/>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Contractor shall retain all records related to this Contract for 6 years following termination/expiration.</w:t>
            </w:r>
          </w:p>
        </w:tc>
        <w:tc>
          <w:tcPr>
            <w:tcW w:type="dxa" w:w="1800"/>
            <w:tcBorders>
              <w:top w:val="single" w:color="BFBFBF" w:sz="4"/>
              <w:start w:val="single" w:color="BFBFBF" w:sz="4"/>
              <w:bottom w:val="single" w:color="BFBFBF" w:sz="4"/>
              <w:end w:val="single" w:color="BFBFBF" w:sz="4"/>
            </w:tcBorders>
            <w:shd w:fill="FFF4D6" w:val="clear"/>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Operational — set retention policy on all MT contract artifacts. Longer than typical 3-year retention.</w:t>
            </w:r>
          </w:p>
        </w:tc>
      </w:tr>
      <w:tr>
        <w:tc>
          <w:tcPr>
            <w:tcW w:type="dxa" w:w="24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left"/>
            </w:pPr>
            <w:r>
              <w:rPr>
                <w:rFonts w:ascii="Arial" w:cs="Arial" w:eastAsia="Arial" w:hAnsi="Arial"/>
                <w:b/>
                <w:bCs/>
                <w:color w:val="006633"/>
                <w:sz w:val="18"/>
                <w:szCs w:val="18"/>
              </w:rPr>
              <w:t xml:space="preserve">IP Modifications Belong to VBX</w:t>
            </w:r>
          </w:p>
        </w:tc>
        <w:tc>
          <w:tcPr>
            <w:tcW w:type="dxa" w:w="14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Exhibit C §10</w:t>
            </w:r>
          </w:p>
        </w:tc>
        <w:tc>
          <w:tcPr>
            <w:tcW w:type="dxa" w:w="376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State-suggested/requested modifications and improvements implemented by VBX become sole property of VBX. All software IP, copyrights, patents, trademarks remain with VBX.</w:t>
            </w:r>
          </w:p>
        </w:tc>
        <w:tc>
          <w:tcPr>
            <w:tcW w:type="dxa" w:w="1800"/>
            <w:tcBorders>
              <w:top w:val="single" w:color="BFBFBF" w:sz="4"/>
              <w:start w:val="single" w:color="BFBFBF" w:sz="4"/>
              <w:bottom w:val="single" w:color="BFBFBF" w:sz="4"/>
              <w:end w:val="single" w:color="BFBFBF" w:sz="4"/>
            </w:tcBorders>
            <w:shd w:fill="D9F0E0" w:val="clear"/>
            <w:tcMar>
              <w:top w:type="dxa" w:w="100"/>
              <w:start w:type="dxa" w:w="140"/>
              <w:bottom w:type="dxa" w:w="100"/>
              <w:end w:type="dxa" w:w="140"/>
            </w:tcMar>
            <w:vAlign w:val="top"/>
          </w:tcPr>
          <w:p>
            <w:pPr>
              <w:jc w:val="left"/>
            </w:pPr>
            <w:r>
              <w:rPr>
                <w:rFonts w:ascii="Arial" w:cs="Arial" w:eastAsia="Arial" w:hAnsi="Arial"/>
                <w:b/>
                <w:bCs/>
                <w:color w:val="000000"/>
                <w:sz w:val="18"/>
                <w:szCs w:val="18"/>
              </w:rPr>
              <w:t xml:space="preserve">POSITIVE for VBX. Confirms VBX retains IP. Continue to use "proprietary CAH transformation framework" / "HCRIS-grounded benchmarking methodology" external language per IP boundary doctrine.</w:t>
            </w:r>
          </w:p>
        </w:tc>
      </w:tr>
      <w:tr>
        <w:tc>
          <w:tcPr>
            <w:tcW w:type="dxa" w:w="2400"/>
            <w:tcBorders>
              <w:top w:val="single" w:color="BFBFBF" w:sz="4"/>
              <w:start w:val="single" w:color="BFBFBF" w:sz="4"/>
              <w:bottom w:val="single" w:color="BFBFBF" w:sz="4"/>
              <w:end w:val="single" w:color="BFBFBF" w:sz="4"/>
            </w:tcBorders>
            <w:shd w:fill="F2F2F2" w:val="clear"/>
            <w:tcMar>
              <w:top w:type="dxa" w:w="100"/>
              <w:start w:type="dxa" w:w="140"/>
              <w:bottom w:type="dxa" w:w="100"/>
              <w:end w:type="dxa" w:w="140"/>
            </w:tcMar>
            <w:vAlign w:val="top"/>
          </w:tcPr>
          <w:p>
            <w:pPr>
              <w:jc w:val="left"/>
            </w:pPr>
            <w:r>
              <w:rPr>
                <w:rFonts w:ascii="Arial" w:cs="Arial" w:eastAsia="Arial" w:hAnsi="Arial"/>
                <w:b/>
                <w:bCs/>
                <w:color w:val="006633"/>
                <w:sz w:val="18"/>
                <w:szCs w:val="18"/>
              </w:rPr>
              <w:t xml:space="preserve">Linked T&amp;Cs Disregarded</w:t>
            </w:r>
          </w:p>
        </w:tc>
        <w:tc>
          <w:tcPr>
            <w:tcW w:type="dxa" w:w="1400"/>
            <w:tcBorders>
              <w:top w:val="single" w:color="BFBFBF" w:sz="4"/>
              <w:start w:val="single" w:color="BFBFBF" w:sz="4"/>
              <w:bottom w:val="single" w:color="BFBFBF" w:sz="4"/>
              <w:end w:val="single" w:color="BFBFBF" w:sz="4"/>
            </w:tcBorders>
            <w:shd w:fill="F2F2F2" w:val="clear"/>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Exhibit C §8</w:t>
            </w:r>
          </w:p>
        </w:tc>
        <w:tc>
          <w:tcPr>
            <w:tcW w:type="dxa" w:w="3760"/>
            <w:tcBorders>
              <w:top w:val="single" w:color="BFBFBF" w:sz="4"/>
              <w:start w:val="single" w:color="BFBFBF" w:sz="4"/>
              <w:bottom w:val="single" w:color="BFBFBF" w:sz="4"/>
              <w:end w:val="single" w:color="BFBFBF" w:sz="4"/>
            </w:tcBorders>
            <w:shd w:fill="F2F2F2" w:val="clear"/>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Any clickwrap/shrinkwrap or website T&amp;C on either party's platform is of no force. Only the contract + exhibits + RFP + Response govern.</w:t>
            </w:r>
          </w:p>
        </w:tc>
        <w:tc>
          <w:tcPr>
            <w:tcW w:type="dxa" w:w="1800"/>
            <w:tcBorders>
              <w:top w:val="single" w:color="BFBFBF" w:sz="4"/>
              <w:start w:val="single" w:color="BFBFBF" w:sz="4"/>
              <w:bottom w:val="single" w:color="BFBFBF" w:sz="4"/>
              <w:end w:val="single" w:color="BFBFBF" w:sz="4"/>
            </w:tcBorders>
            <w:shd w:fill="D9F0E0" w:val="clear"/>
            <w:tcMar>
              <w:top w:type="dxa" w:w="100"/>
              <w:start w:type="dxa" w:w="140"/>
              <w:bottom w:type="dxa" w:w="100"/>
              <w:end w:type="dxa" w:w="140"/>
            </w:tcMar>
            <w:vAlign w:val="top"/>
          </w:tcPr>
          <w:p>
            <w:pPr>
              <w:jc w:val="left"/>
            </w:pPr>
            <w:r>
              <w:rPr>
                <w:rFonts w:ascii="Arial" w:cs="Arial" w:eastAsia="Arial" w:hAnsi="Arial"/>
                <w:b/>
                <w:bCs/>
                <w:color w:val="000000"/>
                <w:sz w:val="18"/>
                <w:szCs w:val="18"/>
              </w:rPr>
              <w:t xml:space="preserve">POSITIVE — protects VBX from inadvertent AWS/cloud vendor T&amp;C acceptance. Means VBX cannot rely on platform T&amp;Cs either; all material terms must be in the contract.</w:t>
            </w:r>
          </w:p>
        </w:tc>
      </w:tr>
      <w:tr>
        <w:tc>
          <w:tcPr>
            <w:tcW w:type="dxa" w:w="24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left"/>
            </w:pPr>
            <w:r>
              <w:rPr>
                <w:rFonts w:ascii="Arial" w:cs="Arial" w:eastAsia="Arial" w:hAnsi="Arial"/>
                <w:b/>
                <w:bCs/>
                <w:color w:val="000000"/>
                <w:sz w:val="18"/>
                <w:szCs w:val="18"/>
              </w:rPr>
              <w:t xml:space="preserve">Order of Precedence — Response Ranks Low</w:t>
            </w:r>
          </w:p>
        </w:tc>
        <w:tc>
          <w:tcPr>
            <w:tcW w:type="dxa" w:w="14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Contract Base §7.1-7.2</w:t>
            </w:r>
          </w:p>
        </w:tc>
        <w:tc>
          <w:tcPr>
            <w:tcW w:type="dxa" w:w="376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Order of precedence: (1) Contract → (2) Exhibit A → (3) Exhibit B → (4) Exhibit C → (5) Exhibit D → (6) RFP → (7) Response → (8) SLAs. "Only those Contractor terms expressly accepted by the State and included...will apply."</w:t>
            </w:r>
          </w:p>
        </w:tc>
        <w:tc>
          <w:tcPr>
            <w:tcW w:type="dxa" w:w="1800"/>
            <w:tcBorders>
              <w:top w:val="single" w:color="BFBFBF" w:sz="4"/>
              <w:start w:val="single" w:color="BFBFBF" w:sz="4"/>
              <w:bottom w:val="single" w:color="BFBFBF" w:sz="4"/>
              <w:end w:val="single" w:color="BFBFBF" w:sz="4"/>
            </w:tcBorders>
            <w:shd w:fill="FFF4D6" w:val="clear"/>
            <w:tcMar>
              <w:top w:type="dxa" w:w="100"/>
              <w:start w:type="dxa" w:w="140"/>
              <w:bottom w:type="dxa" w:w="100"/>
              <w:end w:type="dxa" w:w="140"/>
            </w:tcMar>
            <w:vAlign w:val="top"/>
          </w:tcPr>
          <w:p>
            <w:pPr>
              <w:jc w:val="left"/>
            </w:pPr>
            <w:r>
              <w:rPr>
                <w:rFonts w:ascii="Arial" w:cs="Arial" w:eastAsia="Arial" w:hAnsi="Arial"/>
                <w:b/>
                <w:bCs/>
                <w:color w:val="000000"/>
                <w:sz w:val="18"/>
                <w:szCs w:val="18"/>
              </w:rPr>
              <w:t xml:space="preserve">Any favorable language in VBX response can be overridden by Exhibits A-C. Any commitments VBX needs must be in the contract body or an exhibit, not the response alone.</w:t>
            </w:r>
          </w:p>
        </w:tc>
      </w:tr>
      <w:tr>
        <w:tc>
          <w:tcPr>
            <w:tcW w:type="dxa" w:w="2400"/>
            <w:tcBorders>
              <w:top w:val="single" w:color="BFBFBF" w:sz="4"/>
              <w:start w:val="single" w:color="BFBFBF" w:sz="4"/>
              <w:bottom w:val="single" w:color="BFBFBF" w:sz="4"/>
              <w:end w:val="single" w:color="BFBFBF" w:sz="4"/>
            </w:tcBorders>
            <w:shd w:fill="F2F2F2" w:val="clear"/>
            <w:tcMar>
              <w:top w:type="dxa" w:w="100"/>
              <w:start w:type="dxa" w:w="140"/>
              <w:bottom w:type="dxa" w:w="100"/>
              <w:end w:type="dxa" w:w="140"/>
            </w:tcMar>
            <w:vAlign w:val="top"/>
          </w:tcPr>
          <w:p>
            <w:pPr>
              <w:jc w:val="left"/>
            </w:pPr>
            <w:r>
              <w:rPr>
                <w:rFonts w:ascii="Arial" w:cs="Arial" w:eastAsia="Arial" w:hAnsi="Arial"/>
                <w:b/>
                <w:bCs/>
                <w:color w:val="000000"/>
                <w:sz w:val="18"/>
                <w:szCs w:val="18"/>
              </w:rPr>
              <w:t xml:space="preserve">Total Duration Ambiguity</w:t>
            </w:r>
          </w:p>
        </w:tc>
        <w:tc>
          <w:tcPr>
            <w:tcW w:type="dxa" w:w="1400"/>
            <w:tcBorders>
              <w:top w:val="single" w:color="BFBFBF" w:sz="4"/>
              <w:start w:val="single" w:color="BFBFBF" w:sz="4"/>
              <w:bottom w:val="single" w:color="BFBFBF" w:sz="4"/>
              <w:end w:val="single" w:color="BFBFBF" w:sz="4"/>
            </w:tcBorders>
            <w:shd w:fill="F2F2F2" w:val="clear"/>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Contract Base §4.3</w:t>
            </w:r>
          </w:p>
        </w:tc>
        <w:tc>
          <w:tcPr>
            <w:tcW w:type="dxa" w:w="3760"/>
            <w:tcBorders>
              <w:top w:val="single" w:color="BFBFBF" w:sz="4"/>
              <w:start w:val="single" w:color="BFBFBF" w:sz="4"/>
              <w:bottom w:val="single" w:color="BFBFBF" w:sz="4"/>
              <w:end w:val="single" w:color="BFBFBF" w:sz="4"/>
            </w:tcBorders>
            <w:shd w:fill="F2F2F2" w:val="clear"/>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Contract base text shows BOTH "7 years" AND "10 years" as the maximum total duration with renewals.</w:t>
            </w:r>
          </w:p>
        </w:tc>
        <w:tc>
          <w:tcPr>
            <w:tcW w:type="dxa" w:w="1800"/>
            <w:tcBorders>
              <w:top w:val="single" w:color="BFBFBF" w:sz="4"/>
              <w:start w:val="single" w:color="BFBFBF" w:sz="4"/>
              <w:bottom w:val="single" w:color="BFBFBF" w:sz="4"/>
              <w:end w:val="single" w:color="BFBFBF" w:sz="4"/>
            </w:tcBorders>
            <w:shd w:fill="FFF4D6" w:val="clear"/>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Clarify with Grace Waring at signature. Per MCA 18-4-313 the upper bound is 7 years for most procurement classes; 10 may apply to specific categories.</w:t>
            </w:r>
          </w:p>
        </w:tc>
      </w:tr>
      <w:tr>
        <w:tc>
          <w:tcPr>
            <w:tcW w:type="dxa" w:w="24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left"/>
            </w:pPr>
            <w:r>
              <w:rPr>
                <w:rFonts w:ascii="Arial" w:cs="Arial" w:eastAsia="Arial" w:hAnsi="Arial"/>
                <w:b/>
                <w:bCs/>
                <w:color w:val="000000"/>
                <w:sz w:val="18"/>
                <w:szCs w:val="18"/>
              </w:rPr>
              <w:t xml:space="preserve">Contract Manager Email Typo</w:t>
            </w:r>
          </w:p>
        </w:tc>
        <w:tc>
          <w:tcPr>
            <w:tcW w:type="dxa" w:w="14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Contract Base §6.1</w:t>
            </w:r>
          </w:p>
        </w:tc>
        <w:tc>
          <w:tcPr>
            <w:tcW w:type="dxa" w:w="376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Contract Manager block lists "grace.wrng@gmail.com" — clearly a placeholder/error. Actual email per NOIA is grace.waring@mt.gov.</w:t>
            </w:r>
          </w:p>
        </w:tc>
        <w:tc>
          <w:tcPr>
            <w:tcW w:type="dxa" w:w="1800"/>
            <w:tcBorders>
              <w:top w:val="single" w:color="BFBFBF" w:sz="4"/>
              <w:start w:val="single" w:color="BFBFBF" w:sz="4"/>
              <w:bottom w:val="single" w:color="BFBFBF" w:sz="4"/>
              <w:end w:val="single" w:color="BFBFBF" w:sz="4"/>
            </w:tcBorders>
            <w:shd w:fill="D9F0E0" w:val="clear"/>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Flag at contract execution. Corrected email and any updates to the template should be on file.</w:t>
            </w:r>
          </w:p>
        </w:tc>
      </w:tr>
      <w:tr>
        <w:tc>
          <w:tcPr>
            <w:tcW w:type="dxa" w:w="2400"/>
            <w:tcBorders>
              <w:top w:val="single" w:color="BFBFBF" w:sz="4"/>
              <w:start w:val="single" w:color="BFBFBF" w:sz="4"/>
              <w:bottom w:val="single" w:color="BFBFBF" w:sz="4"/>
              <w:end w:val="single" w:color="BFBFBF" w:sz="4"/>
            </w:tcBorders>
            <w:shd w:fill="F2F2F2" w:val="clear"/>
            <w:tcMar>
              <w:top w:type="dxa" w:w="100"/>
              <w:start w:type="dxa" w:w="140"/>
              <w:bottom w:type="dxa" w:w="100"/>
              <w:end w:type="dxa" w:w="140"/>
            </w:tcMar>
            <w:vAlign w:val="top"/>
          </w:tcPr>
          <w:p>
            <w:pPr>
              <w:jc w:val="left"/>
            </w:pPr>
            <w:r>
              <w:rPr>
                <w:rFonts w:ascii="Arial" w:cs="Arial" w:eastAsia="Arial" w:hAnsi="Arial"/>
                <w:b/>
                <w:bCs/>
                <w:color w:val="000000"/>
                <w:sz w:val="18"/>
                <w:szCs w:val="18"/>
              </w:rPr>
              <w:t xml:space="preserve">Tier-Two Selection Mechanics</w:t>
            </w:r>
          </w:p>
        </w:tc>
        <w:tc>
          <w:tcPr>
            <w:tcW w:type="dxa" w:w="1400"/>
            <w:tcBorders>
              <w:top w:val="single" w:color="BFBFBF" w:sz="4"/>
              <w:start w:val="single" w:color="BFBFBF" w:sz="4"/>
              <w:bottom w:val="single" w:color="BFBFBF" w:sz="4"/>
              <w:end w:val="single" w:color="BFBFBF" w:sz="4"/>
            </w:tcBorders>
            <w:shd w:fill="F2F2F2" w:val="clear"/>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Contract Base §3</w:t>
            </w:r>
          </w:p>
        </w:tc>
        <w:tc>
          <w:tcPr>
            <w:tcW w:type="dxa" w:w="3760"/>
            <w:tcBorders>
              <w:top w:val="single" w:color="BFBFBF" w:sz="4"/>
              <w:start w:val="single" w:color="BFBFBF" w:sz="4"/>
              <w:bottom w:val="single" w:color="BFBFBF" w:sz="4"/>
              <w:end w:val="single" w:color="BFBFBF" w:sz="4"/>
            </w:tcBorders>
            <w:shd w:fill="F2F2F2" w:val="clear"/>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Project &lt; $10K: agency picks any qualified contractor. $10K-$100K: 3-vendor solicitation. &gt;$100K: ALL contractors under master solicited; cost is at least 20% of total points.</w:t>
            </w:r>
          </w:p>
        </w:tc>
        <w:tc>
          <w:tcPr>
            <w:tcW w:type="dxa" w:w="1800"/>
            <w:tcBorders>
              <w:top w:val="single" w:color="BFBFBF" w:sz="4"/>
              <w:start w:val="single" w:color="BFBFBF" w:sz="4"/>
              <w:bottom w:val="single" w:color="BFBFBF" w:sz="4"/>
              <w:end w:val="single" w:color="BFBFBF" w:sz="4"/>
            </w:tcBorders>
            <w:shd w:fill="FFF4D6" w:val="clear"/>
            <w:tcMar>
              <w:top w:type="dxa" w:w="100"/>
              <w:start w:type="dxa" w:w="140"/>
              <w:bottom w:type="dxa" w:w="100"/>
              <w:end w:type="dxa" w:w="140"/>
            </w:tcMar>
            <w:vAlign w:val="top"/>
          </w:tcPr>
          <w:p>
            <w:pPr>
              <w:jc w:val="left"/>
            </w:pPr>
            <w:r>
              <w:rPr>
                <w:rFonts w:ascii="Arial" w:cs="Arial" w:eastAsia="Arial" w:hAnsi="Arial"/>
                <w:b/>
                <w:bCs/>
                <w:color w:val="000000"/>
                <w:sz w:val="18"/>
                <w:szCs w:val="18"/>
              </w:rPr>
              <w:t xml:space="preserve">CRITICAL FOR PIPELINE. TOs &lt;$10K can be directly assigned — relationship-driven. TOs $10K-$100K — three-way. TOs &gt;$100K — open pool competition with cost weight ≥ 20%.</w:t>
            </w:r>
          </w:p>
        </w:tc>
      </w:tr>
    </w:tbl>
    <w:p>
      <w:pPr>
        <w:pStyle w:val="Heading2"/>
        <w:spacing w:after="100" w:before="220"/>
      </w:pPr>
      <w:r>
        <w:rPr>
          <w:rFonts w:ascii="Arial" w:cs="Arial" w:eastAsia="Arial" w:hAnsi="Arial"/>
          <w:b/>
          <w:bCs/>
          <w:color w:val="232D5A"/>
          <w:sz w:val="24"/>
          <w:szCs w:val="24"/>
        </w:rPr>
        <w:t xml:space="preserve">6.1  Synthesis</w:t>
      </w:r>
    </w:p>
    <w:p>
      <w:pPr>
        <w:spacing w:after="100" w:before="80"/>
        <w:jc w:val="left"/>
      </w:pPr>
      <w:r>
        <w:rPr>
          <w:rFonts w:ascii="Arial" w:cs="Arial" w:eastAsia="Arial" w:hAnsi="Arial"/>
          <w:b w:val="false"/>
          <w:bCs w:val="false"/>
          <w:i w:val="false"/>
          <w:iCs w:val="false"/>
          <w:color w:val="000000"/>
          <w:sz w:val="20"/>
          <w:szCs w:val="20"/>
        </w:rPr>
        <w:t xml:space="preserve">Four red items dominate the contract risk landscape: US-only access (impacts VBX India delivery posture), $6M cyber tower (10-day clock), AI-training-on-State-data prohibition (impacts downstream LLM/foundation model vendor relationships), and US-only data location (impacts cloud architecture choices). All four are operational constraints, not deal-breakers — but each requires a positive control to be in place before VBX bids any task order.</w:t>
      </w:r>
    </w:p>
    <w:p>
      <w:pPr>
        <w:spacing w:after="100" w:before="80"/>
        <w:jc w:val="left"/>
      </w:pPr>
      <w:r>
        <w:rPr>
          <w:rFonts w:ascii="Arial" w:cs="Arial" w:eastAsia="Arial" w:hAnsi="Arial"/>
          <w:b w:val="false"/>
          <w:bCs w:val="false"/>
          <w:i w:val="false"/>
          <w:iCs w:val="false"/>
          <w:color w:val="000000"/>
          <w:sz w:val="20"/>
          <w:szCs w:val="20"/>
        </w:rPr>
        <w:t xml:space="preserve">Two green items materially favor VBX: IP modifications belong to VBX (Exhibit C §10) preserves the proprietary CAH framework IP boundary doctrine; and the linked-T&amp;Cs-disregarded clause (Exhibit C §8) protects VBX from inadvertently incorporating third-party platform T&amp;Cs into the deal.</w:t>
      </w:r>
    </w:p>
    <w:p>
      <w:pPr>
        <w:spacing w:after="100" w:before="80"/>
        <w:jc w:val="left"/>
      </w:pPr>
      <w:r>
        <w:rPr>
          <w:rFonts w:ascii="Arial" w:cs="Arial" w:eastAsia="Arial" w:hAnsi="Arial"/>
          <w:b w:val="false"/>
          <w:bCs w:val="false"/>
          <w:i w:val="false"/>
          <w:iCs w:val="false"/>
          <w:color w:val="000000"/>
          <w:sz w:val="20"/>
          <w:szCs w:val="20"/>
        </w:rPr>
        <w:t xml:space="preserve">One subtle item warrants flagging to legal: Order of Precedence places the Response at position 7 of 8 (Contract Base §7.1-7.2). Any favorable representations made in the VBX response can be overridden by Exhibits A-C. If VBX needs a specific accommodation in the contract relationship, it must be negotiated into the contract body or an exhibit — not relied on from the proposal narrative.</w:t>
      </w:r>
    </w:p>
    <w:p>
      <w:r>
        <w:br w:type="page"/>
      </w:r>
    </w:p>
    <w:p>
      <w:pPr>
        <w:pStyle w:val="Heading1"/>
        <w:pBdr>
          <w:bottom w:val="single" w:color="2EA891" w:sz="12" w:space="6"/>
        </w:pBdr>
        <w:spacing w:after="160" w:before="360"/>
      </w:pPr>
      <w:r>
        <w:rPr>
          <w:rFonts w:ascii="Arial" w:cs="Arial" w:eastAsia="Arial" w:hAnsi="Arial"/>
          <w:b/>
          <w:bCs/>
          <w:color w:val="232D5A"/>
          <w:sz w:val="30"/>
          <w:szCs w:val="30"/>
        </w:rPr>
        <w:t xml:space="preserve">7.  Task Order Capture Playbook</w:t>
      </w:r>
    </w:p>
    <w:p>
      <w:pPr>
        <w:pStyle w:val="Heading2"/>
        <w:spacing w:after="100" w:before="220"/>
      </w:pPr>
      <w:r>
        <w:rPr>
          <w:rFonts w:ascii="Arial" w:cs="Arial" w:eastAsia="Arial" w:hAnsi="Arial"/>
          <w:b/>
          <w:bCs/>
          <w:color w:val="232D5A"/>
          <w:sz w:val="24"/>
          <w:szCs w:val="24"/>
        </w:rPr>
        <w:t xml:space="preserve">7.1  TO Selection Mechanics (from Service Contract Base §3)</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1200"/>
        <w:gridCol w:w="1600"/>
        <w:gridCol w:w="3000"/>
        <w:gridCol w:w="3560"/>
      </w:tblGrid>
      <w:tr>
        <w:tc>
          <w:tcPr>
            <w:tcW w:type="dxa" w:w="1200"/>
            <w:tcBorders>
              <w:top w:val="single" w:color="BFBFBF" w:sz="4"/>
              <w:start w:val="single" w:color="BFBFBF" w:sz="4"/>
              <w:bottom w:val="single" w:color="BFBFBF" w:sz="4"/>
              <w:end w:val="single" w:color="BFBFBF" w:sz="4"/>
            </w:tcBorders>
            <w:shd w:fill="232D5A" w:val="clear"/>
            <w:tcMar>
              <w:top w:type="dxa" w:w="100"/>
              <w:start w:type="dxa" w:w="140"/>
              <w:bottom w:type="dxa" w:w="100"/>
              <w:end w:type="dxa" w:w="140"/>
            </w:tcMar>
            <w:vAlign w:val="top"/>
          </w:tcPr>
          <w:p>
            <w:pPr>
              <w:jc w:val="left"/>
            </w:pPr>
            <w:r>
              <w:rPr>
                <w:rFonts w:ascii="Arial" w:cs="Arial" w:eastAsia="Arial" w:hAnsi="Arial"/>
                <w:b/>
                <w:bCs/>
                <w:color w:val="FFFFFF"/>
                <w:sz w:val="18"/>
                <w:szCs w:val="18"/>
              </w:rPr>
              <w:t xml:space="preserve">Tier</w:t>
            </w:r>
          </w:p>
        </w:tc>
        <w:tc>
          <w:tcPr>
            <w:tcW w:type="dxa" w:w="1600"/>
            <w:tcBorders>
              <w:top w:val="single" w:color="BFBFBF" w:sz="4"/>
              <w:start w:val="single" w:color="BFBFBF" w:sz="4"/>
              <w:bottom w:val="single" w:color="BFBFBF" w:sz="4"/>
              <w:end w:val="single" w:color="BFBFBF" w:sz="4"/>
            </w:tcBorders>
            <w:shd w:fill="232D5A" w:val="clear"/>
            <w:tcMar>
              <w:top w:type="dxa" w:w="100"/>
              <w:start w:type="dxa" w:w="140"/>
              <w:bottom w:type="dxa" w:w="100"/>
              <w:end w:type="dxa" w:w="140"/>
            </w:tcMar>
            <w:vAlign w:val="top"/>
          </w:tcPr>
          <w:p>
            <w:pPr>
              <w:jc w:val="left"/>
            </w:pPr>
            <w:r>
              <w:rPr>
                <w:rFonts w:ascii="Arial" w:cs="Arial" w:eastAsia="Arial" w:hAnsi="Arial"/>
                <w:b/>
                <w:bCs/>
                <w:color w:val="FFFFFF"/>
                <w:sz w:val="18"/>
                <w:szCs w:val="18"/>
              </w:rPr>
              <w:t xml:space="preserve">TO Value</w:t>
            </w:r>
          </w:p>
        </w:tc>
        <w:tc>
          <w:tcPr>
            <w:tcW w:type="dxa" w:w="3000"/>
            <w:tcBorders>
              <w:top w:val="single" w:color="BFBFBF" w:sz="4"/>
              <w:start w:val="single" w:color="BFBFBF" w:sz="4"/>
              <w:bottom w:val="single" w:color="BFBFBF" w:sz="4"/>
              <w:end w:val="single" w:color="BFBFBF" w:sz="4"/>
            </w:tcBorders>
            <w:shd w:fill="232D5A" w:val="clear"/>
            <w:tcMar>
              <w:top w:type="dxa" w:w="100"/>
              <w:start w:type="dxa" w:w="140"/>
              <w:bottom w:type="dxa" w:w="100"/>
              <w:end w:type="dxa" w:w="140"/>
            </w:tcMar>
            <w:vAlign w:val="top"/>
          </w:tcPr>
          <w:p>
            <w:pPr>
              <w:jc w:val="left"/>
            </w:pPr>
            <w:r>
              <w:rPr>
                <w:rFonts w:ascii="Arial" w:cs="Arial" w:eastAsia="Arial" w:hAnsi="Arial"/>
                <w:b/>
                <w:bCs/>
                <w:color w:val="FFFFFF"/>
                <w:sz w:val="18"/>
                <w:szCs w:val="18"/>
              </w:rPr>
              <w:t xml:space="preserve">Selection Mechanism</w:t>
            </w:r>
          </w:p>
        </w:tc>
        <w:tc>
          <w:tcPr>
            <w:tcW w:type="dxa" w:w="3560"/>
            <w:tcBorders>
              <w:top w:val="single" w:color="BFBFBF" w:sz="4"/>
              <w:start w:val="single" w:color="BFBFBF" w:sz="4"/>
              <w:bottom w:val="single" w:color="BFBFBF" w:sz="4"/>
              <w:end w:val="single" w:color="BFBFBF" w:sz="4"/>
            </w:tcBorders>
            <w:shd w:fill="232D5A" w:val="clear"/>
            <w:tcMar>
              <w:top w:type="dxa" w:w="100"/>
              <w:start w:type="dxa" w:w="140"/>
              <w:bottom w:type="dxa" w:w="100"/>
              <w:end w:type="dxa" w:w="140"/>
            </w:tcMar>
            <w:vAlign w:val="top"/>
          </w:tcPr>
          <w:p>
            <w:pPr>
              <w:jc w:val="left"/>
            </w:pPr>
            <w:r>
              <w:rPr>
                <w:rFonts w:ascii="Arial" w:cs="Arial" w:eastAsia="Arial" w:hAnsi="Arial"/>
                <w:b/>
                <w:bCs/>
                <w:color w:val="FFFFFF"/>
                <w:sz w:val="18"/>
                <w:szCs w:val="18"/>
              </w:rPr>
              <w:t xml:space="preserve">VBX Capture Posture</w:t>
            </w:r>
          </w:p>
        </w:tc>
      </w:tr>
      <w:tr>
        <w:tc>
          <w:tcPr>
            <w:tcW w:type="dxa" w:w="1200"/>
            <w:tcBorders>
              <w:top w:val="single" w:color="BFBFBF" w:sz="4"/>
              <w:start w:val="single" w:color="BFBFBF" w:sz="4"/>
              <w:bottom w:val="single" w:color="BFBFBF" w:sz="4"/>
              <w:end w:val="single" w:color="BFBFBF" w:sz="4"/>
            </w:tcBorders>
            <w:shd w:fill="D9F0E0" w:val="clear"/>
            <w:tcMar>
              <w:top w:type="dxa" w:w="100"/>
              <w:start w:type="dxa" w:w="140"/>
              <w:bottom w:type="dxa" w:w="100"/>
              <w:end w:type="dxa" w:w="140"/>
            </w:tcMar>
            <w:vAlign w:val="top"/>
          </w:tcPr>
          <w:p>
            <w:pPr>
              <w:jc w:val="left"/>
            </w:pPr>
            <w:r>
              <w:rPr>
                <w:rFonts w:ascii="Arial" w:cs="Arial" w:eastAsia="Arial" w:hAnsi="Arial"/>
                <w:b/>
                <w:bCs/>
                <w:color w:val="000000"/>
                <w:sz w:val="18"/>
                <w:szCs w:val="18"/>
              </w:rPr>
              <w:t xml:space="preserve">Tier 1</w:t>
            </w:r>
          </w:p>
        </w:tc>
        <w:tc>
          <w:tcPr>
            <w:tcW w:type="dxa" w:w="16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left"/>
            </w:pPr>
            <w:r>
              <w:rPr>
                <w:rFonts w:ascii="Arial" w:cs="Arial" w:eastAsia="Arial" w:hAnsi="Arial"/>
                <w:b/>
                <w:bCs/>
                <w:color w:val="000000"/>
                <w:sz w:val="18"/>
                <w:szCs w:val="18"/>
              </w:rPr>
              <w:t xml:space="preserve">$0 – $10,000</w:t>
            </w:r>
          </w:p>
        </w:tc>
        <w:tc>
          <w:tcPr>
            <w:tcW w:type="dxa" w:w="30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Ordering agency selects any qualified contractor directly. No competition required.</w:t>
            </w:r>
          </w:p>
        </w:tc>
        <w:tc>
          <w:tcPr>
            <w:tcW w:type="dxa" w:w="3560"/>
            <w:tcBorders>
              <w:top w:val="single" w:color="BFBFBF" w:sz="4"/>
              <w:start w:val="single" w:color="BFBFBF" w:sz="4"/>
              <w:bottom w:val="single" w:color="BFBFBF" w:sz="4"/>
              <w:end w:val="single" w:color="BFBFBF" w:sz="4"/>
            </w:tcBorders>
            <w:shd w:fill="D9F0E0" w:val="clear"/>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RELATIONSHIP-DRIVEN. Build direct relationships with ordering agencies (DPHHS, OPI, DOR, DOJ, DOA, Commerce, DLI, FWP). Low value but no competition = pure relationship play.</w:t>
            </w:r>
          </w:p>
        </w:tc>
      </w:tr>
      <w:tr>
        <w:tc>
          <w:tcPr>
            <w:tcW w:type="dxa" w:w="1200"/>
            <w:tcBorders>
              <w:top w:val="single" w:color="BFBFBF" w:sz="4"/>
              <w:start w:val="single" w:color="BFBFBF" w:sz="4"/>
              <w:bottom w:val="single" w:color="BFBFBF" w:sz="4"/>
              <w:end w:val="single" w:color="BFBFBF" w:sz="4"/>
            </w:tcBorders>
            <w:shd w:fill="F2F2F2" w:val="clear"/>
            <w:tcMar>
              <w:top w:type="dxa" w:w="100"/>
              <w:start w:type="dxa" w:w="140"/>
              <w:bottom w:type="dxa" w:w="100"/>
              <w:end w:type="dxa" w:w="140"/>
            </w:tcMar>
            <w:vAlign w:val="top"/>
          </w:tcPr>
          <w:p>
            <w:pPr>
              <w:jc w:val="left"/>
            </w:pPr>
            <w:r>
              <w:rPr>
                <w:rFonts w:ascii="Arial" w:cs="Arial" w:eastAsia="Arial" w:hAnsi="Arial"/>
                <w:b/>
                <w:bCs/>
                <w:color w:val="000000"/>
                <w:sz w:val="18"/>
                <w:szCs w:val="18"/>
              </w:rPr>
              <w:t xml:space="preserve">Tier 2</w:t>
            </w:r>
          </w:p>
        </w:tc>
        <w:tc>
          <w:tcPr>
            <w:tcW w:type="dxa" w:w="1600"/>
            <w:tcBorders>
              <w:top w:val="single" w:color="BFBFBF" w:sz="4"/>
              <w:start w:val="single" w:color="BFBFBF" w:sz="4"/>
              <w:bottom w:val="single" w:color="BFBFBF" w:sz="4"/>
              <w:end w:val="single" w:color="BFBFBF" w:sz="4"/>
            </w:tcBorders>
            <w:shd w:fill="F2F2F2" w:val="clear"/>
            <w:tcMar>
              <w:top w:type="dxa" w:w="100"/>
              <w:start w:type="dxa" w:w="140"/>
              <w:bottom w:type="dxa" w:w="100"/>
              <w:end w:type="dxa" w:w="140"/>
            </w:tcMar>
            <w:vAlign w:val="top"/>
          </w:tcPr>
          <w:p>
            <w:pPr>
              <w:jc w:val="left"/>
            </w:pPr>
            <w:r>
              <w:rPr>
                <w:rFonts w:ascii="Arial" w:cs="Arial" w:eastAsia="Arial" w:hAnsi="Arial"/>
                <w:b/>
                <w:bCs/>
                <w:color w:val="000000"/>
                <w:sz w:val="18"/>
                <w:szCs w:val="18"/>
              </w:rPr>
              <w:t xml:space="preserve">$10,001 – $100,000</w:t>
            </w:r>
          </w:p>
        </w:tc>
        <w:tc>
          <w:tcPr>
            <w:tcW w:type="dxa" w:w="3000"/>
            <w:tcBorders>
              <w:top w:val="single" w:color="BFBFBF" w:sz="4"/>
              <w:start w:val="single" w:color="BFBFBF" w:sz="4"/>
              <w:bottom w:val="single" w:color="BFBFBF" w:sz="4"/>
              <w:end w:val="single" w:color="BFBFBF" w:sz="4"/>
            </w:tcBorders>
            <w:shd w:fill="F2F2F2" w:val="clear"/>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Ordering agency must solicit responses from at least 3 qualified contractors before selection.</w:t>
            </w:r>
          </w:p>
        </w:tc>
        <w:tc>
          <w:tcPr>
            <w:tcW w:type="dxa" w:w="3560"/>
            <w:tcBorders>
              <w:top w:val="single" w:color="BFBFBF" w:sz="4"/>
              <w:start w:val="single" w:color="BFBFBF" w:sz="4"/>
              <w:bottom w:val="single" w:color="BFBFBF" w:sz="4"/>
              <w:end w:val="single" w:color="BFBFBF" w:sz="4"/>
            </w:tcBorders>
            <w:shd w:fill="FFF4D6" w:val="clear"/>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THREE-WAY COMPETITION. Be one of the three solicited. Strategy: ensure VBX is named in agency contractor shortlists. Relationship + capability statement positioning critical.</w:t>
            </w:r>
          </w:p>
        </w:tc>
      </w:tr>
      <w:tr>
        <w:tc>
          <w:tcPr>
            <w:tcW w:type="dxa" w:w="12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left"/>
            </w:pPr>
            <w:r>
              <w:rPr>
                <w:rFonts w:ascii="Arial" w:cs="Arial" w:eastAsia="Arial" w:hAnsi="Arial"/>
                <w:b/>
                <w:bCs/>
                <w:color w:val="000000"/>
                <w:sz w:val="18"/>
                <w:szCs w:val="18"/>
              </w:rPr>
              <w:t xml:space="preserve">Tier 3</w:t>
            </w:r>
          </w:p>
        </w:tc>
        <w:tc>
          <w:tcPr>
            <w:tcW w:type="dxa" w:w="16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left"/>
            </w:pPr>
            <w:r>
              <w:rPr>
                <w:rFonts w:ascii="Arial" w:cs="Arial" w:eastAsia="Arial" w:hAnsi="Arial"/>
                <w:b/>
                <w:bCs/>
                <w:color w:val="000000"/>
                <w:sz w:val="18"/>
                <w:szCs w:val="18"/>
              </w:rPr>
              <w:t xml:space="preserve">$100,001+</w:t>
            </w:r>
          </w:p>
        </w:tc>
        <w:tc>
          <w:tcPr>
            <w:tcW w:type="dxa" w:w="30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Solicitation must go to ALL contractors under the master. Detailed SOW + project requirements + selection criteria. Cost must be at least 20% of total points.</w:t>
            </w:r>
          </w:p>
        </w:tc>
        <w:tc>
          <w:tcPr>
            <w:tcW w:type="dxa" w:w="3560"/>
            <w:tcBorders>
              <w:top w:val="single" w:color="BFBFBF" w:sz="4"/>
              <w:start w:val="single" w:color="BFBFBF" w:sz="4"/>
              <w:bottom w:val="single" w:color="BFBFBF" w:sz="4"/>
              <w:end w:val="single" w:color="BFBFBF" w:sz="4"/>
            </w:tcBorders>
            <w:shd w:fill="FBE5E5" w:val="clear"/>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OPEN POOL COMPETITION. All 31 T1 (or 32 T2) winners can bid. Win on cost (penetration pricing), domain depth (healthcare/CAH/rural), or speed-to-stand-up. Cost gap risk significant.</w:t>
            </w:r>
          </w:p>
        </w:tc>
      </w:tr>
    </w:tbl>
    <w:p>
      <w:pPr>
        <w:pStyle w:val="Heading2"/>
        <w:spacing w:after="100" w:before="220"/>
      </w:pPr>
      <w:r>
        <w:rPr>
          <w:rFonts w:ascii="Arial" w:cs="Arial" w:eastAsia="Arial" w:hAnsi="Arial"/>
          <w:b/>
          <w:bCs/>
          <w:color w:val="232D5A"/>
          <w:sz w:val="24"/>
          <w:szCs w:val="24"/>
        </w:rPr>
        <w:t xml:space="preserve">7.2  Target Montana Ordering Agencies</w:t>
      </w:r>
    </w:p>
    <w:p>
      <w:pPr>
        <w:spacing w:after="100" w:before="80"/>
        <w:jc w:val="left"/>
      </w:pPr>
      <w:r>
        <w:rPr>
          <w:rFonts w:ascii="Arial" w:cs="Arial" w:eastAsia="Arial" w:hAnsi="Arial"/>
          <w:b w:val="false"/>
          <w:bCs w:val="false"/>
          <w:i/>
          <w:iCs/>
          <w:color w:val="595959"/>
          <w:sz w:val="20"/>
          <w:szCs w:val="20"/>
        </w:rPr>
        <w:t xml:space="preserve">Ranking by VBX capability fit and federal-analog past performance strength.</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200"/>
        <w:gridCol w:w="5160"/>
        <w:gridCol w:w="2000"/>
      </w:tblGrid>
      <w:tr>
        <w:tc>
          <w:tcPr>
            <w:tcW w:type="dxa" w:w="2200"/>
            <w:tcBorders>
              <w:top w:val="single" w:color="BFBFBF" w:sz="4"/>
              <w:start w:val="single" w:color="BFBFBF" w:sz="4"/>
              <w:bottom w:val="single" w:color="BFBFBF" w:sz="4"/>
              <w:end w:val="single" w:color="BFBFBF" w:sz="4"/>
            </w:tcBorders>
            <w:shd w:fill="232D5A" w:val="clear"/>
            <w:tcMar>
              <w:top w:type="dxa" w:w="100"/>
              <w:start w:type="dxa" w:w="140"/>
              <w:bottom w:type="dxa" w:w="100"/>
              <w:end w:type="dxa" w:w="140"/>
            </w:tcMar>
            <w:vAlign w:val="top"/>
          </w:tcPr>
          <w:p>
            <w:pPr>
              <w:jc w:val="left"/>
            </w:pPr>
            <w:r>
              <w:rPr>
                <w:rFonts w:ascii="Arial" w:cs="Arial" w:eastAsia="Arial" w:hAnsi="Arial"/>
                <w:b/>
                <w:bCs/>
                <w:color w:val="FFFFFF"/>
                <w:sz w:val="18"/>
                <w:szCs w:val="18"/>
              </w:rPr>
              <w:t xml:space="preserve">Agency</w:t>
            </w:r>
          </w:p>
        </w:tc>
        <w:tc>
          <w:tcPr>
            <w:tcW w:type="dxa" w:w="5160"/>
            <w:tcBorders>
              <w:top w:val="single" w:color="BFBFBF" w:sz="4"/>
              <w:start w:val="single" w:color="BFBFBF" w:sz="4"/>
              <w:bottom w:val="single" w:color="BFBFBF" w:sz="4"/>
              <w:end w:val="single" w:color="BFBFBF" w:sz="4"/>
            </w:tcBorders>
            <w:shd w:fill="232D5A" w:val="clear"/>
            <w:tcMar>
              <w:top w:type="dxa" w:w="100"/>
              <w:start w:type="dxa" w:w="140"/>
              <w:bottom w:type="dxa" w:w="100"/>
              <w:end w:type="dxa" w:w="140"/>
            </w:tcMar>
            <w:vAlign w:val="top"/>
          </w:tcPr>
          <w:p>
            <w:pPr>
              <w:jc w:val="left"/>
            </w:pPr>
            <w:r>
              <w:rPr>
                <w:rFonts w:ascii="Arial" w:cs="Arial" w:eastAsia="Arial" w:hAnsi="Arial"/>
                <w:b/>
                <w:bCs/>
                <w:color w:val="FFFFFF"/>
                <w:sz w:val="18"/>
                <w:szCs w:val="18"/>
              </w:rPr>
              <w:t xml:space="preserve">Likely AI / IT Priorities</w:t>
            </w:r>
          </w:p>
        </w:tc>
        <w:tc>
          <w:tcPr>
            <w:tcW w:type="dxa" w:w="2000"/>
            <w:tcBorders>
              <w:top w:val="single" w:color="BFBFBF" w:sz="4"/>
              <w:start w:val="single" w:color="BFBFBF" w:sz="4"/>
              <w:bottom w:val="single" w:color="BFBFBF" w:sz="4"/>
              <w:end w:val="single" w:color="BFBFBF" w:sz="4"/>
            </w:tcBorders>
            <w:shd w:fill="232D5A" w:val="clear"/>
            <w:tcMar>
              <w:top w:type="dxa" w:w="100"/>
              <w:start w:type="dxa" w:w="140"/>
              <w:bottom w:type="dxa" w:w="100"/>
              <w:end w:type="dxa" w:w="140"/>
            </w:tcMar>
            <w:vAlign w:val="top"/>
          </w:tcPr>
          <w:p>
            <w:pPr>
              <w:jc w:val="left"/>
            </w:pPr>
            <w:r>
              <w:rPr>
                <w:rFonts w:ascii="Arial" w:cs="Arial" w:eastAsia="Arial" w:hAnsi="Arial"/>
                <w:b/>
                <w:bCs/>
                <w:color w:val="FFFFFF"/>
                <w:sz w:val="18"/>
                <w:szCs w:val="18"/>
              </w:rPr>
              <w:t xml:space="preserve">VBX Federal Analog</w:t>
            </w:r>
          </w:p>
        </w:tc>
      </w:tr>
      <w:tr>
        <w:tc>
          <w:tcPr>
            <w:tcW w:type="dxa" w:w="22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left"/>
            </w:pPr>
            <w:r>
              <w:rPr>
                <w:rFonts w:ascii="Arial" w:cs="Arial" w:eastAsia="Arial" w:hAnsi="Arial"/>
                <w:b/>
                <w:bCs/>
                <w:color w:val="000000"/>
                <w:sz w:val="18"/>
                <w:szCs w:val="18"/>
              </w:rPr>
              <w:t xml:space="preserve">DPHHS — Dept. of Public Health &amp; Human Services</w:t>
            </w:r>
          </w:p>
        </w:tc>
        <w:tc>
          <w:tcPr>
            <w:tcW w:type="dxa" w:w="516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Medicaid modernization, RHTP Initiative 5 (digital health tools, telehealth, EHR connectivity), behavioral health data systems, CAH support (Montana has 47 CAHs), rural health workforce systems, child welfare case mgmt, public health surveillance.</w:t>
            </w:r>
          </w:p>
        </w:tc>
        <w:tc>
          <w:tcPr>
            <w:tcW w:type="dxa" w:w="2000"/>
            <w:tcBorders>
              <w:top w:val="single" w:color="BFBFBF" w:sz="4"/>
              <w:start w:val="single" w:color="BFBFBF" w:sz="4"/>
              <w:bottom w:val="single" w:color="BFBFBF" w:sz="4"/>
              <w:end w:val="single" w:color="BFBFBF" w:sz="4"/>
            </w:tcBorders>
            <w:shd w:fill="D9F0E0" w:val="clear"/>
            <w:tcMar>
              <w:top w:type="dxa" w:w="100"/>
              <w:start w:type="dxa" w:w="140"/>
              <w:bottom w:type="dxa" w:w="100"/>
              <w:end w:type="dxa" w:w="140"/>
            </w:tcMar>
            <w:vAlign w:val="top"/>
          </w:tcPr>
          <w:p>
            <w:pPr>
              <w:jc w:val="left"/>
            </w:pPr>
            <w:r>
              <w:rPr>
                <w:rFonts w:ascii="Arial" w:cs="Arial" w:eastAsia="Arial" w:hAnsi="Arial"/>
                <w:b/>
                <w:bCs/>
                <w:color w:val="000000"/>
                <w:sz w:val="18"/>
                <w:szCs w:val="18"/>
              </w:rPr>
              <w:t xml:space="preserve">CA DHCS CFRS ($2.1M MITA) | Kaiser VCare (Epic/HL7) | HCRIS CAH benchmarking</w:t>
            </w:r>
          </w:p>
        </w:tc>
      </w:tr>
      <w:tr>
        <w:tc>
          <w:tcPr>
            <w:tcW w:type="dxa" w:w="2200"/>
            <w:tcBorders>
              <w:top w:val="single" w:color="BFBFBF" w:sz="4"/>
              <w:start w:val="single" w:color="BFBFBF" w:sz="4"/>
              <w:bottom w:val="single" w:color="BFBFBF" w:sz="4"/>
              <w:end w:val="single" w:color="BFBFBF" w:sz="4"/>
            </w:tcBorders>
            <w:shd w:fill="F2F2F2" w:val="clear"/>
            <w:tcMar>
              <w:top w:type="dxa" w:w="100"/>
              <w:start w:type="dxa" w:w="140"/>
              <w:bottom w:type="dxa" w:w="100"/>
              <w:end w:type="dxa" w:w="140"/>
            </w:tcMar>
            <w:vAlign w:val="top"/>
          </w:tcPr>
          <w:p>
            <w:pPr>
              <w:jc w:val="left"/>
            </w:pPr>
            <w:r>
              <w:rPr>
                <w:rFonts w:ascii="Arial" w:cs="Arial" w:eastAsia="Arial" w:hAnsi="Arial"/>
                <w:b/>
                <w:bCs/>
                <w:color w:val="000000"/>
                <w:sz w:val="18"/>
                <w:szCs w:val="18"/>
              </w:rPr>
              <w:t xml:space="preserve">OPI — Office of Public Instruction</w:t>
            </w:r>
          </w:p>
        </w:tc>
        <w:tc>
          <w:tcPr>
            <w:tcW w:type="dxa" w:w="5160"/>
            <w:tcBorders>
              <w:top w:val="single" w:color="BFBFBF" w:sz="4"/>
              <w:start w:val="single" w:color="BFBFBF" w:sz="4"/>
              <w:bottom w:val="single" w:color="BFBFBF" w:sz="4"/>
              <w:end w:val="single" w:color="BFBFBF" w:sz="4"/>
            </w:tcBorders>
            <w:shd w:fill="F2F2F2" w:val="clear"/>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K-12 data systems, student outcomes analytics, special ed compliance reporting, tribal/rural education broadband + access.</w:t>
            </w:r>
          </w:p>
        </w:tc>
        <w:tc>
          <w:tcPr>
            <w:tcW w:type="dxa" w:w="2000"/>
            <w:tcBorders>
              <w:top w:val="single" w:color="BFBFBF" w:sz="4"/>
              <w:start w:val="single" w:color="BFBFBF" w:sz="4"/>
              <w:bottom w:val="single" w:color="BFBFBF" w:sz="4"/>
              <w:end w:val="single" w:color="BFBFBF" w:sz="4"/>
            </w:tcBorders>
            <w:shd w:fill="F2F2F2" w:val="clear"/>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HCPSS SLED win</w:t>
            </w:r>
          </w:p>
        </w:tc>
      </w:tr>
      <w:tr>
        <w:tc>
          <w:tcPr>
            <w:tcW w:type="dxa" w:w="22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left"/>
            </w:pPr>
            <w:r>
              <w:rPr>
                <w:rFonts w:ascii="Arial" w:cs="Arial" w:eastAsia="Arial" w:hAnsi="Arial"/>
                <w:b/>
                <w:bCs/>
                <w:color w:val="000000"/>
                <w:sz w:val="18"/>
                <w:szCs w:val="18"/>
              </w:rPr>
              <w:t xml:space="preserve">DOR — Dept. of Revenue</w:t>
            </w:r>
          </w:p>
        </w:tc>
        <w:tc>
          <w:tcPr>
            <w:tcW w:type="dxa" w:w="516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Tax processing automation, fraud detection, OCR document intake, citizen-facing portals.</w:t>
            </w:r>
          </w:p>
        </w:tc>
        <w:tc>
          <w:tcPr>
            <w:tcW w:type="dxa" w:w="2000"/>
            <w:tcBorders>
              <w:top w:val="single" w:color="BFBFBF" w:sz="4"/>
              <w:start w:val="single" w:color="BFBFBF" w:sz="4"/>
              <w:bottom w:val="single" w:color="BFBFBF" w:sz="4"/>
              <w:end w:val="single" w:color="BFBFBF" w:sz="4"/>
            </w:tcBorders>
            <w:shd w:fill="D9F0E0" w:val="clear"/>
            <w:tcMar>
              <w:top w:type="dxa" w:w="100"/>
              <w:start w:type="dxa" w:w="140"/>
              <w:bottom w:type="dxa" w:w="100"/>
              <w:end w:type="dxa" w:w="140"/>
            </w:tcMar>
            <w:vAlign w:val="top"/>
          </w:tcPr>
          <w:p>
            <w:pPr>
              <w:jc w:val="left"/>
            </w:pPr>
            <w:r>
              <w:rPr>
                <w:rFonts w:ascii="Arial" w:cs="Arial" w:eastAsia="Arial" w:hAnsi="Arial"/>
                <w:b/>
                <w:bCs/>
                <w:color w:val="000000"/>
                <w:sz w:val="18"/>
                <w:szCs w:val="18"/>
              </w:rPr>
              <w:t xml:space="preserve">DHCS CFRS 96% OCR + 60% labor reduction</w:t>
            </w:r>
          </w:p>
        </w:tc>
      </w:tr>
      <w:tr>
        <w:tc>
          <w:tcPr>
            <w:tcW w:type="dxa" w:w="2200"/>
            <w:tcBorders>
              <w:top w:val="single" w:color="BFBFBF" w:sz="4"/>
              <w:start w:val="single" w:color="BFBFBF" w:sz="4"/>
              <w:bottom w:val="single" w:color="BFBFBF" w:sz="4"/>
              <w:end w:val="single" w:color="BFBFBF" w:sz="4"/>
            </w:tcBorders>
            <w:shd w:fill="F2F2F2" w:val="clear"/>
            <w:tcMar>
              <w:top w:type="dxa" w:w="100"/>
              <w:start w:type="dxa" w:w="140"/>
              <w:bottom w:type="dxa" w:w="100"/>
              <w:end w:type="dxa" w:w="140"/>
            </w:tcMar>
            <w:vAlign w:val="top"/>
          </w:tcPr>
          <w:p>
            <w:pPr>
              <w:jc w:val="left"/>
            </w:pPr>
            <w:r>
              <w:rPr>
                <w:rFonts w:ascii="Arial" w:cs="Arial" w:eastAsia="Arial" w:hAnsi="Arial"/>
                <w:b/>
                <w:bCs/>
                <w:color w:val="000000"/>
                <w:sz w:val="18"/>
                <w:szCs w:val="18"/>
              </w:rPr>
              <w:t xml:space="preserve">DOA — Dept. of Administration (itself)</w:t>
            </w:r>
          </w:p>
        </w:tc>
        <w:tc>
          <w:tcPr>
            <w:tcW w:type="dxa" w:w="5160"/>
            <w:tcBorders>
              <w:top w:val="single" w:color="BFBFBF" w:sz="4"/>
              <w:start w:val="single" w:color="BFBFBF" w:sz="4"/>
              <w:bottom w:val="single" w:color="BFBFBF" w:sz="4"/>
              <w:end w:val="single" w:color="BFBFBF" w:sz="4"/>
            </w:tcBorders>
            <w:shd w:fill="F2F2F2" w:val="clear"/>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Procurement modernization, statewide IT infrastructure, eMACS upgrades, enterprise data platforms.</w:t>
            </w:r>
          </w:p>
        </w:tc>
        <w:tc>
          <w:tcPr>
            <w:tcW w:type="dxa" w:w="2000"/>
            <w:tcBorders>
              <w:top w:val="single" w:color="BFBFBF" w:sz="4"/>
              <w:start w:val="single" w:color="BFBFBF" w:sz="4"/>
              <w:bottom w:val="single" w:color="BFBFBF" w:sz="4"/>
              <w:end w:val="single" w:color="BFBFBF" w:sz="4"/>
            </w:tcBorders>
            <w:shd w:fill="F2F2F2" w:val="clear"/>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Enterprise integration (Cigna analog)</w:t>
            </w:r>
          </w:p>
        </w:tc>
      </w:tr>
      <w:tr>
        <w:tc>
          <w:tcPr>
            <w:tcW w:type="dxa" w:w="22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left"/>
            </w:pPr>
            <w:r>
              <w:rPr>
                <w:rFonts w:ascii="Arial" w:cs="Arial" w:eastAsia="Arial" w:hAnsi="Arial"/>
                <w:b/>
                <w:bCs/>
                <w:color w:val="000000"/>
                <w:sz w:val="18"/>
                <w:szCs w:val="18"/>
              </w:rPr>
              <w:t xml:space="preserve">Commerce — Dept. of Commerce</w:t>
            </w:r>
          </w:p>
        </w:tc>
        <w:tc>
          <w:tcPr>
            <w:tcW w:type="dxa" w:w="516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Broadband expansion analytics, economic development data, tourism intelligence, housing programs.</w:t>
            </w:r>
          </w:p>
        </w:tc>
        <w:tc>
          <w:tcPr>
            <w:tcW w:type="dxa" w:w="2000"/>
            <w:tcBorders>
              <w:top w:val="single" w:color="BFBFBF" w:sz="4"/>
              <w:start w:val="single" w:color="BFBFBF" w:sz="4"/>
              <w:bottom w:val="single" w:color="BFBFBF" w:sz="4"/>
              <w:end w:val="single" w:color="BFBFBF" w:sz="4"/>
            </w:tcBorders>
            <w:shd w:fill="FFF4D6" w:val="clear"/>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Limited federal analog — general IT lane</w:t>
            </w:r>
          </w:p>
        </w:tc>
      </w:tr>
      <w:tr>
        <w:tc>
          <w:tcPr>
            <w:tcW w:type="dxa" w:w="2200"/>
            <w:tcBorders>
              <w:top w:val="single" w:color="BFBFBF" w:sz="4"/>
              <w:start w:val="single" w:color="BFBFBF" w:sz="4"/>
              <w:bottom w:val="single" w:color="BFBFBF" w:sz="4"/>
              <w:end w:val="single" w:color="BFBFBF" w:sz="4"/>
            </w:tcBorders>
            <w:shd w:fill="F2F2F2" w:val="clear"/>
            <w:tcMar>
              <w:top w:type="dxa" w:w="100"/>
              <w:start w:type="dxa" w:w="140"/>
              <w:bottom w:type="dxa" w:w="100"/>
              <w:end w:type="dxa" w:w="140"/>
            </w:tcMar>
            <w:vAlign w:val="top"/>
          </w:tcPr>
          <w:p>
            <w:pPr>
              <w:jc w:val="left"/>
            </w:pPr>
            <w:r>
              <w:rPr>
                <w:rFonts w:ascii="Arial" w:cs="Arial" w:eastAsia="Arial" w:hAnsi="Arial"/>
                <w:b/>
                <w:bCs/>
                <w:color w:val="000000"/>
                <w:sz w:val="18"/>
                <w:szCs w:val="18"/>
              </w:rPr>
              <w:t xml:space="preserve">DOJ — Dept. of Justice</w:t>
            </w:r>
          </w:p>
        </w:tc>
        <w:tc>
          <w:tcPr>
            <w:tcW w:type="dxa" w:w="5160"/>
            <w:tcBorders>
              <w:top w:val="single" w:color="BFBFBF" w:sz="4"/>
              <w:start w:val="single" w:color="BFBFBF" w:sz="4"/>
              <w:bottom w:val="single" w:color="BFBFBF" w:sz="4"/>
              <w:end w:val="single" w:color="BFBFBF" w:sz="4"/>
            </w:tcBorders>
            <w:shd w:fill="F2F2F2" w:val="clear"/>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Criminal justice data systems, victim services, court system AI for case prioritization, body-worn camera transcription/redaction.</w:t>
            </w:r>
          </w:p>
        </w:tc>
        <w:tc>
          <w:tcPr>
            <w:tcW w:type="dxa" w:w="2000"/>
            <w:tcBorders>
              <w:top w:val="single" w:color="BFBFBF" w:sz="4"/>
              <w:start w:val="single" w:color="BFBFBF" w:sz="4"/>
              <w:bottom w:val="single" w:color="BFBFBF" w:sz="4"/>
              <w:end w:val="single" w:color="BFBFBF" w:sz="4"/>
            </w:tcBorders>
            <w:shd w:fill="F2F2F2" w:val="clear"/>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Limited direct analog — needs cyber partner</w:t>
            </w:r>
          </w:p>
        </w:tc>
      </w:tr>
      <w:tr>
        <w:tc>
          <w:tcPr>
            <w:tcW w:type="dxa" w:w="22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left"/>
            </w:pPr>
            <w:r>
              <w:rPr>
                <w:rFonts w:ascii="Arial" w:cs="Arial" w:eastAsia="Arial" w:hAnsi="Arial"/>
                <w:b/>
                <w:bCs/>
                <w:color w:val="000000"/>
                <w:sz w:val="18"/>
                <w:szCs w:val="18"/>
              </w:rPr>
              <w:t xml:space="preserve">DLI — Dept. of Labor &amp; Industry</w:t>
            </w:r>
          </w:p>
        </w:tc>
        <w:tc>
          <w:tcPr>
            <w:tcW w:type="dxa" w:w="516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UI fraud detection, workforce data, occupational licensing, workers' comp analytics.</w:t>
            </w:r>
          </w:p>
        </w:tc>
        <w:tc>
          <w:tcPr>
            <w:tcW w:type="dxa" w:w="2000"/>
            <w:tcBorders>
              <w:top w:val="single" w:color="BFBFBF" w:sz="4"/>
              <w:start w:val="single" w:color="BFBFBF" w:sz="4"/>
              <w:bottom w:val="single" w:color="BFBFBF" w:sz="4"/>
              <w:end w:val="single" w:color="BFBFBF" w:sz="4"/>
            </w:tcBorders>
            <w:shd w:fill="FFF4D6" w:val="clear"/>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AI fraud detection (DHCS OCR analog)</w:t>
            </w:r>
          </w:p>
        </w:tc>
      </w:tr>
      <w:tr>
        <w:tc>
          <w:tcPr>
            <w:tcW w:type="dxa" w:w="2200"/>
            <w:tcBorders>
              <w:top w:val="single" w:color="BFBFBF" w:sz="4"/>
              <w:start w:val="single" w:color="BFBFBF" w:sz="4"/>
              <w:bottom w:val="single" w:color="BFBFBF" w:sz="4"/>
              <w:end w:val="single" w:color="BFBFBF" w:sz="4"/>
            </w:tcBorders>
            <w:shd w:fill="F2F2F2" w:val="clear"/>
            <w:tcMar>
              <w:top w:type="dxa" w:w="100"/>
              <w:start w:type="dxa" w:w="140"/>
              <w:bottom w:type="dxa" w:w="100"/>
              <w:end w:type="dxa" w:w="140"/>
            </w:tcMar>
            <w:vAlign w:val="top"/>
          </w:tcPr>
          <w:p>
            <w:pPr>
              <w:jc w:val="left"/>
            </w:pPr>
            <w:r>
              <w:rPr>
                <w:rFonts w:ascii="Arial" w:cs="Arial" w:eastAsia="Arial" w:hAnsi="Arial"/>
                <w:b/>
                <w:bCs/>
                <w:color w:val="000000"/>
                <w:sz w:val="18"/>
                <w:szCs w:val="18"/>
              </w:rPr>
              <w:t xml:space="preserve">FWP — Fish, Wildlife &amp; Parks</w:t>
            </w:r>
          </w:p>
        </w:tc>
        <w:tc>
          <w:tcPr>
            <w:tcW w:type="dxa" w:w="5160"/>
            <w:tcBorders>
              <w:top w:val="single" w:color="BFBFBF" w:sz="4"/>
              <w:start w:val="single" w:color="BFBFBF" w:sz="4"/>
              <w:bottom w:val="single" w:color="BFBFBF" w:sz="4"/>
              <w:end w:val="single" w:color="BFBFBF" w:sz="4"/>
            </w:tcBorders>
            <w:shd w:fill="F2F2F2" w:val="clear"/>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Permit systems, wildlife population modeling, visitor analytics.</w:t>
            </w:r>
          </w:p>
        </w:tc>
        <w:tc>
          <w:tcPr>
            <w:tcW w:type="dxa" w:w="2000"/>
            <w:tcBorders>
              <w:top w:val="single" w:color="BFBFBF" w:sz="4"/>
              <w:start w:val="single" w:color="BFBFBF" w:sz="4"/>
              <w:bottom w:val="single" w:color="BFBFBF" w:sz="4"/>
              <w:end w:val="single" w:color="BFBFBF" w:sz="4"/>
            </w:tcBorders>
            <w:shd w:fill="F2F2F2" w:val="clear"/>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Lower fit — opportunistic only</w:t>
            </w:r>
          </w:p>
        </w:tc>
      </w:tr>
    </w:tbl>
    <w:p>
      <w:pPr>
        <w:pStyle w:val="Heading2"/>
        <w:spacing w:after="100" w:before="220"/>
      </w:pPr>
      <w:r>
        <w:rPr>
          <w:rFonts w:ascii="Arial" w:cs="Arial" w:eastAsia="Arial" w:hAnsi="Arial"/>
          <w:b/>
          <w:bCs/>
          <w:color w:val="232D5A"/>
          <w:sz w:val="24"/>
          <w:szCs w:val="24"/>
        </w:rPr>
        <w:t xml:space="preserve">7.3  Three Plays for TO Wins</w:t>
      </w:r>
    </w:p>
    <w:p>
      <w:pPr>
        <w:spacing w:after="80" w:before="160"/>
      </w:pPr>
      <w:r>
        <w:rPr>
          <w:rFonts w:ascii="Arial" w:cs="Arial" w:eastAsia="Arial" w:hAnsi="Arial"/>
          <w:b/>
          <w:bCs/>
          <w:color w:val="2EA891"/>
          <w:sz w:val="22"/>
          <w:szCs w:val="22"/>
        </w:rPr>
        <w:t xml:space="preserve">Play A — Sub-$100K Direct Relationship Plays</w:t>
      </w:r>
    </w:p>
    <w:p>
      <w:pPr>
        <w:spacing w:after="100" w:before="80"/>
        <w:jc w:val="left"/>
      </w:pPr>
      <w:r>
        <w:rPr>
          <w:rFonts w:ascii="Arial" w:cs="Arial" w:eastAsia="Arial" w:hAnsi="Arial"/>
          <w:b w:val="false"/>
          <w:bCs w:val="false"/>
          <w:i w:val="false"/>
          <w:iCs w:val="false"/>
          <w:color w:val="000000"/>
          <w:sz w:val="20"/>
          <w:szCs w:val="20"/>
        </w:rPr>
        <w:t xml:space="preserve">Identify the 3-5 ordering agencies most likely to issue sub-$100K AI/IT task orders in the next 6 months. Build named relationships at agency CIO, deputy CIO, and program-office level. Lead with use-case-specific demos (not generic AI presentations). Target DPHHS (Medicaid + RHTP), DOR (OCR), and DLI (UI fraud) as opening salvos.</w:t>
      </w:r>
    </w:p>
    <w:p>
      <w:pPr>
        <w:spacing w:after="80" w:before="160"/>
      </w:pPr>
      <w:r>
        <w:rPr>
          <w:rFonts w:ascii="Arial" w:cs="Arial" w:eastAsia="Arial" w:hAnsi="Arial"/>
          <w:b/>
          <w:bCs/>
          <w:color w:val="2EA891"/>
          <w:sz w:val="22"/>
          <w:szCs w:val="22"/>
        </w:rPr>
        <w:t xml:space="preserve">Play B — Healthcare / CAH Domain Premium on Open-Pool TOs</w:t>
      </w:r>
    </w:p>
    <w:p>
      <w:pPr>
        <w:spacing w:after="100" w:before="80"/>
        <w:jc w:val="left"/>
      </w:pPr>
      <w:r>
        <w:rPr>
          <w:rFonts w:ascii="Arial" w:cs="Arial" w:eastAsia="Arial" w:hAnsi="Arial"/>
          <w:b w:val="false"/>
          <w:bCs w:val="false"/>
          <w:i w:val="false"/>
          <w:iCs w:val="false"/>
          <w:color w:val="000000"/>
          <w:sz w:val="20"/>
          <w:szCs w:val="20"/>
        </w:rPr>
        <w:t xml:space="preserve">On Tier-3 TOs (&gt;$100K) that touch healthcare, CAH, rural health, or Medicaid use cases, VBX competes on domain depth, not on price. Carahsoft and 22nd Century Technologies are not healthcare specialists. Cetrix, Agentic, OpenTeams are AI-first but not healthcare-first. HealthTech Solutions LLC (Track 1 only, score 931) is the most direct healthcare competitor; map their MT past performance and known team depth.</w:t>
      </w:r>
    </w:p>
    <w:p>
      <w:pPr>
        <w:spacing w:after="80" w:before="160"/>
      </w:pPr>
      <w:r>
        <w:rPr>
          <w:rFonts w:ascii="Arial" w:cs="Arial" w:eastAsia="Arial" w:hAnsi="Arial"/>
          <w:b/>
          <w:bCs/>
          <w:color w:val="2EA891"/>
          <w:sz w:val="22"/>
          <w:szCs w:val="22"/>
        </w:rPr>
        <w:t xml:space="preserve">Play C — Speed and Small-Business Accessibility</w:t>
      </w:r>
    </w:p>
    <w:p>
      <w:pPr>
        <w:spacing w:after="100" w:before="80"/>
        <w:jc w:val="left"/>
      </w:pPr>
      <w:r>
        <w:rPr>
          <w:rFonts w:ascii="Arial" w:cs="Arial" w:eastAsia="Arial" w:hAnsi="Arial"/>
          <w:b w:val="false"/>
          <w:bCs w:val="false"/>
          <w:i w:val="false"/>
          <w:iCs w:val="false"/>
          <w:color w:val="000000"/>
          <w:sz w:val="20"/>
          <w:szCs w:val="20"/>
        </w:rPr>
        <w:t xml:space="preserve">Where ordering agencies want a hands-on small business with a named, accessible delivery team rather than a Tier-1 integrator with delegated delivery, VBX wins on team transparency. This is also the right play when the agency needs a 2-month implementation timeline (per the evaluator's positive comment on T2 "Ease of Adoption").</w:t>
      </w:r>
    </w:p>
    <w:p>
      <w:pPr>
        <w:pStyle w:val="Heading2"/>
        <w:spacing w:after="100" w:before="220"/>
      </w:pPr>
      <w:r>
        <w:rPr>
          <w:rFonts w:ascii="Arial" w:cs="Arial" w:eastAsia="Arial" w:hAnsi="Arial"/>
          <w:b/>
          <w:bCs/>
          <w:color w:val="232D5A"/>
          <w:sz w:val="24"/>
          <w:szCs w:val="24"/>
        </w:rPr>
        <w:t xml:space="preserve">7.4  Cyber Partner Selection — TO-Dependent</w:t>
      </w:r>
    </w:p>
    <w:p>
      <w:pPr>
        <w:spacing w:after="100" w:before="80"/>
        <w:jc w:val="left"/>
      </w:pPr>
      <w:r>
        <w:rPr>
          <w:rFonts w:ascii="Arial" w:cs="Arial" w:eastAsia="Arial" w:hAnsi="Arial"/>
          <w:b w:val="false"/>
          <w:bCs w:val="false"/>
          <w:i w:val="false"/>
          <w:iCs w:val="false"/>
          <w:color w:val="000000"/>
          <w:sz w:val="20"/>
          <w:szCs w:val="20"/>
        </w:rPr>
        <w:t xml:space="preserve">Cyber/compliance partner is selected at TO level based on TO scope, NOT defaulted to any single partner. Selection grid:</w:t>
      </w:r>
    </w:p>
    <w:p>
      <w:pPr>
        <w:spacing w:after="40" w:before="80"/>
        <w:jc w:val="left"/>
      </w:pPr>
      <w:r>
        <w:rPr>
          <w:rFonts w:ascii="Arial" w:cs="Arial" w:eastAsia="Arial" w:hAnsi="Arial"/>
          <w:b w:val="false"/>
          <w:bCs w:val="false"/>
          <w:i w:val="false"/>
          <w:iCs w:val="false"/>
          <w:color w:val="000000"/>
          <w:sz w:val="20"/>
          <w:szCs w:val="20"/>
        </w:rPr>
        <w:t xml:space="preserve">• Healthcare PHI-heavy TOs: Tony Paul (VBX internal CISO, HITRUST) + TES Consultants (ISO 27001 advisory).</w:t>
      </w:r>
    </w:p>
    <w:p>
      <w:pPr>
        <w:spacing w:after="40" w:before="80"/>
        <w:jc w:val="left"/>
      </w:pPr>
      <w:r>
        <w:rPr>
          <w:rFonts w:ascii="Arial" w:cs="Arial" w:eastAsia="Arial" w:hAnsi="Arial"/>
          <w:b w:val="false"/>
          <w:bCs w:val="false"/>
          <w:i w:val="false"/>
          <w:iCs w:val="false"/>
          <w:color w:val="000000"/>
          <w:sz w:val="20"/>
          <w:szCs w:val="20"/>
        </w:rPr>
        <w:t xml:space="preserve">• AI-governance / NIST AI RMF / MT HB 178 (Right to Compute) TOs: ISG/Invicta Solutions Group (ISO 27001 + ISO 42001 AI mgmt cert).</w:t>
      </w:r>
    </w:p>
    <w:p>
      <w:pPr>
        <w:spacing w:after="40" w:before="80"/>
        <w:jc w:val="left"/>
      </w:pPr>
      <w:r>
        <w:rPr>
          <w:rFonts w:ascii="Arial" w:cs="Arial" w:eastAsia="Arial" w:hAnsi="Arial"/>
          <w:b w:val="false"/>
          <w:bCs w:val="false"/>
          <w:i w:val="false"/>
          <w:iCs w:val="false"/>
          <w:color w:val="000000"/>
          <w:sz w:val="20"/>
          <w:szCs w:val="20"/>
        </w:rPr>
        <w:t xml:space="preserve">• CMMC-required TOs (rare at SLED level but possible for DOJ/DLI scopes): AG Grace (CMMC-ATP) or TES (C3PAO).</w:t>
      </w:r>
    </w:p>
    <w:p>
      <w:pPr>
        <w:spacing w:after="40" w:before="80"/>
        <w:jc w:val="left"/>
      </w:pPr>
      <w:r>
        <w:rPr>
          <w:rFonts w:ascii="Arial" w:cs="Arial" w:eastAsia="Arial" w:hAnsi="Arial"/>
          <w:b w:val="false"/>
          <w:bCs w:val="false"/>
          <w:i w:val="false"/>
          <w:iCs w:val="false"/>
          <w:color w:val="000000"/>
          <w:sz w:val="20"/>
          <w:szCs w:val="20"/>
        </w:rPr>
        <w:t xml:space="preserve">• HACS/FedRAMP-flavored TOs: Proksi Systems (HACS SIN) or TES (HACS SIN + FedRAMP advisory).</w:t>
      </w:r>
    </w:p>
    <w:p>
      <w:pPr>
        <w:spacing w:after="100" w:before="80"/>
        <w:jc w:val="left"/>
      </w:pPr>
      <w:r>
        <w:rPr>
          <w:rFonts w:ascii="Arial" w:cs="Arial" w:eastAsia="Arial" w:hAnsi="Arial"/>
          <w:b w:val="false"/>
          <w:bCs w:val="false"/>
          <w:i w:val="false"/>
          <w:iCs w:val="false"/>
          <w:color w:val="000000"/>
          <w:sz w:val="20"/>
          <w:szCs w:val="20"/>
        </w:rPr>
        <w:t xml:space="preserve">• NIST AI RMF specifically: NetSecurely (Figueroa) or ISG.</w:t>
      </w:r>
    </w:p>
    <w:p>
      <w:r>
        <w:br w:type="page"/>
      </w:r>
    </w:p>
    <w:p>
      <w:pPr>
        <w:pStyle w:val="Heading1"/>
        <w:pBdr>
          <w:bottom w:val="single" w:color="2EA891" w:sz="12" w:space="6"/>
        </w:pBdr>
        <w:spacing w:after="160" w:before="360"/>
      </w:pPr>
      <w:r>
        <w:rPr>
          <w:rFonts w:ascii="Arial" w:cs="Arial" w:eastAsia="Arial" w:hAnsi="Arial"/>
          <w:b/>
          <w:bCs/>
          <w:color w:val="232D5A"/>
          <w:sz w:val="30"/>
          <w:szCs w:val="30"/>
        </w:rPr>
        <w:t xml:space="preserve">8.  Score-Improvement Backlog</w:t>
      </w:r>
    </w:p>
    <w:p>
      <w:pPr>
        <w:spacing w:after="100" w:before="80"/>
        <w:jc w:val="left"/>
      </w:pPr>
      <w:r>
        <w:rPr>
          <w:rFonts w:ascii="Arial" w:cs="Arial" w:eastAsia="Arial" w:hAnsi="Arial"/>
          <w:b w:val="false"/>
          <w:bCs w:val="false"/>
          <w:i w:val="false"/>
          <w:iCs w:val="false"/>
          <w:color w:val="000000"/>
          <w:sz w:val="20"/>
          <w:szCs w:val="20"/>
        </w:rPr>
        <w:t xml:space="preserve">Eight actions ranked by score-impact. Items in red are critical-path for the next SLED bid; items in amber are operational requirements for MT delivery; items in green are quick-win discipline fixes.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3400"/>
        <w:gridCol w:w="1800"/>
        <w:gridCol w:w="1400"/>
        <w:gridCol w:w="2760"/>
      </w:tblGrid>
      <w:tr>
        <w:tc>
          <w:tcPr>
            <w:tcW w:type="dxa" w:w="3400"/>
            <w:tcBorders>
              <w:top w:val="single" w:color="BFBFBF" w:sz="4"/>
              <w:start w:val="single" w:color="BFBFBF" w:sz="4"/>
              <w:bottom w:val="single" w:color="BFBFBF" w:sz="4"/>
              <w:end w:val="single" w:color="BFBFBF" w:sz="4"/>
            </w:tcBorders>
            <w:shd w:fill="232D5A" w:val="clear"/>
            <w:tcMar>
              <w:top w:type="dxa" w:w="100"/>
              <w:start w:type="dxa" w:w="140"/>
              <w:bottom w:type="dxa" w:w="100"/>
              <w:end w:type="dxa" w:w="140"/>
            </w:tcMar>
            <w:vAlign w:val="top"/>
          </w:tcPr>
          <w:p>
            <w:pPr>
              <w:jc w:val="left"/>
            </w:pPr>
            <w:r>
              <w:rPr>
                <w:rFonts w:ascii="Arial" w:cs="Arial" w:eastAsia="Arial" w:hAnsi="Arial"/>
                <w:b/>
                <w:bCs/>
                <w:color w:val="FFFFFF"/>
                <w:sz w:val="18"/>
                <w:szCs w:val="18"/>
              </w:rPr>
              <w:t xml:space="preserve">Fix</w:t>
            </w:r>
          </w:p>
        </w:tc>
        <w:tc>
          <w:tcPr>
            <w:tcW w:type="dxa" w:w="1800"/>
            <w:tcBorders>
              <w:top w:val="single" w:color="BFBFBF" w:sz="4"/>
              <w:start w:val="single" w:color="BFBFBF" w:sz="4"/>
              <w:bottom w:val="single" w:color="BFBFBF" w:sz="4"/>
              <w:end w:val="single" w:color="BFBFBF" w:sz="4"/>
            </w:tcBorders>
            <w:shd w:fill="232D5A" w:val="clear"/>
            <w:tcMar>
              <w:top w:type="dxa" w:w="100"/>
              <w:start w:type="dxa" w:w="140"/>
              <w:bottom w:type="dxa" w:w="100"/>
              <w:end w:type="dxa" w:w="140"/>
            </w:tcMar>
            <w:vAlign w:val="top"/>
          </w:tcPr>
          <w:p>
            <w:pPr>
              <w:jc w:val="left"/>
            </w:pPr>
            <w:r>
              <w:rPr>
                <w:rFonts w:ascii="Arial" w:cs="Arial" w:eastAsia="Arial" w:hAnsi="Arial"/>
                <w:b/>
                <w:bCs/>
                <w:color w:val="FFFFFF"/>
                <w:sz w:val="18"/>
                <w:szCs w:val="18"/>
              </w:rPr>
              <w:t xml:space="preserve">Score Impact</w:t>
            </w:r>
          </w:p>
        </w:tc>
        <w:tc>
          <w:tcPr>
            <w:tcW w:type="dxa" w:w="1400"/>
            <w:tcBorders>
              <w:top w:val="single" w:color="BFBFBF" w:sz="4"/>
              <w:start w:val="single" w:color="BFBFBF" w:sz="4"/>
              <w:bottom w:val="single" w:color="BFBFBF" w:sz="4"/>
              <w:end w:val="single" w:color="BFBFBF" w:sz="4"/>
            </w:tcBorders>
            <w:shd w:fill="232D5A" w:val="clear"/>
            <w:tcMar>
              <w:top w:type="dxa" w:w="100"/>
              <w:start w:type="dxa" w:w="140"/>
              <w:bottom w:type="dxa" w:w="100"/>
              <w:end w:type="dxa" w:w="140"/>
            </w:tcMar>
            <w:vAlign w:val="top"/>
          </w:tcPr>
          <w:p>
            <w:pPr>
              <w:jc w:val="left"/>
            </w:pPr>
            <w:r>
              <w:rPr>
                <w:rFonts w:ascii="Arial" w:cs="Arial" w:eastAsia="Arial" w:hAnsi="Arial"/>
                <w:b/>
                <w:bCs/>
                <w:color w:val="FFFFFF"/>
                <w:sz w:val="18"/>
                <w:szCs w:val="18"/>
              </w:rPr>
              <w:t xml:space="preserve">Effort</w:t>
            </w:r>
          </w:p>
        </w:tc>
        <w:tc>
          <w:tcPr>
            <w:tcW w:type="dxa" w:w="2760"/>
            <w:tcBorders>
              <w:top w:val="single" w:color="BFBFBF" w:sz="4"/>
              <w:start w:val="single" w:color="BFBFBF" w:sz="4"/>
              <w:bottom w:val="single" w:color="BFBFBF" w:sz="4"/>
              <w:end w:val="single" w:color="BFBFBF" w:sz="4"/>
            </w:tcBorders>
            <w:shd w:fill="232D5A" w:val="clear"/>
            <w:tcMar>
              <w:top w:type="dxa" w:w="100"/>
              <w:start w:type="dxa" w:w="140"/>
              <w:bottom w:type="dxa" w:w="100"/>
              <w:end w:type="dxa" w:w="140"/>
            </w:tcMar>
            <w:vAlign w:val="top"/>
          </w:tcPr>
          <w:p>
            <w:pPr>
              <w:jc w:val="left"/>
            </w:pPr>
            <w:r>
              <w:rPr>
                <w:rFonts w:ascii="Arial" w:cs="Arial" w:eastAsia="Arial" w:hAnsi="Arial"/>
                <w:b/>
                <w:bCs/>
                <w:color w:val="FFFFFF"/>
                <w:sz w:val="18"/>
                <w:szCs w:val="18"/>
              </w:rPr>
              <w:t xml:space="preserve">Owner</w:t>
            </w:r>
          </w:p>
        </w:tc>
      </w:tr>
      <w:tr>
        <w:tc>
          <w:tcPr>
            <w:tcW w:type="dxa" w:w="34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left"/>
            </w:pPr>
            <w:r>
              <w:rPr>
                <w:rFonts w:ascii="Arial" w:cs="Arial" w:eastAsia="Arial" w:hAnsi="Arial"/>
                <w:b/>
                <w:bCs/>
                <w:color w:val="000000"/>
                <w:sz w:val="18"/>
                <w:szCs w:val="18"/>
              </w:rPr>
              <w:t xml:space="preserve">Resume Rebuild — full 3-5 page resumes for Akil Chellam, Tony Paul, Saravanan Swaminathan, Antony Jayaraj, Peter Jayaraj. Include: education, certifications, federal-analog project list with quantified outcomes, role-specific keywords matched to common AI/IT scopes.</w:t>
            </w:r>
          </w:p>
        </w:tc>
        <w:tc>
          <w:tcPr>
            <w:tcW w:type="dxa" w:w="1800"/>
            <w:tcBorders>
              <w:top w:val="single" w:color="BFBFBF" w:sz="4"/>
              <w:start w:val="single" w:color="BFBFBF" w:sz="4"/>
              <w:bottom w:val="single" w:color="BFBFBF" w:sz="4"/>
              <w:end w:val="single" w:color="BFBFBF" w:sz="4"/>
            </w:tcBorders>
            <w:shd w:fill="FBE5E5" w:val="clear"/>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HIGH (Company Profile &amp; Resumes was 150/200 — could move to 180+)</w:t>
            </w:r>
          </w:p>
        </w:tc>
        <w:tc>
          <w:tcPr>
            <w:tcW w:type="dxa" w:w="1400"/>
            <w:tcBorders>
              <w:top w:val="single" w:color="BFBFBF" w:sz="4"/>
              <w:start w:val="single" w:color="BFBFBF" w:sz="4"/>
              <w:bottom w:val="single" w:color="BFBFBF" w:sz="4"/>
              <w:end w:val="single" w:color="BFBFBF" w:sz="4"/>
            </w:tcBorders>
            <w:shd w:fill="D9F0E0" w:val="clear"/>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LOW — 2 weeks</w:t>
            </w:r>
          </w:p>
        </w:tc>
        <w:tc>
          <w:tcPr>
            <w:tcW w:type="dxa" w:w="276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Khaalis Wooden (template + collection) | Akil (review)</w:t>
            </w:r>
          </w:p>
        </w:tc>
      </w:tr>
      <w:tr>
        <w:tc>
          <w:tcPr>
            <w:tcW w:type="dxa" w:w="3400"/>
            <w:tcBorders>
              <w:top w:val="single" w:color="BFBFBF" w:sz="4"/>
              <w:start w:val="single" w:color="BFBFBF" w:sz="4"/>
              <w:bottom w:val="single" w:color="BFBFBF" w:sz="4"/>
              <w:end w:val="single" w:color="BFBFBF" w:sz="4"/>
            </w:tcBorders>
            <w:shd w:fill="F2F2F2" w:val="clear"/>
            <w:tcMar>
              <w:top w:type="dxa" w:w="100"/>
              <w:start w:type="dxa" w:w="140"/>
              <w:bottom w:type="dxa" w:w="100"/>
              <w:end w:type="dxa" w:w="140"/>
            </w:tcMar>
            <w:vAlign w:val="top"/>
          </w:tcPr>
          <w:p>
            <w:pPr>
              <w:jc w:val="left"/>
            </w:pPr>
            <w:r>
              <w:rPr>
                <w:rFonts w:ascii="Arial" w:cs="Arial" w:eastAsia="Arial" w:hAnsi="Arial"/>
                <w:b/>
                <w:bCs/>
                <w:color w:val="000000"/>
                <w:sz w:val="18"/>
                <w:szCs w:val="18"/>
              </w:rPr>
              <w:t xml:space="preserve">Technical Architecture Diagram Redesign — replace current diagram with a layered, agency-readable visualization. Use VBX brand palette. Include: data layer, AI/ML layer, integration layer, security/compliance layer, presentation layer. Annotate every component.</w:t>
            </w:r>
          </w:p>
        </w:tc>
        <w:tc>
          <w:tcPr>
            <w:tcW w:type="dxa" w:w="1800"/>
            <w:tcBorders>
              <w:top w:val="single" w:color="BFBFBF" w:sz="4"/>
              <w:start w:val="single" w:color="BFBFBF" w:sz="4"/>
              <w:bottom w:val="single" w:color="BFBFBF" w:sz="4"/>
              <w:end w:val="single" w:color="BFBFBF" w:sz="4"/>
            </w:tcBorders>
            <w:shd w:fill="F2F2F2" w:val="clear"/>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HIGH (Tech Merit was 270/350 — diagram explicitly called "confusing")</w:t>
            </w:r>
          </w:p>
        </w:tc>
        <w:tc>
          <w:tcPr>
            <w:tcW w:type="dxa" w:w="1400"/>
            <w:tcBorders>
              <w:top w:val="single" w:color="BFBFBF" w:sz="4"/>
              <w:start w:val="single" w:color="BFBFBF" w:sz="4"/>
              <w:bottom w:val="single" w:color="BFBFBF" w:sz="4"/>
              <w:end w:val="single" w:color="BFBFBF" w:sz="4"/>
            </w:tcBorders>
            <w:shd w:fill="F2F2F2" w:val="clear"/>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MED — 3-4 weeks</w:t>
            </w:r>
          </w:p>
        </w:tc>
        <w:tc>
          <w:tcPr>
            <w:tcW w:type="dxa" w:w="2760"/>
            <w:tcBorders>
              <w:top w:val="single" w:color="BFBFBF" w:sz="4"/>
              <w:start w:val="single" w:color="BFBFBF" w:sz="4"/>
              <w:bottom w:val="single" w:color="BFBFBF" w:sz="4"/>
              <w:end w:val="single" w:color="BFBFBF" w:sz="4"/>
            </w:tcBorders>
            <w:shd w:fill="F2F2F2" w:val="clear"/>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Saravanan Swaminathan + Antony Jayaraj | Khaalis (brand)</w:t>
            </w:r>
          </w:p>
        </w:tc>
      </w:tr>
      <w:tr>
        <w:tc>
          <w:tcPr>
            <w:tcW w:type="dxa" w:w="34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left"/>
            </w:pPr>
            <w:r>
              <w:rPr>
                <w:rFonts w:ascii="Arial" w:cs="Arial" w:eastAsia="Arial" w:hAnsi="Arial"/>
                <w:b/>
                <w:bCs/>
                <w:color w:val="000000"/>
                <w:sz w:val="18"/>
                <w:szCs w:val="18"/>
              </w:rPr>
              <w:t xml:space="preserve">Public Sector Past Performance Expansion — Foreground CA DHCS, add Montana Master AI award (Year 2 forward), HCPSS, and any RHTP-funded TO wins. Build three federal-analog narratives: VA OIT analog (Kaiser), CMS analog (DHCS), DPHHS-style analog (HCPSS).</w:t>
            </w:r>
          </w:p>
        </w:tc>
        <w:tc>
          <w:tcPr>
            <w:tcW w:type="dxa" w:w="1800"/>
            <w:tcBorders>
              <w:top w:val="single" w:color="BFBFBF" w:sz="4"/>
              <w:start w:val="single" w:color="BFBFBF" w:sz="4"/>
              <w:bottom w:val="single" w:color="BFBFBF" w:sz="4"/>
              <w:end w:val="single" w:color="BFBFBF" w:sz="4"/>
            </w:tcBorders>
            <w:shd w:fill="FBE5E5" w:val="clear"/>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HIGH ("Mostly private sector, only one client is public sector" was flagged)</w:t>
            </w:r>
          </w:p>
        </w:tc>
        <w:tc>
          <w:tcPr>
            <w:tcW w:type="dxa" w:w="1400"/>
            <w:tcBorders>
              <w:top w:val="single" w:color="BFBFBF" w:sz="4"/>
              <w:start w:val="single" w:color="BFBFBF" w:sz="4"/>
              <w:bottom w:val="single" w:color="BFBFBF" w:sz="4"/>
              <w:end w:val="single" w:color="BFBFBF" w:sz="4"/>
            </w:tcBorders>
            <w:shd w:fill="D9F0E0" w:val="clear"/>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LOW-MED — 2-3 weeks</w:t>
            </w:r>
          </w:p>
        </w:tc>
        <w:tc>
          <w:tcPr>
            <w:tcW w:type="dxa" w:w="276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Khaalis Wooden</w:t>
            </w:r>
          </w:p>
        </w:tc>
      </w:tr>
      <w:tr>
        <w:tc>
          <w:tcPr>
            <w:tcW w:type="dxa" w:w="3400"/>
            <w:tcBorders>
              <w:top w:val="single" w:color="BFBFBF" w:sz="4"/>
              <w:start w:val="single" w:color="BFBFBF" w:sz="4"/>
              <w:bottom w:val="single" w:color="BFBFBF" w:sz="4"/>
              <w:end w:val="single" w:color="BFBFBF" w:sz="4"/>
            </w:tcBorders>
            <w:shd w:fill="F2F2F2" w:val="clear"/>
            <w:tcMar>
              <w:top w:type="dxa" w:w="100"/>
              <w:start w:type="dxa" w:w="140"/>
              <w:bottom w:type="dxa" w:w="100"/>
              <w:end w:type="dxa" w:w="140"/>
            </w:tcMar>
            <w:vAlign w:val="top"/>
          </w:tcPr>
          <w:p>
            <w:pPr>
              <w:jc w:val="left"/>
            </w:pPr>
            <w:r>
              <w:rPr>
                <w:rFonts w:ascii="Arial" w:cs="Arial" w:eastAsia="Arial" w:hAnsi="Arial"/>
                <w:b/>
                <w:bCs/>
                <w:color w:val="000000"/>
                <w:sz w:val="18"/>
                <w:szCs w:val="18"/>
              </w:rPr>
              <w:t xml:space="preserve">SOC 2 Type II Readiness — Begin formal readiness assessment. Interim language: "SOC 2 Type II readiness assessment in progress; controls mapped to NIST 800-53 Moderate baseline; ISO 27001:2022 readiness via TES Consultants advisory engagement." Stop using "available upon request."</w:t>
            </w:r>
          </w:p>
        </w:tc>
        <w:tc>
          <w:tcPr>
            <w:tcW w:type="dxa" w:w="1800"/>
            <w:tcBorders>
              <w:top w:val="single" w:color="BFBFBF" w:sz="4"/>
              <w:start w:val="single" w:color="BFBFBF" w:sz="4"/>
              <w:bottom w:val="single" w:color="BFBFBF" w:sz="4"/>
              <w:end w:val="single" w:color="BFBFBF" w:sz="4"/>
            </w:tcBorders>
            <w:shd w:fill="F2F2F2" w:val="clear"/>
            <w:tcMar>
              <w:top w:type="dxa" w:w="100"/>
              <w:start w:type="dxa" w:w="140"/>
              <w:bottom w:type="dxa" w:w="100"/>
              <w:end w:type="dxa" w:w="140"/>
            </w:tcMar>
            <w:vAlign w:val="top"/>
          </w:tcPr>
          <w:p>
            <w:pPr>
              <w:jc w:val="left"/>
            </w:pPr>
            <w:r>
              <w:rPr>
                <w:rFonts w:ascii="Arial" w:cs="Arial" w:eastAsia="Arial" w:hAnsi="Arial"/>
                <w:b/>
                <w:bCs/>
                <w:color w:val="000000"/>
                <w:sz w:val="18"/>
                <w:szCs w:val="18"/>
              </w:rPr>
              <w:t xml:space="preserve">VERY HIGH (Compounds across MT, WA, SC, federal pursuits)</w:t>
            </w:r>
          </w:p>
        </w:tc>
        <w:tc>
          <w:tcPr>
            <w:tcW w:type="dxa" w:w="1400"/>
            <w:tcBorders>
              <w:top w:val="single" w:color="BFBFBF" w:sz="4"/>
              <w:start w:val="single" w:color="BFBFBF" w:sz="4"/>
              <w:bottom w:val="single" w:color="BFBFBF" w:sz="4"/>
              <w:end w:val="single" w:color="BFBFBF" w:sz="4"/>
            </w:tcBorders>
            <w:shd w:fill="F2F2F2" w:val="clear"/>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HIGH — 6-12 months full cert; 4-8 weeks language change</w:t>
            </w:r>
          </w:p>
        </w:tc>
        <w:tc>
          <w:tcPr>
            <w:tcW w:type="dxa" w:w="2760"/>
            <w:tcBorders>
              <w:top w:val="single" w:color="BFBFBF" w:sz="4"/>
              <w:start w:val="single" w:color="BFBFBF" w:sz="4"/>
              <w:bottom w:val="single" w:color="BFBFBF" w:sz="4"/>
              <w:end w:val="single" w:color="BFBFBF" w:sz="4"/>
            </w:tcBorders>
            <w:shd w:fill="F2F2F2" w:val="clear"/>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Tony Paul (lead) | TES advisory engagement</w:t>
            </w:r>
          </w:p>
        </w:tc>
      </w:tr>
      <w:tr>
        <w:tc>
          <w:tcPr>
            <w:tcW w:type="dxa" w:w="34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left"/>
            </w:pPr>
            <w:r>
              <w:rPr>
                <w:rFonts w:ascii="Arial" w:cs="Arial" w:eastAsia="Arial" w:hAnsi="Arial"/>
                <w:b/>
                <w:bCs/>
                <w:color w:val="000000"/>
                <w:sz w:val="18"/>
                <w:szCs w:val="18"/>
              </w:rPr>
              <w:t xml:space="preserve">TO Pricing Playbook — Build three-tier model: (1) penetration pricing for first 2 TOs to establish track record; (2) market-rate pricing for the next 4-6 TOs; (3) value-premium pricing once domain reputation established. Map labor rates against the 11 dual-track competitors using public GSA MAS rate cards where available.</w:t>
            </w:r>
          </w:p>
        </w:tc>
        <w:tc>
          <w:tcPr>
            <w:tcW w:type="dxa" w:w="1800"/>
            <w:tcBorders>
              <w:top w:val="single" w:color="BFBFBF" w:sz="4"/>
              <w:start w:val="single" w:color="BFBFBF" w:sz="4"/>
              <w:bottom w:val="single" w:color="BFBFBF" w:sz="4"/>
              <w:end w:val="single" w:color="BFBFBF" w:sz="4"/>
            </w:tcBorders>
            <w:shd w:fill="FBE5E5" w:val="clear"/>
            <w:tcMar>
              <w:top w:type="dxa" w:w="100"/>
              <w:start w:type="dxa" w:w="140"/>
              <w:bottom w:type="dxa" w:w="100"/>
              <w:end w:type="dxa" w:w="140"/>
            </w:tcMar>
            <w:vAlign w:val="top"/>
          </w:tcPr>
          <w:p>
            <w:pPr>
              <w:jc w:val="left"/>
            </w:pPr>
            <w:r>
              <w:rPr>
                <w:rFonts w:ascii="Arial" w:cs="Arial" w:eastAsia="Arial" w:hAnsi="Arial"/>
                <w:b/>
                <w:bCs/>
                <w:color w:val="000000"/>
                <w:sz w:val="18"/>
                <w:szCs w:val="18"/>
              </w:rPr>
              <w:t xml:space="preserve">CRITICAL (Cost score 0.88/200 won't survive TO competition at cost ≥20% weighting)</w:t>
            </w:r>
          </w:p>
        </w:tc>
        <w:tc>
          <w:tcPr>
            <w:tcW w:type="dxa" w:w="1400"/>
            <w:tcBorders>
              <w:top w:val="single" w:color="BFBFBF" w:sz="4"/>
              <w:start w:val="single" w:color="BFBFBF" w:sz="4"/>
              <w:bottom w:val="single" w:color="BFBFBF" w:sz="4"/>
              <w:end w:val="single" w:color="BFBFBF" w:sz="4"/>
            </w:tcBorders>
            <w:shd w:fill="FFF4D6" w:val="clear"/>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MED — 4 weeks</w:t>
            </w:r>
          </w:p>
        </w:tc>
        <w:tc>
          <w:tcPr>
            <w:tcW w:type="dxa" w:w="276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Akil Chellam + Khaalis Wooden</w:t>
            </w:r>
          </w:p>
        </w:tc>
      </w:tr>
      <w:tr>
        <w:tc>
          <w:tcPr>
            <w:tcW w:type="dxa" w:w="3400"/>
            <w:tcBorders>
              <w:top w:val="single" w:color="BFBFBF" w:sz="4"/>
              <w:start w:val="single" w:color="BFBFBF" w:sz="4"/>
              <w:bottom w:val="single" w:color="BFBFBF" w:sz="4"/>
              <w:end w:val="single" w:color="BFBFBF" w:sz="4"/>
            </w:tcBorders>
            <w:shd w:fill="F2F2F2" w:val="clear"/>
            <w:tcMar>
              <w:top w:type="dxa" w:w="100"/>
              <w:start w:type="dxa" w:w="140"/>
              <w:bottom w:type="dxa" w:w="100"/>
              <w:end w:type="dxa" w:w="140"/>
            </w:tcMar>
            <w:vAlign w:val="top"/>
          </w:tcPr>
          <w:p>
            <w:pPr>
              <w:jc w:val="left"/>
            </w:pPr>
            <w:r>
              <w:rPr>
                <w:rFonts w:ascii="Arial" w:cs="Arial" w:eastAsia="Arial" w:hAnsi="Arial"/>
                <w:b/>
                <w:bCs/>
                <w:color w:val="000000"/>
                <w:sz w:val="18"/>
                <w:szCs w:val="18"/>
              </w:rPr>
              <w:t xml:space="preserve">MT-Specific Proposal Modules — Pre-build paragraphs and templates with Montana statutory references (MCA 2-17-506, 2-17-514, HB 178 Right to Compute, NIST/ISO AI guidelines), Montana CAH context, DPHHS RHTP initiative alignment, and Equal Pay for MT Women certification.</w:t>
            </w:r>
          </w:p>
        </w:tc>
        <w:tc>
          <w:tcPr>
            <w:tcW w:type="dxa" w:w="1800"/>
            <w:tcBorders>
              <w:top w:val="single" w:color="BFBFBF" w:sz="4"/>
              <w:start w:val="single" w:color="BFBFBF" w:sz="4"/>
              <w:bottom w:val="single" w:color="BFBFBF" w:sz="4"/>
              <w:end w:val="single" w:color="BFBFBF" w:sz="4"/>
            </w:tcBorders>
            <w:shd w:fill="F2F2F2" w:val="clear"/>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MED (Innovation &amp; Policy were already strong; cement at 85%+)</w:t>
            </w:r>
          </w:p>
        </w:tc>
        <w:tc>
          <w:tcPr>
            <w:tcW w:type="dxa" w:w="1400"/>
            <w:tcBorders>
              <w:top w:val="single" w:color="BFBFBF" w:sz="4"/>
              <w:start w:val="single" w:color="BFBFBF" w:sz="4"/>
              <w:bottom w:val="single" w:color="BFBFBF" w:sz="4"/>
              <w:end w:val="single" w:color="BFBFBF" w:sz="4"/>
            </w:tcBorders>
            <w:shd w:fill="F2F2F2" w:val="clear"/>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LOW — 1-2 weeks</w:t>
            </w:r>
          </w:p>
        </w:tc>
        <w:tc>
          <w:tcPr>
            <w:tcW w:type="dxa" w:w="2760"/>
            <w:tcBorders>
              <w:top w:val="single" w:color="BFBFBF" w:sz="4"/>
              <w:start w:val="single" w:color="BFBFBF" w:sz="4"/>
              <w:bottom w:val="single" w:color="BFBFBF" w:sz="4"/>
              <w:end w:val="single" w:color="BFBFBF" w:sz="4"/>
            </w:tcBorders>
            <w:shd w:fill="F2F2F2" w:val="clear"/>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Khaalis Wooden</w:t>
            </w:r>
          </w:p>
        </w:tc>
      </w:tr>
      <w:tr>
        <w:tc>
          <w:tcPr>
            <w:tcW w:type="dxa" w:w="340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left"/>
            </w:pPr>
            <w:r>
              <w:rPr>
                <w:rFonts w:ascii="Arial" w:cs="Arial" w:eastAsia="Arial" w:hAnsi="Arial"/>
                <w:b/>
                <w:bCs/>
                <w:color w:val="000000"/>
                <w:sz w:val="18"/>
                <w:szCs w:val="18"/>
              </w:rPr>
              <w:t xml:space="preserve">US-Only Delivery Posture Documentation — Document VBX MT-delivery posture as US-only (no India SAP team touchpoints). Build US-only delivery team roster with named individuals.</w:t>
            </w:r>
          </w:p>
        </w:tc>
        <w:tc>
          <w:tcPr>
            <w:tcW w:type="dxa" w:w="1800"/>
            <w:tcBorders>
              <w:top w:val="single" w:color="BFBFBF" w:sz="4"/>
              <w:start w:val="single" w:color="BFBFBF" w:sz="4"/>
              <w:bottom w:val="single" w:color="BFBFBF" w:sz="4"/>
              <w:end w:val="single" w:color="BFBFBF" w:sz="4"/>
            </w:tcBorders>
            <w:shd w:fill="FFF4D6" w:val="clear"/>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OPERATIONAL (Required for compliance with Exhibit C §1e)</w:t>
            </w:r>
          </w:p>
        </w:tc>
        <w:tc>
          <w:tcPr>
            <w:tcW w:type="dxa" w:w="1400"/>
            <w:tcBorders>
              <w:top w:val="single" w:color="BFBFBF" w:sz="4"/>
              <w:start w:val="single" w:color="BFBFBF" w:sz="4"/>
              <w:bottom w:val="single" w:color="BFBFBF" w:sz="4"/>
              <w:end w:val="single" w:color="BFBFBF" w:sz="4"/>
            </w:tcBorders>
            <w:shd w:fill="D9F0E0" w:val="clear"/>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LOW — 1 week</w:t>
            </w:r>
          </w:p>
        </w:tc>
        <w:tc>
          <w:tcPr>
            <w:tcW w:type="dxa" w:w="2760"/>
            <w:tcBorders>
              <w:top w:val="single" w:color="BFBFBF" w:sz="4"/>
              <w:start w:val="single" w:color="BFBFBF" w:sz="4"/>
              <w:bottom w:val="single" w:color="BFBFBF" w:sz="4"/>
              <w:end w:val="single" w:color="BFBFBF" w:sz="4"/>
            </w:tcBorders>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Akil Chellam + Tony Paul</w:t>
            </w:r>
          </w:p>
        </w:tc>
      </w:tr>
      <w:tr>
        <w:tc>
          <w:tcPr>
            <w:tcW w:type="dxa" w:w="3400"/>
            <w:tcBorders>
              <w:top w:val="single" w:color="BFBFBF" w:sz="4"/>
              <w:start w:val="single" w:color="BFBFBF" w:sz="4"/>
              <w:bottom w:val="single" w:color="BFBFBF" w:sz="4"/>
              <w:end w:val="single" w:color="BFBFBF" w:sz="4"/>
            </w:tcBorders>
            <w:shd w:fill="F2F2F2" w:val="clear"/>
            <w:tcMar>
              <w:top w:type="dxa" w:w="100"/>
              <w:start w:type="dxa" w:w="140"/>
              <w:bottom w:type="dxa" w:w="100"/>
              <w:end w:type="dxa" w:w="140"/>
            </w:tcMar>
            <w:vAlign w:val="top"/>
          </w:tcPr>
          <w:p>
            <w:pPr>
              <w:jc w:val="left"/>
            </w:pPr>
            <w:r>
              <w:rPr>
                <w:rFonts w:ascii="Arial" w:cs="Arial" w:eastAsia="Arial" w:hAnsi="Arial"/>
                <w:b/>
                <w:bCs/>
                <w:color w:val="000000"/>
                <w:sz w:val="18"/>
                <w:szCs w:val="18"/>
              </w:rPr>
              <w:t xml:space="preserve">AI Vendor Stack Audit — Audit all downstream AI/LLM vendor terms (AWS Bedrock, OpenAI, Anthropic Enterprise, Azure OpenAI) for (a) no-training-on-customer-data guarantees; (b) US-only data residency; (c) FedRAMP/state-IL parity for the chosen tier. Document the approved AI stack for MT TOs.</w:t>
            </w:r>
          </w:p>
        </w:tc>
        <w:tc>
          <w:tcPr>
            <w:tcW w:type="dxa" w:w="1800"/>
            <w:tcBorders>
              <w:top w:val="single" w:color="BFBFBF" w:sz="4"/>
              <w:start w:val="single" w:color="BFBFBF" w:sz="4"/>
              <w:bottom w:val="single" w:color="BFBFBF" w:sz="4"/>
              <w:end w:val="single" w:color="BFBFBF" w:sz="4"/>
            </w:tcBorders>
            <w:shd w:fill="F2F2F2" w:val="clear"/>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OPERATIONAL (Required for compliance with Exhibit C §15)</w:t>
            </w:r>
          </w:p>
        </w:tc>
        <w:tc>
          <w:tcPr>
            <w:tcW w:type="dxa" w:w="1400"/>
            <w:tcBorders>
              <w:top w:val="single" w:color="BFBFBF" w:sz="4"/>
              <w:start w:val="single" w:color="BFBFBF" w:sz="4"/>
              <w:bottom w:val="single" w:color="BFBFBF" w:sz="4"/>
              <w:end w:val="single" w:color="BFBFBF" w:sz="4"/>
            </w:tcBorders>
            <w:shd w:fill="F2F2F2" w:val="clear"/>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LOW-MED — 2 weeks</w:t>
            </w:r>
          </w:p>
        </w:tc>
        <w:tc>
          <w:tcPr>
            <w:tcW w:type="dxa" w:w="2760"/>
            <w:tcBorders>
              <w:top w:val="single" w:color="BFBFBF" w:sz="4"/>
              <w:start w:val="single" w:color="BFBFBF" w:sz="4"/>
              <w:bottom w:val="single" w:color="BFBFBF" w:sz="4"/>
              <w:end w:val="single" w:color="BFBFBF" w:sz="4"/>
            </w:tcBorders>
            <w:shd w:fill="F2F2F2" w:val="clear"/>
            <w:tcMar>
              <w:top w:type="dxa" w:w="100"/>
              <w:start w:type="dxa" w:w="140"/>
              <w:bottom w:type="dxa" w:w="100"/>
              <w:end w:type="dxa" w:w="140"/>
            </w:tcMar>
            <w:vAlign w:val="top"/>
          </w:tcPr>
          <w:p>
            <w:pPr>
              <w:jc w:val="left"/>
            </w:pPr>
            <w:r>
              <w:rPr>
                <w:rFonts w:ascii="Arial" w:cs="Arial" w:eastAsia="Arial" w:hAnsi="Arial"/>
                <w:b w:val="false"/>
                <w:bCs w:val="false"/>
                <w:color w:val="000000"/>
                <w:sz w:val="18"/>
                <w:szCs w:val="18"/>
              </w:rPr>
              <w:t xml:space="preserve">Antony Jayaraj + Tony Paul</w:t>
            </w:r>
          </w:p>
        </w:tc>
      </w:tr>
    </w:tbl>
    <w:p>
      <w:r>
        <w:br w:type="page"/>
      </w:r>
    </w:p>
    <w:p>
      <w:pPr>
        <w:pStyle w:val="Heading1"/>
        <w:pBdr>
          <w:bottom w:val="single" w:color="2EA891" w:sz="12" w:space="6"/>
        </w:pBdr>
        <w:spacing w:after="160" w:before="360"/>
      </w:pPr>
      <w:r>
        <w:rPr>
          <w:rFonts w:ascii="Arial" w:cs="Arial" w:eastAsia="Arial" w:hAnsi="Arial"/>
          <w:b/>
          <w:bCs/>
          <w:color w:val="232D5A"/>
          <w:sz w:val="30"/>
          <w:szCs w:val="30"/>
        </w:rPr>
        <w:t xml:space="preserve">9.  Sequenced Actions</w:t>
      </w:r>
    </w:p>
    <w:p>
      <w:pPr>
        <w:pStyle w:val="Heading2"/>
        <w:spacing w:after="100" w:before="220"/>
      </w:pPr>
      <w:r>
        <w:rPr>
          <w:rFonts w:ascii="Arial" w:cs="Arial" w:eastAsia="Arial" w:hAnsi="Arial"/>
          <w:b/>
          <w:bCs/>
          <w:color w:val="232D5A"/>
          <w:sz w:val="24"/>
          <w:szCs w:val="24"/>
        </w:rPr>
        <w:t xml:space="preserve">9.1  TODAY (June 29, 2026)</w:t>
      </w:r>
    </w:p>
    <w:p>
      <w:pPr>
        <w:spacing w:after="40" w:before="80"/>
        <w:jc w:val="left"/>
      </w:pPr>
      <w:r>
        <w:rPr>
          <w:rFonts w:ascii="Arial" w:cs="Arial" w:eastAsia="Arial" w:hAnsi="Arial"/>
          <w:b w:val="false"/>
          <w:bCs w:val="false"/>
          <w:i w:val="false"/>
          <w:iCs w:val="false"/>
          <w:color w:val="000000"/>
          <w:sz w:val="20"/>
          <w:szCs w:val="20"/>
        </w:rPr>
        <w:t xml:space="preserve">• Email reply to Grace Waring acknowledging NOIA receipt and confirming Khaalis as POC (draft in Appendix A).</w:t>
      </w:r>
    </w:p>
    <w:p>
      <w:pPr>
        <w:spacing w:after="40" w:before="80"/>
        <w:jc w:val="left"/>
      </w:pPr>
      <w:r>
        <w:rPr>
          <w:rFonts w:ascii="Arial" w:cs="Arial" w:eastAsia="Arial" w:hAnsi="Arial"/>
          <w:b w:val="false"/>
          <w:bCs w:val="false"/>
          <w:i w:val="false"/>
          <w:iCs w:val="false"/>
          <w:color w:val="000000"/>
          <w:sz w:val="20"/>
          <w:szCs w:val="20"/>
        </w:rPr>
        <w:t xml:space="preserve">• Call insurance broker re: $6M cyber tower options (Akil + Khaalis on the call).</w:t>
      </w:r>
    </w:p>
    <w:p>
      <w:pPr>
        <w:spacing w:after="100" w:before="80"/>
        <w:jc w:val="left"/>
      </w:pPr>
      <w:r>
        <w:rPr>
          <w:rFonts w:ascii="Arial" w:cs="Arial" w:eastAsia="Arial" w:hAnsi="Arial"/>
          <w:b w:val="false"/>
          <w:bCs w:val="false"/>
          <w:i w:val="false"/>
          <w:iCs w:val="false"/>
          <w:color w:val="000000"/>
          <w:sz w:val="20"/>
          <w:szCs w:val="20"/>
        </w:rPr>
        <w:t xml:space="preserve">• Brief Akil + Tony Paul. Schedule contract review block for the week.</w:t>
      </w:r>
    </w:p>
    <w:p>
      <w:pPr>
        <w:pStyle w:val="Heading2"/>
        <w:spacing w:after="100" w:before="220"/>
      </w:pPr>
      <w:r>
        <w:rPr>
          <w:rFonts w:ascii="Arial" w:cs="Arial" w:eastAsia="Arial" w:hAnsi="Arial"/>
          <w:b/>
          <w:bCs/>
          <w:color w:val="232D5A"/>
          <w:sz w:val="24"/>
          <w:szCs w:val="24"/>
        </w:rPr>
        <w:t xml:space="preserve">9.2  WITHIN 72 HOURS</w:t>
      </w:r>
    </w:p>
    <w:p>
      <w:pPr>
        <w:spacing w:after="40" w:before="80"/>
        <w:jc w:val="left"/>
      </w:pPr>
      <w:r>
        <w:rPr>
          <w:rFonts w:ascii="Arial" w:cs="Arial" w:eastAsia="Arial" w:hAnsi="Arial"/>
          <w:b w:val="false"/>
          <w:bCs w:val="false"/>
          <w:i w:val="false"/>
          <w:iCs w:val="false"/>
          <w:color w:val="000000"/>
          <w:sz w:val="20"/>
          <w:szCs w:val="20"/>
        </w:rPr>
        <w:t xml:space="preserve">• Insurance gap analysis: current limits vs. required, options costed (primary endorsement | excess layer | project-specific tower).</w:t>
      </w:r>
    </w:p>
    <w:p>
      <w:pPr>
        <w:spacing w:after="40" w:before="80"/>
        <w:jc w:val="left"/>
      </w:pPr>
      <w:r>
        <w:rPr>
          <w:rFonts w:ascii="Arial" w:cs="Arial" w:eastAsia="Arial" w:hAnsi="Arial"/>
          <w:b w:val="false"/>
          <w:bCs w:val="false"/>
          <w:i w:val="false"/>
          <w:iCs w:val="false"/>
          <w:color w:val="000000"/>
          <w:sz w:val="20"/>
          <w:szCs w:val="20"/>
        </w:rPr>
        <w:t xml:space="preserve">• Contract base + Exhibits A/B/C read-through with legal counsel; redline draft if needed.</w:t>
      </w:r>
    </w:p>
    <w:p>
      <w:pPr>
        <w:spacing w:after="40" w:before="80"/>
        <w:jc w:val="left"/>
      </w:pPr>
      <w:r>
        <w:rPr>
          <w:rFonts w:ascii="Arial" w:cs="Arial" w:eastAsia="Arial" w:hAnsi="Arial"/>
          <w:b w:val="false"/>
          <w:bCs w:val="false"/>
          <w:i w:val="false"/>
          <w:iCs w:val="false"/>
          <w:color w:val="000000"/>
          <w:sz w:val="20"/>
          <w:szCs w:val="20"/>
        </w:rPr>
        <w:t xml:space="preserve">• eMACS upgrade registration completed; if invite not received, contact emacs@mt.gov.</w:t>
      </w:r>
    </w:p>
    <w:p>
      <w:pPr>
        <w:spacing w:after="100" w:before="80"/>
        <w:jc w:val="left"/>
      </w:pPr>
      <w:r>
        <w:rPr>
          <w:rFonts w:ascii="Arial" w:cs="Arial" w:eastAsia="Arial" w:hAnsi="Arial"/>
          <w:b w:val="false"/>
          <w:bCs w:val="false"/>
          <w:i w:val="false"/>
          <w:iCs w:val="false"/>
          <w:color w:val="000000"/>
          <w:sz w:val="20"/>
          <w:szCs w:val="20"/>
        </w:rPr>
        <w:t xml:space="preserve">• Identify the 5-8 MT ordering agencies most likely to issue near-term TOs (per §7.2); begin building agency intelligence files.</w:t>
      </w:r>
    </w:p>
    <w:p>
      <w:pPr>
        <w:pStyle w:val="Heading2"/>
        <w:spacing w:after="100" w:before="220"/>
      </w:pPr>
      <w:r>
        <w:rPr>
          <w:rFonts w:ascii="Arial" w:cs="Arial" w:eastAsia="Arial" w:hAnsi="Arial"/>
          <w:b/>
          <w:bCs/>
          <w:color w:val="232D5A"/>
          <w:sz w:val="24"/>
          <w:szCs w:val="24"/>
        </w:rPr>
        <w:t xml:space="preserve">9.3  WEEK 1 (by July 6, 2026)</w:t>
      </w:r>
    </w:p>
    <w:p>
      <w:pPr>
        <w:spacing w:after="40" w:before="80"/>
        <w:jc w:val="left"/>
      </w:pPr>
      <w:r>
        <w:rPr>
          <w:rFonts w:ascii="Arial" w:cs="Arial" w:eastAsia="Arial" w:hAnsi="Arial"/>
          <w:b w:val="false"/>
          <w:bCs w:val="false"/>
          <w:i w:val="false"/>
          <w:iCs w:val="false"/>
          <w:color w:val="000000"/>
          <w:sz w:val="20"/>
          <w:szCs w:val="20"/>
        </w:rPr>
        <w:t xml:space="preserve">• All three insurance certificates issued, additional-insured endorsements obtained, emailed to grace.waring@mt.gov.</w:t>
      </w:r>
    </w:p>
    <w:p>
      <w:pPr>
        <w:spacing w:after="40" w:before="80"/>
        <w:jc w:val="left"/>
      </w:pPr>
      <w:r>
        <w:rPr>
          <w:rFonts w:ascii="Arial" w:cs="Arial" w:eastAsia="Arial" w:hAnsi="Arial"/>
          <w:b w:val="false"/>
          <w:bCs w:val="false"/>
          <w:i w:val="false"/>
          <w:iCs w:val="false"/>
          <w:color w:val="000000"/>
          <w:sz w:val="20"/>
          <w:szCs w:val="20"/>
        </w:rPr>
        <w:t xml:space="preserve">• Contract redlines drafted (if any) and ready for DocuSign cycle.</w:t>
      </w:r>
    </w:p>
    <w:p>
      <w:pPr>
        <w:spacing w:after="40" w:before="80"/>
        <w:jc w:val="left"/>
      </w:pPr>
      <w:r>
        <w:rPr>
          <w:rFonts w:ascii="Arial" w:cs="Arial" w:eastAsia="Arial" w:hAnsi="Arial"/>
          <w:b w:val="false"/>
          <w:bCs w:val="false"/>
          <w:i w:val="false"/>
          <w:iCs w:val="false"/>
          <w:color w:val="000000"/>
          <w:sz w:val="20"/>
          <w:szCs w:val="20"/>
        </w:rPr>
        <w:t xml:space="preserve">• MT eMACS posting alerts subscribed for Master AI vehicle task orders.</w:t>
      </w:r>
    </w:p>
    <w:p>
      <w:pPr>
        <w:spacing w:after="100" w:before="80"/>
        <w:jc w:val="left"/>
      </w:pPr>
      <w:r>
        <w:rPr>
          <w:rFonts w:ascii="Arial" w:cs="Arial" w:eastAsia="Arial" w:hAnsi="Arial"/>
          <w:b w:val="false"/>
          <w:bCs w:val="false"/>
          <w:i w:val="false"/>
          <w:iCs w:val="false"/>
          <w:color w:val="000000"/>
          <w:sz w:val="20"/>
          <w:szCs w:val="20"/>
        </w:rPr>
        <w:t xml:space="preserve">• US-only delivery posture documented (Exhibit C §1e compliance).</w:t>
      </w:r>
    </w:p>
    <w:p>
      <w:pPr>
        <w:pStyle w:val="Heading2"/>
        <w:spacing w:after="100" w:before="220"/>
      </w:pPr>
      <w:r>
        <w:rPr>
          <w:rFonts w:ascii="Arial" w:cs="Arial" w:eastAsia="Arial" w:hAnsi="Arial"/>
          <w:b/>
          <w:bCs/>
          <w:color w:val="232D5A"/>
          <w:sz w:val="24"/>
          <w:szCs w:val="24"/>
        </w:rPr>
        <w:t xml:space="preserve">9.4  WEEKS 2 – 4 (by July 27, 2026)</w:t>
      </w:r>
    </w:p>
    <w:p>
      <w:pPr>
        <w:spacing w:after="40" w:before="80"/>
        <w:jc w:val="left"/>
      </w:pPr>
      <w:r>
        <w:rPr>
          <w:rFonts w:ascii="Arial" w:cs="Arial" w:eastAsia="Arial" w:hAnsi="Arial"/>
          <w:b w:val="false"/>
          <w:bCs w:val="false"/>
          <w:i w:val="false"/>
          <w:iCs w:val="false"/>
          <w:color w:val="000000"/>
          <w:sz w:val="20"/>
          <w:szCs w:val="20"/>
        </w:rPr>
        <w:t xml:space="preserve">• AI vendor stack audit complete; approved AI stack for MT TOs documented (Exhibit C §15 compliance).</w:t>
      </w:r>
    </w:p>
    <w:p>
      <w:pPr>
        <w:spacing w:after="40" w:before="80"/>
        <w:jc w:val="left"/>
      </w:pPr>
      <w:r>
        <w:rPr>
          <w:rFonts w:ascii="Arial" w:cs="Arial" w:eastAsia="Arial" w:hAnsi="Arial"/>
          <w:b w:val="false"/>
          <w:bCs w:val="false"/>
          <w:i w:val="false"/>
          <w:iCs w:val="false"/>
          <w:color w:val="000000"/>
          <w:sz w:val="20"/>
          <w:szCs w:val="20"/>
        </w:rPr>
        <w:t xml:space="preserve">• Resume rebuild for the 5 key personnel.</w:t>
      </w:r>
    </w:p>
    <w:p>
      <w:pPr>
        <w:spacing w:after="40" w:before="80"/>
        <w:jc w:val="left"/>
      </w:pPr>
      <w:r>
        <w:rPr>
          <w:rFonts w:ascii="Arial" w:cs="Arial" w:eastAsia="Arial" w:hAnsi="Arial"/>
          <w:b w:val="false"/>
          <w:bCs w:val="false"/>
          <w:i w:val="false"/>
          <w:iCs w:val="false"/>
          <w:color w:val="000000"/>
          <w:sz w:val="20"/>
          <w:szCs w:val="20"/>
        </w:rPr>
        <w:t xml:space="preserve">• Architecture diagram redesign kicked off.</w:t>
      </w:r>
    </w:p>
    <w:p>
      <w:pPr>
        <w:spacing w:after="40" w:before="80"/>
        <w:jc w:val="left"/>
      </w:pPr>
      <w:r>
        <w:rPr>
          <w:rFonts w:ascii="Arial" w:cs="Arial" w:eastAsia="Arial" w:hAnsi="Arial"/>
          <w:b w:val="false"/>
          <w:bCs w:val="false"/>
          <w:i w:val="false"/>
          <w:iCs w:val="false"/>
          <w:color w:val="000000"/>
          <w:sz w:val="20"/>
          <w:szCs w:val="20"/>
        </w:rPr>
        <w:t xml:space="preserve">• SOC 2 Type II readiness engagement scoped with TES Consultants.</w:t>
      </w:r>
    </w:p>
    <w:p>
      <w:pPr>
        <w:spacing w:after="40" w:before="80"/>
        <w:jc w:val="left"/>
      </w:pPr>
      <w:r>
        <w:rPr>
          <w:rFonts w:ascii="Arial" w:cs="Arial" w:eastAsia="Arial" w:hAnsi="Arial"/>
          <w:b w:val="false"/>
          <w:bCs w:val="false"/>
          <w:i w:val="false"/>
          <w:iCs w:val="false"/>
          <w:color w:val="000000"/>
          <w:sz w:val="20"/>
          <w:szCs w:val="20"/>
        </w:rPr>
        <w:t xml:space="preserve">• TO pricing playbook drafted.</w:t>
      </w:r>
    </w:p>
    <w:p>
      <w:pPr>
        <w:spacing w:after="100" w:before="80"/>
        <w:jc w:val="left"/>
      </w:pPr>
      <w:r>
        <w:rPr>
          <w:rFonts w:ascii="Arial" w:cs="Arial" w:eastAsia="Arial" w:hAnsi="Arial"/>
          <w:b w:val="false"/>
          <w:bCs w:val="false"/>
          <w:i w:val="false"/>
          <w:iCs w:val="false"/>
          <w:color w:val="000000"/>
          <w:sz w:val="20"/>
          <w:szCs w:val="20"/>
        </w:rPr>
        <w:t xml:space="preserve">• /pastperformance update on visionblox.org: add Montana Master AI Products &amp; Services as a fourth pillar (only after contract signed).</w:t>
      </w:r>
    </w:p>
    <w:p>
      <w:pPr>
        <w:pStyle w:val="Heading2"/>
        <w:spacing w:after="100" w:before="220"/>
      </w:pPr>
      <w:r>
        <w:rPr>
          <w:rFonts w:ascii="Arial" w:cs="Arial" w:eastAsia="Arial" w:hAnsi="Arial"/>
          <w:b/>
          <w:bCs/>
          <w:color w:val="232D5A"/>
          <w:sz w:val="24"/>
          <w:szCs w:val="24"/>
        </w:rPr>
        <w:t xml:space="preserve">9.5  GO/NO-GO Gates</w:t>
      </w:r>
    </w:p>
    <w:p>
      <w:pPr>
        <w:spacing w:after="40" w:before="80"/>
        <w:jc w:val="left"/>
      </w:pPr>
      <w:r>
        <w:rPr>
          <w:rFonts w:ascii="Arial" w:cs="Arial" w:eastAsia="Arial" w:hAnsi="Arial"/>
          <w:b w:val="false"/>
          <w:bCs w:val="false"/>
          <w:i w:val="false"/>
          <w:iCs w:val="false"/>
          <w:color w:val="000000"/>
          <w:sz w:val="20"/>
          <w:szCs w:val="20"/>
        </w:rPr>
        <w:t xml:space="preserve">• Gate A (contract signed): Trigger LinkedIn announcement, press release, partner notifications, Anthropic Partner Network update.</w:t>
      </w:r>
    </w:p>
    <w:p>
      <w:pPr>
        <w:spacing w:after="40" w:before="80"/>
        <w:jc w:val="left"/>
      </w:pPr>
      <w:r>
        <w:rPr>
          <w:rFonts w:ascii="Arial" w:cs="Arial" w:eastAsia="Arial" w:hAnsi="Arial"/>
          <w:b w:val="false"/>
          <w:bCs w:val="false"/>
          <w:i w:val="false"/>
          <w:iCs w:val="false"/>
          <w:color w:val="000000"/>
          <w:sz w:val="20"/>
          <w:szCs w:val="20"/>
        </w:rPr>
        <w:t xml:space="preserve">• Gate B (first TO posted): Activate TO capture playbook, deploy three-play strategy from §7.3.</w:t>
      </w:r>
    </w:p>
    <w:p>
      <w:pPr>
        <w:spacing w:after="100" w:before="80"/>
        <w:jc w:val="left"/>
      </w:pPr>
      <w:r>
        <w:rPr>
          <w:rFonts w:ascii="Arial" w:cs="Arial" w:eastAsia="Arial" w:hAnsi="Arial"/>
          <w:b w:val="false"/>
          <w:bCs w:val="false"/>
          <w:i w:val="false"/>
          <w:iCs w:val="false"/>
          <w:color w:val="000000"/>
          <w:sz w:val="20"/>
          <w:szCs w:val="20"/>
        </w:rPr>
        <w:t xml:space="preserve">• Gate C (first TO won): Onboard delivery team, baseline performance metrics, capture lessons-learned for the second TO bid.</w:t>
      </w:r>
    </w:p>
    <w:p>
      <w:r>
        <w:br w:type="page"/>
      </w:r>
    </w:p>
    <w:p>
      <w:pPr>
        <w:pStyle w:val="Heading1"/>
        <w:pBdr>
          <w:bottom w:val="single" w:color="2EA891" w:sz="12" w:space="6"/>
        </w:pBdr>
        <w:spacing w:after="160" w:before="360"/>
      </w:pPr>
      <w:r>
        <w:rPr>
          <w:rFonts w:ascii="Arial" w:cs="Arial" w:eastAsia="Arial" w:hAnsi="Arial"/>
          <w:b/>
          <w:bCs/>
          <w:color w:val="232D5A"/>
          <w:sz w:val="30"/>
          <w:szCs w:val="30"/>
        </w:rPr>
        <w:t xml:space="preserve">Appendix A — Draft Reply to Grace Waring</w:t>
      </w:r>
    </w:p>
    <w:p>
      <w:pPr>
        <w:spacing w:after="160" w:before="80"/>
        <w:jc w:val="left"/>
      </w:pPr>
      <w:r>
        <w:rPr>
          <w:rFonts w:ascii="Arial" w:cs="Arial" w:eastAsia="Arial" w:hAnsi="Arial"/>
          <w:b w:val="false"/>
          <w:bCs w:val="false"/>
          <w:i/>
          <w:iCs/>
          <w:color w:val="595959"/>
          <w:sz w:val="20"/>
          <w:szCs w:val="20"/>
        </w:rPr>
        <w:t xml:space="preserve">Send today. Plain-text email. Copy/paste below into the reply to the NOIA email.</w:t>
      </w:r>
    </w:p>
    <w:p>
      <w:pPr>
        <w:spacing w:after="80" w:before="80"/>
        <w:jc w:val="left"/>
      </w:pPr>
      <w:r>
        <w:rPr>
          <w:rFonts w:ascii="Arial" w:cs="Arial" w:eastAsia="Arial" w:hAnsi="Arial"/>
          <w:b/>
          <w:bCs/>
          <w:i w:val="false"/>
          <w:iCs w:val="false"/>
          <w:color w:val="000000"/>
          <w:sz w:val="20"/>
          <w:szCs w:val="20"/>
        </w:rPr>
        <w:t xml:space="preserve">To: </w:t>
      </w:r>
      <w:r>
        <w:rPr>
          <w:rFonts w:ascii="Arial" w:cs="Arial" w:eastAsia="Arial" w:hAnsi="Arial"/>
          <w:b w:val="false"/>
          <w:bCs w:val="false"/>
          <w:i w:val="false"/>
          <w:iCs w:val="false"/>
          <w:color w:val="000000"/>
          <w:sz w:val="20"/>
          <w:szCs w:val="20"/>
        </w:rPr>
        <w:t xml:space="preserve">grace.waring@mt.gov</w:t>
      </w:r>
    </w:p>
    <w:p>
      <w:pPr>
        <w:spacing w:after="80" w:before="80"/>
        <w:jc w:val="left"/>
      </w:pPr>
      <w:r>
        <w:rPr>
          <w:rFonts w:ascii="Arial" w:cs="Arial" w:eastAsia="Arial" w:hAnsi="Arial"/>
          <w:b/>
          <w:bCs/>
          <w:i w:val="false"/>
          <w:iCs w:val="false"/>
          <w:color w:val="000000"/>
          <w:sz w:val="20"/>
          <w:szCs w:val="20"/>
        </w:rPr>
        <w:t xml:space="preserve">Subject: </w:t>
      </w:r>
      <w:r>
        <w:rPr>
          <w:rFonts w:ascii="Arial" w:cs="Arial" w:eastAsia="Arial" w:hAnsi="Arial"/>
          <w:b w:val="false"/>
          <w:bCs w:val="false"/>
          <w:i w:val="false"/>
          <w:iCs w:val="false"/>
          <w:color w:val="000000"/>
          <w:sz w:val="20"/>
          <w:szCs w:val="20"/>
        </w:rPr>
        <w:t xml:space="preserve">RE: Award Notice — SPB-RFP-2026-0608GW — Master AI Products and Services</w:t>
      </w:r>
    </w:p>
    <w:p>
      <w:pPr>
        <w:spacing w:after="80" w:before="80"/>
        <w:jc w:val="left"/>
      </w:pPr>
      <w:r>
        <w:rPr>
          <w:rFonts w:ascii="Arial" w:cs="Arial" w:eastAsia="Arial" w:hAnsi="Arial"/>
          <w:b w:val="false"/>
          <w:bCs w:val="false"/>
          <w:i w:val="false"/>
          <w:iCs w:val="false"/>
          <w:color w:val="000000"/>
          <w:sz w:val="20"/>
          <w:szCs w:val="20"/>
        </w:rPr>
        <w:t xml:space="preserve"/>
      </w:r>
    </w:p>
    <w:p>
      <w:pPr>
        <w:spacing w:after="80" w:before="80"/>
        <w:jc w:val="left"/>
      </w:pPr>
      <w:r>
        <w:rPr>
          <w:rFonts w:ascii="Arial" w:cs="Arial" w:eastAsia="Arial" w:hAnsi="Arial"/>
          <w:b w:val="false"/>
          <w:bCs w:val="false"/>
          <w:i w:val="false"/>
          <w:iCs w:val="false"/>
          <w:color w:val="000000"/>
          <w:sz w:val="20"/>
          <w:szCs w:val="20"/>
        </w:rPr>
        <w:t xml:space="preserve">Grace,</w:t>
      </w:r>
    </w:p>
    <w:p>
      <w:pPr>
        <w:spacing w:after="80" w:before="80"/>
        <w:jc w:val="left"/>
      </w:pPr>
      <w:r>
        <w:rPr>
          <w:rFonts w:ascii="Arial" w:cs="Arial" w:eastAsia="Arial" w:hAnsi="Arial"/>
          <w:b w:val="false"/>
          <w:bCs w:val="false"/>
          <w:i w:val="false"/>
          <w:iCs w:val="false"/>
          <w:color w:val="000000"/>
          <w:sz w:val="20"/>
          <w:szCs w:val="20"/>
        </w:rPr>
        <w:t xml:space="preserve">Thank you for the Notice of Intent to Award on SPB-RFP-2026-0608GW. Visionblox LLC is pleased to be selected on both Track 1 and Track 2.</w:t>
      </w:r>
    </w:p>
    <w:p>
      <w:pPr>
        <w:spacing w:after="80" w:before="80"/>
        <w:jc w:val="left"/>
      </w:pPr>
      <w:r>
        <w:rPr>
          <w:rFonts w:ascii="Arial" w:cs="Arial" w:eastAsia="Arial" w:hAnsi="Arial"/>
          <w:b w:val="false"/>
          <w:bCs w:val="false"/>
          <w:i w:val="false"/>
          <w:iCs w:val="false"/>
          <w:color w:val="000000"/>
          <w:sz w:val="20"/>
          <w:szCs w:val="20"/>
        </w:rPr>
        <w:t xml:space="preserve">I am the contracts point of contact for this award. We are working insurance certificates (Workers' Compensation, $2,000,000 General Liability, and $6,000,000 Cyber/Information Security) against the ten-business-day requirement, with the State of Montana named as Additional Insured on the GL and Cyber policies. Certificates will be sent to your attention before the deadline.</w:t>
      </w:r>
    </w:p>
    <w:p>
      <w:pPr>
        <w:spacing w:after="80" w:before="80"/>
        <w:jc w:val="left"/>
      </w:pPr>
      <w:r>
        <w:rPr>
          <w:rFonts w:ascii="Arial" w:cs="Arial" w:eastAsia="Arial" w:hAnsi="Arial"/>
          <w:b w:val="false"/>
          <w:bCs w:val="false"/>
          <w:i w:val="false"/>
          <w:iCs w:val="false"/>
          <w:color w:val="000000"/>
          <w:sz w:val="20"/>
          <w:szCs w:val="20"/>
        </w:rPr>
        <w:t xml:space="preserve">We are also standing by for the awarded-vendor registration invitation in eMACS.</w:t>
      </w:r>
    </w:p>
    <w:p>
      <w:pPr>
        <w:spacing w:after="80" w:before="80"/>
        <w:jc w:val="left"/>
      </w:pPr>
      <w:r>
        <w:rPr>
          <w:rFonts w:ascii="Arial" w:cs="Arial" w:eastAsia="Arial" w:hAnsi="Arial"/>
          <w:b w:val="false"/>
          <w:bCs w:val="false"/>
          <w:i w:val="false"/>
          <w:iCs w:val="false"/>
          <w:color w:val="000000"/>
          <w:sz w:val="20"/>
          <w:szCs w:val="20"/>
        </w:rPr>
        <w:t xml:space="preserve">Please let me know if any clarifications or additional materials are needed in the interim.</w:t>
      </w:r>
    </w:p>
    <w:p>
      <w:pPr>
        <w:spacing w:after="80" w:before="80"/>
        <w:jc w:val="left"/>
      </w:pPr>
      <w:r>
        <w:rPr>
          <w:rFonts w:ascii="Arial" w:cs="Arial" w:eastAsia="Arial" w:hAnsi="Arial"/>
          <w:b w:val="false"/>
          <w:bCs w:val="false"/>
          <w:i w:val="false"/>
          <w:iCs w:val="false"/>
          <w:color w:val="000000"/>
          <w:sz w:val="20"/>
          <w:szCs w:val="20"/>
        </w:rPr>
        <w:t xml:space="preserve">Best regards,</w:t>
      </w:r>
    </w:p>
    <w:p>
      <w:pPr>
        <w:spacing w:after="30" w:before="80"/>
        <w:jc w:val="left"/>
      </w:pPr>
      <w:r>
        <w:rPr>
          <w:rFonts w:ascii="Arial" w:cs="Arial" w:eastAsia="Arial" w:hAnsi="Arial"/>
          <w:b/>
          <w:bCs/>
          <w:i w:val="false"/>
          <w:iCs w:val="false"/>
          <w:color w:val="000000"/>
          <w:sz w:val="20"/>
          <w:szCs w:val="20"/>
        </w:rPr>
        <w:t xml:space="preserve">Khaalis Wooden, MBA</w:t>
      </w:r>
    </w:p>
    <w:p>
      <w:pPr>
        <w:spacing w:after="30" w:before="80"/>
        <w:jc w:val="left"/>
      </w:pPr>
      <w:r>
        <w:rPr>
          <w:rFonts w:ascii="Arial" w:cs="Arial" w:eastAsia="Arial" w:hAnsi="Arial"/>
          <w:b w:val="false"/>
          <w:bCs w:val="false"/>
          <w:i w:val="false"/>
          <w:iCs w:val="false"/>
          <w:color w:val="000000"/>
          <w:sz w:val="20"/>
          <w:szCs w:val="20"/>
        </w:rPr>
        <w:t xml:space="preserve">Director of Enterprise Capture &amp; Compliance</w:t>
      </w:r>
    </w:p>
    <w:p>
      <w:pPr>
        <w:spacing w:after="30" w:before="80"/>
        <w:jc w:val="left"/>
      </w:pPr>
      <w:r>
        <w:rPr>
          <w:rFonts w:ascii="Arial" w:cs="Arial" w:eastAsia="Arial" w:hAnsi="Arial"/>
          <w:b w:val="false"/>
          <w:bCs w:val="false"/>
          <w:i w:val="false"/>
          <w:iCs w:val="false"/>
          <w:color w:val="000000"/>
          <w:sz w:val="20"/>
          <w:szCs w:val="20"/>
        </w:rPr>
        <w:t xml:space="preserve">Visionblox LLC</w:t>
      </w:r>
    </w:p>
    <w:p>
      <w:pPr>
        <w:spacing w:after="30" w:before="80"/>
        <w:jc w:val="left"/>
      </w:pPr>
      <w:r>
        <w:rPr>
          <w:rFonts w:ascii="Arial" w:cs="Arial" w:eastAsia="Arial" w:hAnsi="Arial"/>
          <w:b w:val="false"/>
          <w:bCs w:val="false"/>
          <w:i w:val="false"/>
          <w:iCs w:val="false"/>
          <w:color w:val="000000"/>
          <w:sz w:val="20"/>
          <w:szCs w:val="20"/>
        </w:rPr>
        <w:t xml:space="preserve">khaalis.wooden@visionblox.com  |  (256) 988-1130</w:t>
      </w:r>
    </w:p>
    <w:p>
      <w:pPr>
        <w:spacing w:after="30" w:before="80"/>
        <w:jc w:val="left"/>
      </w:pPr>
      <w:r>
        <w:rPr>
          <w:rFonts w:ascii="Arial" w:cs="Arial" w:eastAsia="Arial" w:hAnsi="Arial"/>
          <w:b w:val="false"/>
          <w:bCs w:val="false"/>
          <w:i w:val="false"/>
          <w:iCs w:val="false"/>
          <w:color w:val="000000"/>
          <w:sz w:val="20"/>
          <w:szCs w:val="20"/>
        </w:rPr>
        <w:t>CAGE: 9Z4X2  |  UEI: H4X2Z7R9E3E3</w:t>
      </w:r>
    </w:p>
    <w:p>
      <w:pPr>
        <w:spacing w:after="200" w:before="80"/>
        <w:jc w:val="left"/>
      </w:pPr>
      <w:r>
        <w:rPr>
          <w:rFonts w:ascii="Arial" w:cs="Arial" w:eastAsia="Arial" w:hAnsi="Arial"/>
          <w:b w:val="false"/>
          <w:bCs w:val="false"/>
          <w:i w:val="false"/>
          <w:iCs w:val="false"/>
          <w:color w:val="000000"/>
          <w:sz w:val="20"/>
          <w:szCs w:val="20"/>
        </w:rPr>
        <w:t xml:space="preserve">visionblox.org</w:t>
      </w:r>
    </w:p>
    <w:p>
      <w:pPr>
        <w:spacing w:after="80" w:before="80"/>
        <w:jc w:val="center"/>
      </w:pPr>
      <w:r>
        <w:rPr>
          <w:rFonts w:ascii="Arial" w:cs="Arial" w:eastAsia="Arial" w:hAnsi="Arial"/>
          <w:b w:val="false"/>
          <w:bCs w:val="false"/>
          <w:i/>
          <w:iCs/>
          <w:color w:val="595959"/>
          <w:sz w:val="20"/>
          <w:szCs w:val="20"/>
        </w:rPr>
        <w:t xml:space="preserve">— End of Brief —</w:t>
      </w:r>
    </w:p>
    <w:sectPr>
      <w:headerReference w:type="default" r:id="rId7"/>
      <w:footerReference w:type="default" r:id="rId8"/>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32D5A" w:sz="8" w:space="4"/>
        <w:top w:val="single" w:sz="8" w:space="4" w:color="F7B801"/>
      </w:pBdr>
      <w:jc w:val="center"/>
    </w:pPr>
    <w:r>
      <w:rPr>
        <w:rFonts w:ascii="Arial" w:cs="Arial" w:eastAsia="Arial" w:hAnsi="Arial"/>
        <w:color w:val="8892A4"/>
        <w:sz w:val="16"/>
        <w:szCs w:val="16"/>
      </w:rPr>
      <w:t xml:space="preserve">CAGE 9Z4X2  |  UEI H4X2Z7R9E3E3  |  </w:t>
    </w:r>
    <w:r>
      <w:rPr>
        <w:rFonts w:ascii="Arial" w:cs="Arial" w:eastAsia="Arial" w:hAnsi="Arial"/>
        <w:color w:val="8892A4"/>
        <w:sz w:val="16"/>
        <w:szCs w:val="16"/>
      </w:rPr>
      <w:t xml:space="preserve">CONFIDENTIAL — INTERNAL BD USE  |  Page </w:t>
    </w:r>
    <w:r>
      <w:rPr>
        <w:rFonts w:ascii="Arial" w:cs="Arial" w:eastAsia="Arial" w:hAnsi="Arial"/>
        <w:color w:val="8892A4"/>
        <w:sz w:val="16"/>
        <w:szCs w:val="16"/>
      </w:rPr>
      <w:fldChar w:fldCharType="begin"/>
      <w:instrText xml:space="preserve">PAGE</w:instrText>
      <w:fldChar w:fldCharType="separate"/>
      <w:fldChar w:fldCharType="end"/>
    </w:r>
    <w:r>
      <w:rPr>
        <w:rFonts w:ascii="Arial" w:cs="Arial" w:eastAsia="Arial" w:hAnsi="Arial"/>
        <w:color w:val="8892A4"/>
        <w:sz w:val="16"/>
        <w:szCs w:val="16"/>
      </w:rPr>
      <w:t xml:space="preserve"> of </w:t>
    </w:r>
    <w:r>
      <w:rPr>
        <w:rFonts w:ascii="Arial" w:cs="Arial" w:eastAsia="Arial" w:hAnsi="Arial"/>
        <w:color w:val="8892A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4680"/>
      <w:gridCol w:w="4680"/>
    </w:tblGrid>
    <w:tr>
      <w:tc>
        <w:tcPr>
          <w:tcW w:type="dxa" w:w="3600"/>
          <w:vAlign w:val="center"/>
          <w:tcMar>
            <w:top w:w="0" w:type="dxa"/>
            <w:bottom w:w="0" w:type="dxa"/>
            <w:left w:w="0" w:type="dxa"/>
            <w:right w:w="0" w:type="dxa"/>
          </w:tcMar>
        </w:tcPr>
        <w:p>
          <w:pPr>
            <w:spacing w:after="0" w:before="0"/>
            <w:jc w:val="left"/>
          </w:pPr>
          <w:r>
            <w:drawing>
              <wp:inline xmlns:a="http://schemas.openxmlformats.org/drawingml/2006/main" xmlns:pic="http://schemas.openxmlformats.org/drawingml/2006/picture">
                <wp:extent cx="1554480" cy="654681"/>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554480" cy="654681"/>
                        </a:xfrm>
                        <a:prstGeom prst="rect"/>
                      </pic:spPr>
                    </pic:pic>
                  </a:graphicData>
                </a:graphic>
              </wp:inline>
            </w:drawing>
          </w:r>
        </w:p>
      </w:tc>
      <w:tc>
        <w:tcPr>
          <w:tcW w:type="dxa" w:w="5760"/>
          <w:vAlign w:val="bottom"/>
          <w:tcMar>
            <w:top w:w="0" w:type="dxa"/>
            <w:bottom w:w="0" w:type="dxa"/>
            <w:left w:w="0" w:type="dxa"/>
            <w:right w:w="0" w:type="dxa"/>
          </w:tcMar>
        </w:tcPr>
        <w:p>
          <w:pPr>
            <w:spacing w:after="20" w:before="0"/>
            <w:jc w:val="right"/>
          </w:pPr>
          <w:r>
            <w:rPr>
              <w:rFonts w:ascii="Arial" w:hAnsi="Arial"/>
              <w:b/>
              <w:color w:val="232D5A"/>
              <w:sz w:val="16"/>
            </w:rPr>
            <w:t>Award Capture Brief  —  Montana Master AI</w:t>
          </w:r>
        </w:p>
        <w:p>
          <w:pPr>
            <w:spacing w:before="0" w:after="0"/>
            <w:jc w:val="right"/>
          </w:pPr>
          <w:r>
            <w:rPr>
              <w:rFonts w:ascii="Arial" w:hAnsi="Arial"/>
              <w:b/>
              <w:color w:val="2EA891"/>
              <w:sz w:val="13"/>
            </w:rPr>
            <w:t>B U I L D   W H A T   D O E S N ' T   E X I S T   Y E T</w:t>
          </w:r>
        </w:p>
      </w:tc>
    </w:tr>
  </w:tbl>
  <w:p>
    <w:pPr>
      <w:spacing w:before="40" w:after="0"/>
      <w:pBdr>
        <w:bottom w:val="single" w:sz="12" w:space="1" w:color="2EA89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32D5A"/>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32D5A"/>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VBX Award Capture Brief — Montana Master AI Products &amp; Services</dc:title>
  <dc:creator>Visionblox LLC</dc:creator>
  <dc:description>Capture brief for Montana SPB-RFP-2026-0608GW NOIA dated 6/30/2026</dc:description>
  <cp:lastModifiedBy>Un-named</cp:lastModifiedBy>
  <cp:revision>1</cp:revision>
  <dcterms:created xsi:type="dcterms:W3CDTF">2026-06-29T19:25:23.694Z</dcterms:created>
  <dcterms:modified xsi:type="dcterms:W3CDTF">2026-06-29T19:25:23.706Z</dcterms:modified>
</cp:coreProperties>
</file>

<file path=docProps/custom.xml><?xml version="1.0" encoding="utf-8"?>
<Properties xmlns="http://schemas.openxmlformats.org/officeDocument/2006/custom-properties" xmlns:vt="http://schemas.openxmlformats.org/officeDocument/2006/docPropsVTypes"/>
</file>