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400"/>
        <w:gridCol w:w="5400"/>
      </w:tblGrid>
      <w:tr>
        <w:tc>
          <w:tcPr>
            <w:tcW w:w="6552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60"/>
            </w:pPr>
            <w:r>
              <w:drawing>
                <wp:inline xmlns:a="http://schemas.openxmlformats.org/drawingml/2006/main" xmlns:pic="http://schemas.openxmlformats.org/drawingml/2006/picture">
                  <wp:extent cx="2240280" cy="9435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sionblox-logo-knocko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943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b/>
                <w:i w:val="0"/>
                <w:color w:val="7FD4C1"/>
                <w:sz w:val="13"/>
                <w:caps w:val="1"/>
                <w:spacing w:val="60"/>
              </w:rPr>
              <w:t>BUILD WHAT DOESN'T EXIST YET</w:t>
            </w:r>
          </w:p>
        </w:tc>
        <w:tc>
          <w:tcPr>
            <w:tcW w:w="4248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2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21"/>
                <w:spacing w:val="20"/>
              </w:rPr>
              <w:t>AI-POWERED FEDERAL SOLUTIONS</w:t>
            </w:r>
          </w:p>
          <w:p>
            <w:pPr>
              <w:spacing w:before="0" w:after="100"/>
              <w:jc w:val="right"/>
            </w:pPr>
            <w:r>
              <w:rPr>
                <w:rFonts w:ascii="Arial" w:hAnsi="Arial" w:cs="Arial"/>
                <w:b w:val="0"/>
                <w:i w:val="0"/>
                <w:color w:val="7FD4C1"/>
                <w:sz w:val="17"/>
              </w:rPr>
              <w:t>Healthcare IT   •   Cloud   •   AI/ML</w:t>
            </w:r>
          </w:p>
          <w:p>
            <w:pPr>
              <w:spacing w:before="0" w:after="0"/>
              <w:jc w:val="right"/>
              <w:pBdr>
                <w:top w:val="single" w:sz="6" w:space="3" w:color="F7B801"/>
              </w:pBdr>
            </w:pP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 xml:space="preserve">CAGE 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>9Z4X2</w:t>
            </w: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 xml:space="preserve">     UEI 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>H4X2Z7R9E3E3</w:t>
            </w:r>
          </w:p>
        </w:tc>
      </w:tr>
    </w:tbl>
    <w:p>
      <w:pPr>
        <w:spacing w:before="0" w:after="40"/>
        <w:pBdr>
          <w:bottom w:val="single" w:sz="18" w:space="0" w:color="F7B801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800"/>
      </w:tblGrid>
      <w:tr>
        <w:tc>
          <w:tcPr>
            <w:tcW w:w="10800" w:type="dxa"/>
            <w:shd w:val="clear" w:color="auto" w:fill="E7F5F1"/>
            <w:tcMar>
              <w:top w:w="120" w:type="dxa"/>
              <w:left w:w="160" w:type="dxa"/>
              <w:bottom w:w="120" w:type="dxa"/>
              <w:right w:w="160" w:type="dxa"/>
            </w:tcMar>
            <w:tcBorders>
              <w:top w:val="nil"/>
              <w:left w:val="single" w:sz="30" w:space="0" w:color="2EA891"/>
              <w:bottom w:val="nil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 xml:space="preserve">Visionblox LLC 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is a San Jose, CA-based minority-owned small business systems integrator delivering healthcare IT, AI/ML, cloud, and enterprise modernization services to Federal and SLED clients. Our team brings </w:t>
            </w:r>
            <w:r>
              <w:rPr>
                <w:rFonts w:ascii="Arial" w:hAnsi="Arial" w:cs="Arial"/>
                <w:b/>
                <w:i w:val="0"/>
                <w:color w:val="2EA891"/>
                <w:sz w:val="18"/>
              </w:rPr>
              <w:t>100+ years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 of combined experience and </w:t>
            </w:r>
            <w:r>
              <w:rPr>
                <w:rFonts w:ascii="Arial" w:hAnsi="Arial" w:cs="Arial"/>
                <w:b/>
                <w:i w:val="0"/>
                <w:color w:val="2EA891"/>
                <w:sz w:val="18"/>
              </w:rPr>
              <w:t>50+ implementations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 across integrated health systems, state Medicaid agencies, and national insurers — with quantified, production-scale outcomes on every engagement.</w:t>
            </w:r>
          </w:p>
        </w:tc>
      </w:tr>
    </w:tbl>
    <w:p>
      <w:pPr>
        <w:spacing w:before="18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Core Competencies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Spacing w:w="60" w:type="dxa"/>
      </w:tblPr>
      <w:tblGrid>
        <w:gridCol w:w="3600"/>
        <w:gridCol w:w="3600"/>
        <w:gridCol w:w="3600"/>
      </w:tblGrid>
      <w:tr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Healthcare IT &amp; Interoperability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EHR/EMR integration (Epic), HL7 v2/FHIR APIs, 21st Century Cures Act compliance, patient portals, telehealth, Medicaid modernization (MITA-compliant).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AI/ML &amp; Document Intelligence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Intelligent document processing, OCR/NLP pipelines at 96% accuracy, predictive analytics, AI-assisted workflow automation delivering 60% labor reduction.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Cloud &amp; Custom Development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Cloud-native development on AWS (Batch, Lambda, EMR), microservices, serverless ETL, PHI-secure architectures, DevSecOps, legacy modernization.</w:t>
            </w:r>
          </w:p>
        </w:tc>
      </w:tr>
      <w:tr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Enterprise SAP S/4HANA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ERP modernization and migration, S/4HANA implementation and integration for large-scale enterprise operations, $2M+ annual savings delivered.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Cybersecurity &amp; Compliance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HIPAA/PHI security engineering, HITRUST-aligned controls, secure SDLC, healthcare data protection across cloud and hybrid environments.</w:t>
            </w:r>
          </w:p>
        </w:tc>
        <w:tc>
          <w:tcPr>
            <w:tcW w:w="3456" w:type="dxa"/>
            <w:shd w:val="clear" w:color="auto" w:fill="E7F5F1"/>
            <w:tcMar>
              <w:top w:w="95" w:type="dxa"/>
              <w:left w:w="120" w:type="dxa"/>
              <w:bottom w:w="95" w:type="dxa"/>
              <w:right w:w="120" w:type="dxa"/>
            </w:tcMar>
            <w:tcBorders>
              <w:top w:val="single" w:sz="22" w:space="0" w:color="2EA891"/>
              <w:left w:val="nil"/>
              <w:bottom w:val="nil"/>
              <w:right w:val="nil"/>
            </w:tcBorders>
          </w:tcPr>
          <w:p>
            <w:pPr>
              <w:spacing w:before="0" w:after="60" w:line="245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Data Engineering &amp; Analytics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High-volume claims and clinical data pipelines processing millions of daily transactions, business intelligence, real-time dashboards.</w:t>
            </w:r>
          </w:p>
        </w:tc>
      </w:tr>
    </w:tbl>
    <w:p>
      <w:pPr>
        <w:spacing w:before="18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Past Performance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w="5112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PROJECT</w:t>
            </w:r>
          </w:p>
        </w:tc>
        <w:tc>
          <w:tcPr>
            <w:tcW w:w="3960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OUTCOME</w:t>
            </w:r>
          </w:p>
        </w:tc>
        <w:tc>
          <w:tcPr>
            <w:tcW w:w="1728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VALUE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Patient Portal &amp; EHR Integration — National Integrated Health System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Epic/HL7 integration, Cures Act-compliant patient portal serving 100K+ daily users at 99.8% SLA</w:t>
            </w:r>
          </w:p>
        </w:tc>
        <w:tc>
          <w:tcPr>
            <w:tcW w:w="1728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$1.2M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CA DHCS Claims &amp; Fiscal Reporting System (CFRS) — State Medicaid</w:t>
            </w:r>
          </w:p>
        </w:tc>
        <w:tc>
          <w:tcPr>
            <w:tcW w:w="3960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MITA-compliant modernization; AI document intelligence at 96% OCR accuracy; 60% labor reduction</w:t>
            </w:r>
          </w:p>
        </w:tc>
        <w:tc>
          <w:tcPr>
            <w:tcW w:w="1728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$2.1M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Claims Processing Modernization — National Health Insurer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AWS Batch/Lambda/EMR pipeline processing millions of daily claims</w:t>
            </w:r>
          </w:p>
        </w:tc>
        <w:tc>
          <w:tcPr>
            <w:tcW w:w="1728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Enterprise</w:t>
            </w:r>
          </w:p>
        </w:tc>
      </w:tr>
      <w:tr>
        <w:trPr>
          <w:cantSplit/>
        </w:trPr>
        <w:tc>
          <w:tcPr>
            <w:tcW w:w="5112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Urgent Care Data Integration — Regional Health Network</w:t>
            </w:r>
          </w:p>
        </w:tc>
        <w:tc>
          <w:tcPr>
            <w:tcW w:w="3960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5"/>
              </w:rPr>
              <w:t>HL7 ETL, microservices architecture, PHI-secure AWS environment</w:t>
            </w:r>
          </w:p>
        </w:tc>
        <w:tc>
          <w:tcPr>
            <w:tcW w:w="1728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single" w:sz="18" w:space="0" w:color="F7B801"/>
              <w:bottom w:val="single" w:sz="4" w:space="0" w:color="D9DEE6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/>
                <w:i w:val="0"/>
                <w:color w:val="232D5A"/>
                <w:sz w:val="19"/>
              </w:rPr>
              <w:t>Multi-phase</w:t>
            </w:r>
          </w:p>
        </w:tc>
      </w:tr>
    </w:tbl>
    <w:p>
      <w:pPr>
        <w:spacing w:before="18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Why Visionblox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w="3384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CAPABILITY</w:t>
            </w:r>
          </w:p>
        </w:tc>
        <w:tc>
          <w:tcPr>
            <w:tcW w:w="3960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PROOF POINT</w:t>
            </w:r>
          </w:p>
        </w:tc>
        <w:tc>
          <w:tcPr>
            <w:tcW w:w="3456" w:type="dxa"/>
            <w:shd w:val="clear" w:color="auto" w:fill="232D5A"/>
            <w:vAlign w:val="center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  <w:caps w:val="1"/>
                <w:spacing w:val="30"/>
              </w:rPr>
              <w:t>GOVERNMENT BENEFIT</w:t>
            </w:r>
          </w:p>
        </w:tc>
      </w:tr>
      <w:tr>
        <w:trPr>
          <w:cantSplit/>
        </w:trPr>
        <w:tc>
          <w:tcPr>
            <w:tcW w:w="3384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Healthcare-native systems integrator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Epic, HL7/FHIR, MITA delivery at state Medicaid scale</w:t>
            </w:r>
          </w:p>
        </w:tc>
        <w:tc>
          <w:tcPr>
            <w:tcW w:w="3456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Mission-ready for federal health IT modernization</w:t>
            </w:r>
          </w:p>
        </w:tc>
      </w:tr>
      <w:tr>
        <w:trPr>
          <w:cantSplit/>
        </w:trPr>
        <w:tc>
          <w:tcPr>
            <w:tcW w:w="3384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Proven AI at production scale</w:t>
            </w:r>
          </w:p>
        </w:tc>
        <w:tc>
          <w:tcPr>
            <w:tcW w:w="3960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96% OCR accuracy; 60% labor reduction in live state operations</w:t>
            </w:r>
          </w:p>
        </w:tc>
        <w:tc>
          <w:tcPr>
            <w:tcW w:w="3456" w:type="dxa"/>
            <w:shd w:val="clear" w:color="auto" w:fill="E7F5F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Measurable efficiency gains, not pilots</w:t>
            </w:r>
          </w:p>
        </w:tc>
      </w:tr>
      <w:tr>
        <w:trPr>
          <w:cantSplit/>
        </w:trPr>
        <w:tc>
          <w:tcPr>
            <w:tcW w:w="3384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Small-business agility</w:t>
            </w:r>
          </w:p>
        </w:tc>
        <w:tc>
          <w:tcPr>
            <w:tcW w:w="3960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Minority-Owned SB; direct principal engagement on every delivery</w:t>
            </w:r>
          </w:p>
        </w:tc>
        <w:tc>
          <w:tcPr>
            <w:tcW w:w="3456" w:type="dxa"/>
            <w:shd w:val="clear" w:color="auto" w:fill="FFFFFF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Set-aside eligible; accountable leadership</w:t>
            </w:r>
          </w:p>
        </w:tc>
      </w:tr>
    </w:tbl>
    <w:p>
      <w:pPr>
        <w:spacing w:before="16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400"/>
        <w:gridCol w:w="5400"/>
      </w:tblGrid>
      <w:tr>
        <w:tc>
          <w:tcPr>
            <w:tcW w:w="6263" w:type="dxa"/>
            <w:shd w:val="clear" w:color="auto" w:fill="232D5A"/>
            <w:vAlign w:val="center"/>
            <w:tcMar>
              <w:top w:w="115" w:type="dxa"/>
              <w:left w:w="160" w:type="dxa"/>
              <w:bottom w:w="115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 xml:space="preserve">NAICS  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>541511 • 541512 • 541519 • 518210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7FD4C1"/>
                <w:sz w:val="15"/>
              </w:rPr>
              <w:t>Minority-Owned Small Business  •  TAA Compliant  •  Section 889 Compliant</w:t>
            </w:r>
          </w:p>
        </w:tc>
        <w:tc>
          <w:tcPr>
            <w:tcW w:w="4536" w:type="dxa"/>
            <w:shd w:val="clear" w:color="auto" w:fill="232D5A"/>
            <w:vAlign w:val="center"/>
            <w:tcMar>
              <w:top w:w="115" w:type="dxa"/>
              <w:left w:w="160" w:type="dxa"/>
              <w:bottom w:w="115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Khaalis Wooden, MBA</w:t>
            </w:r>
            <w:r>
              <w:rPr>
                <w:rFonts w:ascii="Arial" w:hAnsi="Arial" w:cs="Arial"/>
                <w:b w:val="0"/>
                <w:i w:val="0"/>
                <w:color w:val="7FD4C1"/>
                <w:sz w:val="15"/>
              </w:rPr>
              <w:t xml:space="preserve">  — Director, Enterprise Capture &amp; Compliance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khaalis.wooden@visionblox.com  •  (256) 988-1130  •  visionblox.org</w:t>
            </w:r>
          </w:p>
        </w:tc>
      </w:tr>
    </w:tbl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E2E2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